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7429499"/>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(Supplementary Material item</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Supplementary Material item</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Supplementary Material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[46–53]</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[4,53–64]</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[65]</w:t>
      </w:r>
      <w:r>
        <w:t xml:space="preserve">;</w:t>
      </w:r>
      <w:r>
        <w:t xml:space="preserve"> </w:t>
      </w:r>
      <w:r>
        <w:t xml:space="preserve">[66]</w:t>
      </w:r>
      <w:r>
        <w:t xml:space="preserve">;</w:t>
      </w:r>
      <w:r>
        <w:t xml:space="preserve"> </w:t>
      </w:r>
      <w:r>
        <w:t xml:space="preserve">[51]</w:t>
      </w:r>
      <w:r>
        <w:t xml:space="preserve">;</w:t>
      </w:r>
      <w:r>
        <w:t xml:space="preserve"> </w:t>
      </w:r>
      <w:r>
        <w:t xml:space="preserve">[67]</w:t>
      </w:r>
      <w:r>
        <w:t xml:space="preserve">;</w:t>
      </w:r>
      <w:r>
        <w:t xml:space="preserve"> </w:t>
      </w:r>
      <w:r>
        <w:t xml:space="preserve">[52]</w:t>
      </w:r>
      <w:r>
        <w:t xml:space="preserve">. Non-utilitarian mobility establishes regional social networks which facilitate the spread of information and the survival of hunter-gatherers in uncertain environments</w:t>
      </w:r>
      <w:r>
        <w:t xml:space="preserve"> </w:t>
      </w:r>
      <w:r>
        <w:t xml:space="preserve">[68]</w:t>
      </w:r>
      <w:r>
        <w:t xml:space="preserve">;</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 The exchange and production of decorative items, such as objects with geometric signs, has been associated with non-utilitarian mobility and recognized as an indicator of social contact</w:t>
      </w:r>
      <w:r>
        <w:t xml:space="preserve"> </w:t>
      </w:r>
      <w:r>
        <w:t xml:space="preserve">[68]</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[77]</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[77]</w:t>
      </w:r>
      <w:r>
        <w:t xml:space="preserve">, including, in some cases, decorative objects</w:t>
      </w:r>
      <w:r>
        <w:t xml:space="preserve"> </w:t>
      </w:r>
      <w:r>
        <w:t xml:space="preserve">[73]</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[2,78–84]</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[85,86]</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[87]</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[88–96]</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[87]</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[97]</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[97]</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[98–100]</w:t>
      </w:r>
      <w:r>
        <w:t xml:space="preserve">. Smaller populations are predicted to experience greater drift and reduced capacity to maintain complex cultural repertoires</w:t>
      </w:r>
      <w:r>
        <w:t xml:space="preserve"> </w:t>
      </w:r>
      <w:r>
        <w:t xml:space="preserve">[101]</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[102,103]</w:t>
      </w:r>
      <w:r>
        <w:t xml:space="preserve">, while more clustered networks promote localised conformist transmission and differentiation within subgroups</w:t>
      </w:r>
      <w:r>
        <w:t xml:space="preserve"> </w:t>
      </w:r>
      <w:r>
        <w:t xml:space="preserve">[104]</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[101,105]</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[106]</w:t>
      </w:r>
      <w:r>
        <w:t xml:space="preserve"> </w:t>
      </w:r>
      <w:r>
        <w:t xml:space="preserve">(sign sequences having protocuneiform-like information density, suggesting notational function) and</w:t>
      </w:r>
      <w:r>
        <w:t xml:space="preserve"> </w:t>
      </w:r>
      <w:r>
        <w:t xml:space="preserve">[107]</w:t>
      </w:r>
      <w:r>
        <w:t xml:space="preserve"> </w:t>
      </w:r>
      <w:r>
        <w:t xml:space="preserve">(some signs recording seasonal prey information). However, both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[3,79,112–115]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[2,72,116–120]</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[121]</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[78]</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[97]</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[122]</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[123]</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further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[67]</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[125,126]</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M Patrick,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_reassess"/>
    <w:p>
      <w:pPr>
        <w:pStyle w:val="Bibliography"/>
      </w:pPr>
      <w:r>
        <w:t xml:space="preserve">[31]</w:t>
      </w:r>
      <w:r>
        <w:t xml:space="preserve"> </w:t>
      </w:r>
      <w:r>
        <w:t xml:space="preserve">	</w:t>
      </w:r>
      <w:r>
        <w:t xml:space="preserve">Schürch B, Conard NJ. Reassessing the</w:t>
      </w:r>
      <w:r>
        <w:t xml:space="preserve"> </w:t>
      </w:r>
      <w:r>
        <w:t xml:space="preserve">Aurignacian</w:t>
      </w:r>
      <w:r>
        <w:t xml:space="preserve">,</w:t>
      </w:r>
      <w:r>
        <w:t xml:space="preserve"> </w:t>
      </w:r>
      <w:r>
        <w:t xml:space="preserve">Gravettian</w:t>
      </w:r>
      <w:r>
        <w:t xml:space="preserve"> </w:t>
      </w:r>
      <w:r>
        <w:t xml:space="preserve">and</w:t>
      </w:r>
      <w:r>
        <w:t xml:space="preserve"> </w:t>
      </w:r>
      <w:r>
        <w:t xml:space="preserve">Magdalenian</w:t>
      </w:r>
      <w:r>
        <w:t xml:space="preserve"> </w:t>
      </w:r>
      <w:r>
        <w:t xml:space="preserve">at</w:t>
      </w:r>
      <w:r>
        <w:t xml:space="preserve"> </w:t>
      </w:r>
      <w:r>
        <w:t xml:space="preserve">Vogelherd</w:t>
      </w:r>
      <w:r>
        <w:t xml:space="preserve"> </w:t>
      </w:r>
      <w:r>
        <w:t xml:space="preserve">cave. Journal of Paleolithic Archaeology 2026;9.</w:t>
      </w:r>
      <w:r>
        <w:t xml:space="preserve"> </w:t>
      </w:r>
      <w:hyperlink r:id="rId114">
        <w:r>
          <w:rPr>
            <w:rStyle w:val="Hyperlink"/>
          </w:rPr>
          <w:t xml:space="preserve">https://doi.org/10.1007/s41982-025-00246-x</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5" w:name="ref-Finlayson_Warren_2017"/>
    <w:p>
      <w:pPr>
        <w:pStyle w:val="Bibliography"/>
      </w:pPr>
      <w:r>
        <w:t xml:space="preserve">[46]</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[47]</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[48]</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[49]</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[50]</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[51]</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[52]</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[53]</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[54]</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[55]</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[56]</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[57]</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[58]</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[59]</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[60]</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[61]</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[62]</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[63]</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[64]</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[65]</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[66]</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[67]</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[68]</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[69]</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[70]</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[71]</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[72]</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[73]</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[74]</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[75]</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[76]</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[77]</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[78]</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[79]</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[80]</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[81]</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[82]</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[83]</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[84]</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[85]</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[86]</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[87]</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[88]</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[89]</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[90]</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[91]</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[92]</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[93]</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[94]</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[95]</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[96]</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w:t>
        </w:r>
        <w:r>
          <w:rPr>
            <w:rStyle w:val="Hyperlink"/>
          </w:rPr>
          <w:t xml:space="preserve"> </w:t>
        </w:r>
        <w:r>
          <w:rPr>
            <w:rStyle w:val="Hyperlink"/>
          </w:rPr>
          <w:t xml:space="preserve">Sahul</w:t>
        </w:r>
      </w:hyperlink>
      <w:r>
        <w:t xml:space="preserve">. Australian Archaeology 1992:34–42.</w:t>
      </w:r>
    </w:p>
    <w:bookmarkEnd w:id="230"/>
    <w:bookmarkStart w:id="232" w:name="X4fed35d53d406ce17aea32f9d6f163fcb563519"/>
    <w:p>
      <w:pPr>
        <w:pStyle w:val="Bibliography"/>
      </w:pPr>
      <w:r>
        <w:t xml:space="preserve">[97]</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[98]</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[99]</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[100]</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[101]</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[103]</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[105]</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[108]</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[109]</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[111]</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[122]</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[123]</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[125]</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[126]</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2026-08-06T21:22:36Z</dcterms:created>
  <dcterms:modified xsi:type="dcterms:W3CDTF">2026-08-06T21:22:36Z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