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once network size is taken into account the late phase shows higher edge density, and formal permutation tests indicate that the phases do not differ significantly in edge density, modularity,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 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9"/>
              <w:gridCol w:w="161"/>
              <w:gridCol w:w="6921"/>
              <w:gridCol w:w="627"/>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sites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from the seriation package</w:t>
      </w:r>
      <w:r>
        <w:t xml:space="preserve"> </w:t>
      </w:r>
      <w:r>
        <w:t xml:space="preserve">[38]</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3657600"/>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 S6.3). Per-site robustness of the restricted/broad assignment is quantified in our Supplementary Material item</w:t>
      </w:r>
      <w:r>
        <w:t xml:space="preserve"> </w:t>
      </w:r>
      <w:r>
        <w:t xml:space="preserve">“</w:t>
      </w:r>
      <w:r>
        <w:t xml:space="preserve">Sensitivity Analyses</w:t>
      </w:r>
      <w:r>
        <w:t xml:space="preserve">”</w:t>
      </w:r>
      <w:r>
        <w:t xml:space="preserve"> </w:t>
      </w:r>
      <w:r>
        <w:t xml:space="preserve">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Aur-P2 edge density is significantly higher than expected under random site assignment (p &lt; 0.001), while Aur-P1 edge density does not differ from the within-phase null. Aur-P1’s modularity and betweenness are likewise significantly higher than expected (p &lt; 0.001), consistent with the restricted/broad community structure</w:t>
      </w:r>
      <w:r>
        <w:t xml:space="preserve"> </w:t>
      </w:r>
      <w:r>
        <w:t xml:space="preserve">[46]</w:t>
      </w:r>
      <w:r>
        <w:t xml:space="preserve">, whereas Aur-P2’s modularity and betweenness, and both phases’ component counts, do not differ from the null. The null-benchmarked and size-normalised (Erdős–Rényi) comparisons in our Supplementary Material item</w:t>
      </w:r>
      <w:r>
        <w:t xml:space="preserve"> </w:t>
      </w:r>
      <w:r>
        <w:t xml:space="preserve">“</w:t>
      </w:r>
      <w:r>
        <w:t xml:space="preserve">Sensitivity Analyses</w:t>
      </w:r>
      <w:r>
        <w:t xml:space="preserve">”</w:t>
      </w:r>
      <w:r>
        <w:t xml:space="preserve"> </w:t>
      </w:r>
      <w:r>
        <w:t xml:space="preserve">S5.9 evaluate this structure net of network size. Pairwise permutation tests with Benjamini–Hochberg correction show that the phases do not differ significantly in any of the tested network statistics — edge density (p = 0.4404), modularity (p = 0.3018), betweenness (p = 0.6224), or component count (p = 0.5155). The Aur-P1–Aur-P2 contrast is therefore primarily one of network scale rather than a statistically distinguishable community structure.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[47–54]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[4,54–65]</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[66]</w:t>
      </w:r>
      <w:r>
        <w:t xml:space="preserve">;</w:t>
      </w:r>
      <w:r>
        <w:t xml:space="preserve"> </w:t>
      </w:r>
      <w:r>
        <w:t xml:space="preserve">[67]</w:t>
      </w:r>
      <w:r>
        <w:t xml:space="preserve">;</w:t>
      </w:r>
      <w:r>
        <w:t xml:space="preserve"> </w:t>
      </w:r>
      <w:r>
        <w:t xml:space="preserve">[52]</w:t>
      </w:r>
      <w:r>
        <w:t xml:space="preserve">;</w:t>
      </w:r>
      <w:r>
        <w:t xml:space="preserve"> </w:t>
      </w:r>
      <w:r>
        <w:t xml:space="preserve">[68]</w:t>
      </w:r>
      <w:r>
        <w:t xml:space="preserve">;</w:t>
      </w:r>
      <w:r>
        <w:t xml:space="preserve"> </w:t>
      </w:r>
      <w:r>
        <w:t xml:space="preserve">[53]</w:t>
      </w:r>
      <w:r>
        <w:t xml:space="preserve">. Non-utilitarian mobility establishes regional social networks which facilitate the spread of information and the survival of hunter-gatherers in uncertain environments</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The exchange and production of decorative items, such as objects with geometric signs, has been associated with non-utilitarian mobility and recognized as an indicator of social contact</w:t>
      </w:r>
      <w:r>
        <w:t xml:space="preserve"> </w:t>
      </w:r>
      <w:r>
        <w:t xml:space="preserve">[69]</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[78]</w:t>
      </w:r>
      <w:r>
        <w:t xml:space="preserve">, including, in some cases, decorative objects</w:t>
      </w:r>
      <w:r>
        <w:t xml:space="preserve"> </w:t>
      </w:r>
      <w:r>
        <w:t xml:space="preserve">[74]</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[2,79–85]</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[86,87]</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marginally significant negative correlation with network degree (ρ = -0.35, p = 0.061), indicating that aggregation candidates are less connected rather than merely decoupled from network hubs. The correlation with betweenness was not significant (ρ = -0.18, p = 0.349). Object count was positively correlated with degree centrality (degree: ρ = 0.35, p = 0.063328),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[88]</w:t>
      </w:r>
      <w:r>
        <w:t xml:space="preserve">. This was followed by rapid expansion from 43.25–41 ka BP, with the maximum extent of early Aurignacian (Aur-P1) settlement being reached around 41 ka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[89–97]</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a higher edge density,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[88]</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[98]</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[99–101]</w:t>
      </w:r>
      <w:r>
        <w:t xml:space="preserve">. Smaller populations are predicted to experience greater drift and reduced capacity to maintain complex cultural repertoires</w:t>
      </w:r>
      <w:r>
        <w:t xml:space="preserve"> </w:t>
      </w:r>
      <w:r>
        <w:t xml:space="preserve">[102]</w:t>
      </w:r>
      <w:r>
        <w:t xml:space="preserve">, which is consistent with our observation that the sign-type pool is larger in the Aur-P1 phase (26 types) than in the Aur-P2 phase (15 types). Network structure also shapes cultural information flow: highly connected networks with hub structures facilitate rapid transmission and reduce drift</w:t>
      </w:r>
      <w:r>
        <w:t xml:space="preserve"> </w:t>
      </w:r>
      <w:r>
        <w:t xml:space="preserve">[103,104]</w:t>
      </w:r>
      <w:r>
        <w:t xml:space="preserve">, while more clustered networks promote localised conformist transmission and differentiation within subgroups</w:t>
      </w:r>
      <w:r>
        <w:t xml:space="preserve"> </w:t>
      </w:r>
      <w:r>
        <w:t xml:space="preserve">[105]</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-0.299, p = 0.933),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[102,106]</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[107]</w:t>
      </w:r>
      <w:r>
        <w:t xml:space="preserve"> </w:t>
      </w:r>
      <w:r>
        <w:t xml:space="preserve">(sign sequences having protocuneiform-like information density, suggesting notational function) and</w:t>
      </w:r>
      <w:r>
        <w:t xml:space="preserve"> </w:t>
      </w:r>
      <w:r>
        <w:t xml:space="preserve">[108]</w:t>
      </w:r>
      <w:r>
        <w:t xml:space="preserve"> </w:t>
      </w:r>
      <w:r>
        <w:t xml:space="preserve">(some signs recording seasonal prey information). However, both hypotheses are contested:</w:t>
      </w:r>
      <w:r>
        <w:t xml:space="preserve"> </w:t>
      </w:r>
      <w:r>
        <w:t xml:space="preserve">[109]</w:t>
      </w:r>
      <w:r>
        <w:t xml:space="preserve"> </w:t>
      </w:r>
      <w:r>
        <w:t xml:space="preserve">note methodological issues in Bentz &amp; Dutkiewicz;</w:t>
      </w:r>
      <w:r>
        <w:t xml:space="preserve"> </w:t>
      </w:r>
      <w:r>
        <w:t xml:space="preserve">[110]</w:t>
      </w:r>
      <w:r>
        <w:t xml:space="preserve"> </w:t>
      </w:r>
      <w:r>
        <w:t xml:space="preserve">and</w:t>
      </w:r>
      <w:r>
        <w:t xml:space="preserve"> </w:t>
      </w:r>
      <w:r>
        <w:t xml:space="preserve">[111]</w:t>
      </w:r>
      <w:r>
        <w:t xml:space="preserve"> </w:t>
      </w:r>
      <w:r>
        <w:t xml:space="preserve">argue the lunar calendar hypothesis is untestable, circular, and selectively uses data;</w:t>
      </w:r>
      <w:r>
        <w:t xml:space="preserve"> </w:t>
      </w:r>
      <w:r>
        <w:t xml:space="preserve">[112]</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[3,80,113–116]</w:t>
      </w:r>
      <w:r>
        <w:t xml:space="preserve"> </w:t>
      </w:r>
      <w:r>
        <w:t xml:space="preserve">has used material culture analysis to reconstruct Upper Palaeolithic social networks, which have been argued to be a driver of cultural and evolutionary change</w:t>
      </w:r>
      <w:r>
        <w:t xml:space="preserve"> </w:t>
      </w:r>
      <w:r>
        <w:t xml:space="preserve">[2,73,117–121]</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[122]</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[79]</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[98]</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[123]</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[124]</w:t>
      </w:r>
      <w:r>
        <w:t xml:space="preserve">, and additionally, greater quantities of included sign types serve to establish stronger connections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[107]</w:t>
      </w:r>
      <w:r>
        <w:t xml:space="preserve">.</w:t>
      </w:r>
    </w:p>
    <w:p>
      <w:pPr>
        <w:pStyle w:val="BodyText"/>
      </w:pPr>
      <w:r>
        <w:t xml:space="preserve">A further limitation concerns the effects of time-averaging on our network reconstructions.</w:t>
      </w:r>
      <w:r>
        <w:t xml:space="preserve"> </w:t>
      </w:r>
      <w:r>
        <w:t xml:space="preserve">[125]</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[126,127]</w:t>
      </w:r>
      <w:r>
        <w:t xml:space="preserve">.</w:t>
      </w:r>
    </w:p>
    <w:bookmarkEnd w:id="61"/>
    <w:bookmarkStart w:id="281" w:name="references"/>
    <w:p>
      <w:pPr>
        <w:pStyle w:val="Heading1"/>
      </w:pPr>
      <w:r>
        <w:t xml:space="preserve">References</w:t>
      </w:r>
    </w:p>
    <w:bookmarkStart w:id="280"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 p</w:t>
      </w:r>
      <w:r>
        <w:t xml:space="preserve">é</w:t>
      </w:r>
      <w:r>
        <w:t xml:space="preserve">rigord.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
    <w:p>
      <w:pPr>
        <w:pStyle w:val="Bibliography"/>
      </w:pPr>
      <w:r>
        <w:t xml:space="preserve">[31]</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4">
        <w:r>
          <w:rPr>
            <w:rStyle w:val="Hyperlink"/>
          </w:rPr>
          <w:t xml:space="preserve">https://doi.org/10.1007/s41982-025-00298-3</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4" w:name="ref-newman2004finding"/>
    <w:p>
      <w:pPr>
        <w:pStyle w:val="Bibliography"/>
      </w:pPr>
      <w:r>
        <w:t xml:space="preserve">[46]</w:t>
      </w:r>
      <w:r>
        <w:t xml:space="preserve"> </w:t>
      </w:r>
      <w:r>
        <w:t xml:space="preserve">	</w:t>
      </w:r>
      <w:r>
        <w:t xml:space="preserve">Newman ME, Girvan M. Finding and evaluating community structure in networks. Physical Review E 2004;69:026113.</w:t>
      </w:r>
    </w:p>
    <w:bookmarkEnd w:id="144"/>
    <w:bookmarkStart w:id="146" w:name="ref-Finlayson_Warren_2017"/>
    <w:p>
      <w:pPr>
        <w:pStyle w:val="Bibliography"/>
      </w:pPr>
      <w:r>
        <w:t xml:space="preserve">[47]</w:t>
      </w:r>
      <w:r>
        <w:t xml:space="preserve"> </w:t>
      </w:r>
      <w:r>
        <w:t xml:space="preserve">	</w:t>
      </w:r>
      <w:r>
        <w:t xml:space="preserve">Finlayson B, Warren G.</w:t>
      </w:r>
      <w:r>
        <w:t xml:space="preserve"> </w:t>
      </w:r>
      <w:hyperlink r:id="rId145">
        <w:r>
          <w:rPr>
            <w:rStyle w:val="Hyperlink"/>
          </w:rPr>
          <w:t xml:space="preserve">The diversity of hunter-gatherer pasts: An introduction</w:t>
        </w:r>
      </w:hyperlink>
      <w:r>
        <w:t xml:space="preserve">. In: Finlayson B, Warren G, editors. The diversity of hunter gatherer pasts. 1st ed., Oxbow Books; 2017, p. 1–14.</w:t>
      </w:r>
    </w:p>
    <w:bookmarkEnd w:id="146"/>
    <w:bookmarkStart w:id="148" w:name="ref-Riches_1995"/>
    <w:p>
      <w:pPr>
        <w:pStyle w:val="Bibliography"/>
      </w:pPr>
      <w:r>
        <w:t xml:space="preserve">[48]</w:t>
      </w:r>
      <w:r>
        <w:t xml:space="preserve"> </w:t>
      </w:r>
      <w:r>
        <w:t xml:space="preserve">	</w:t>
      </w:r>
      <w:r>
        <w:t xml:space="preserve">Riches D. Hunter-gatherer structural transformations. The Journal of the Royal Anthropological Institute 1995;1:679–701.</w:t>
      </w:r>
      <w:r>
        <w:t xml:space="preserve"> </w:t>
      </w:r>
      <w:hyperlink r:id="rId147">
        <w:r>
          <w:rPr>
            <w:rStyle w:val="Hyperlink"/>
          </w:rPr>
          <w:t xml:space="preserve">https://doi.org/10.2307/3034956</w:t>
        </w:r>
      </w:hyperlink>
      <w:r>
        <w:t xml:space="preserve">.</w:t>
      </w:r>
    </w:p>
    <w:bookmarkEnd w:id="148"/>
    <w:bookmarkStart w:id="150" w:name="ref-Price_Brown_1985"/>
    <w:p>
      <w:pPr>
        <w:pStyle w:val="Bibliography"/>
      </w:pPr>
      <w:r>
        <w:t xml:space="preserve">[49]</w:t>
      </w:r>
      <w:r>
        <w:t xml:space="preserve"> </w:t>
      </w:r>
      <w:r>
        <w:t xml:space="preserve">	</w:t>
      </w:r>
      <w:r>
        <w:t xml:space="preserve">Price TD, Brown JA. Aspects of hunter–gatherer complexity. In: Price TD, Brown JA, editors. Prehistoric hunters-gatherers, Academic Press; 1985, p. 3–20. https://doi.org/</w:t>
      </w:r>
      <w:hyperlink r:id="rId149">
        <w:r>
          <w:rPr>
            <w:rStyle w:val="Hyperlink"/>
          </w:rPr>
          <w:t xml:space="preserve">https://doi.org/10.1016/B978-0-12-564750-2.50006-8</w:t>
        </w:r>
      </w:hyperlink>
      <w:r>
        <w:t xml:space="preserve">.</w:t>
      </w:r>
    </w:p>
    <w:bookmarkEnd w:id="150"/>
    <w:bookmarkStart w:id="152" w:name="ref-Lane_2017"/>
    <w:p>
      <w:pPr>
        <w:pStyle w:val="Bibliography"/>
      </w:pPr>
      <w:r>
        <w:t xml:space="preserve">[50]</w:t>
      </w:r>
      <w:r>
        <w:t xml:space="preserve"> </w:t>
      </w:r>
      <w:r>
        <w:t xml:space="preserve">	</w:t>
      </w:r>
      <w:r>
        <w:t xml:space="preserve">Lane PJ.</w:t>
      </w:r>
      <w:r>
        <w:t xml:space="preserve"> </w:t>
      </w:r>
      <w:hyperlink r:id="rId15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2"/>
    <w:bookmarkStart w:id="153" w:name="ref-Pate_2006"/>
    <w:p>
      <w:pPr>
        <w:pStyle w:val="Bibliography"/>
      </w:pPr>
      <w:r>
        <w:t xml:space="preserve">[51]</w:t>
      </w:r>
      <w:r>
        <w:t xml:space="preserve"> </w:t>
      </w:r>
      <w:r>
        <w:t xml:space="preserve">	</w:t>
      </w:r>
      <w:r>
        <w:t xml:space="preserve">Pate F. Hunter-gatherer social complexity at roonka flat, south australia. The social archaeology of australian indigenous societies, Aboriginal Studies Press; 2006, p. 226–41.</w:t>
      </w:r>
    </w:p>
    <w:bookmarkEnd w:id="153"/>
    <w:bookmarkStart w:id="155" w:name="ref-Johnson_2014"/>
    <w:p>
      <w:pPr>
        <w:pStyle w:val="Bibliography"/>
      </w:pPr>
      <w:r>
        <w:t xml:space="preserve">[52]</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4">
        <w:r>
          <w:rPr>
            <w:rStyle w:val="Hyperlink"/>
          </w:rPr>
          <w:t xml:space="preserve">https://doi.org/10.1007/s10814-013-9068-y</w:t>
        </w:r>
      </w:hyperlink>
      <w:r>
        <w:t xml:space="preserve">.</w:t>
      </w:r>
    </w:p>
    <w:bookmarkEnd w:id="155"/>
    <w:bookmarkStart w:id="157" w:name="ref-Singh_Glowacki_2022"/>
    <w:p>
      <w:pPr>
        <w:pStyle w:val="Bibliography"/>
      </w:pPr>
      <w:r>
        <w:t xml:space="preserve">[53]</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6">
        <w:r>
          <w:rPr>
            <w:rStyle w:val="Hyperlink"/>
          </w:rPr>
          <w:t xml:space="preserve">https://doi.org/10.1016/j.evolhumbehav.2022.07.003</w:t>
        </w:r>
      </w:hyperlink>
      <w:r>
        <w:t xml:space="preserve">.</w:t>
      </w:r>
    </w:p>
    <w:bookmarkEnd w:id="157"/>
    <w:bookmarkStart w:id="159" w:name="ref-Schwendler_2012"/>
    <w:p>
      <w:pPr>
        <w:pStyle w:val="Bibliography"/>
      </w:pPr>
      <w:r>
        <w:t xml:space="preserve">[54]</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8">
        <w:r>
          <w:rPr>
            <w:rStyle w:val="Hyperlink"/>
          </w:rPr>
          <w:t xml:space="preserve">https://doi.org/10.1016/j.quaint.2012.03.054</w:t>
        </w:r>
      </w:hyperlink>
      <w:r>
        <w:t xml:space="preserve">.</w:t>
      </w:r>
    </w:p>
    <w:bookmarkEnd w:id="159"/>
    <w:bookmarkStart w:id="161" w:name="ref-Morwood_1987"/>
    <w:p>
      <w:pPr>
        <w:pStyle w:val="Bibliography"/>
      </w:pPr>
      <w:r>
        <w:t xml:space="preserve">[55]</w:t>
      </w:r>
      <w:r>
        <w:t xml:space="preserve"> </w:t>
      </w:r>
      <w:r>
        <w:t xml:space="preserve">	</w:t>
      </w:r>
      <w:r>
        <w:t xml:space="preserve">Morwood MJ. The archaeology of social complexity in south-east queensland. Proceedings of the Prehistoric Society 1987;53:337–50.</w:t>
      </w:r>
      <w:r>
        <w:t xml:space="preserve"> </w:t>
      </w:r>
      <w:hyperlink r:id="rId160">
        <w:r>
          <w:rPr>
            <w:rStyle w:val="Hyperlink"/>
          </w:rPr>
          <w:t xml:space="preserve">https://doi.org/10.1017/S0079497X00006265</w:t>
        </w:r>
      </w:hyperlink>
      <w:r>
        <w:t xml:space="preserve">.</w:t>
      </w:r>
    </w:p>
    <w:bookmarkEnd w:id="161"/>
    <w:bookmarkStart w:id="163" w:name="ref-Mattson_2021"/>
    <w:p>
      <w:pPr>
        <w:pStyle w:val="Bibliography"/>
      </w:pPr>
      <w:r>
        <w:t xml:space="preserve">[56]</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2">
        <w:r>
          <w:rPr>
            <w:rStyle w:val="Hyperlink"/>
          </w:rPr>
          <w:t xml:space="preserve">https://doi.org/10.2307/j.ctv24q4z2g.5</w:t>
        </w:r>
      </w:hyperlink>
      <w:r>
        <w:t xml:space="preserve">.</w:t>
      </w:r>
    </w:p>
    <w:bookmarkEnd w:id="163"/>
    <w:bookmarkStart w:id="164" w:name="ref-Larsson_2006"/>
    <w:p>
      <w:pPr>
        <w:pStyle w:val="Bibliography"/>
      </w:pPr>
      <w:r>
        <w:t xml:space="preserve">[57]</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4"/>
    <w:bookmarkStart w:id="166" w:name="ref-Moore_2010"/>
    <w:p>
      <w:pPr>
        <w:pStyle w:val="Bibliography"/>
      </w:pPr>
      <w:r>
        <w:t xml:space="preserve">[58]</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5">
        <w:r>
          <w:rPr>
            <w:rStyle w:val="Hyperlink"/>
          </w:rPr>
          <w:t xml:space="preserve">https://doi.org/10.1179/sea.2010.29.1.013</w:t>
        </w:r>
      </w:hyperlink>
      <w:r>
        <w:t xml:space="preserve">.</w:t>
      </w:r>
    </w:p>
    <w:bookmarkEnd w:id="166"/>
    <w:bookmarkStart w:id="168" w:name="ref-Alfonso-Durrruty_Giles_Misarti2015"/>
    <w:p>
      <w:pPr>
        <w:pStyle w:val="Bibliography"/>
      </w:pPr>
      <w:r>
        <w:t xml:space="preserve">[59]</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7">
        <w:r>
          <w:rPr>
            <w:rStyle w:val="Hyperlink"/>
          </w:rPr>
          <w:t xml:space="preserve">https://doi.org/10.1002/ajpa.22832</w:t>
        </w:r>
      </w:hyperlink>
      <w:r>
        <w:t xml:space="preserve">.</w:t>
      </w:r>
    </w:p>
    <w:bookmarkEnd w:id="168"/>
    <w:bookmarkStart w:id="169" w:name="ref-Vanhaeren_2005"/>
    <w:p>
      <w:pPr>
        <w:pStyle w:val="Bibliography"/>
      </w:pPr>
      <w:r>
        <w:t xml:space="preserve">[60]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9"/>
    <w:bookmarkStart w:id="171" w:name="ref-Conkey_1985"/>
    <w:p>
      <w:pPr>
        <w:pStyle w:val="Bibliography"/>
      </w:pPr>
      <w:r>
        <w:t xml:space="preserve">[61]</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70">
        <w:r>
          <w:rPr>
            <w:rStyle w:val="Hyperlink"/>
          </w:rPr>
          <w:t xml:space="preserve">https://doi.org/10.1016/B978-0-12-564750-2.50016-0</w:t>
        </w:r>
      </w:hyperlink>
      <w:r>
        <w:t xml:space="preserve">.</w:t>
      </w:r>
    </w:p>
    <w:bookmarkEnd w:id="171"/>
    <w:bookmarkStart w:id="172" w:name="ref-Conkey_1978"/>
    <w:p>
      <w:pPr>
        <w:pStyle w:val="Bibliography"/>
      </w:pPr>
      <w:r>
        <w:t xml:space="preserve">[62]</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2"/>
    <w:bookmarkStart w:id="174" w:name="ref-Tilley_1982"/>
    <w:p>
      <w:pPr>
        <w:pStyle w:val="Bibliography"/>
      </w:pPr>
      <w:r>
        <w:t xml:space="preserve">[63]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3">
        <w:r>
          <w:rPr>
            <w:rStyle w:val="Hyperlink"/>
          </w:rPr>
          <w:t xml:space="preserve">https://doi.org/10.1017/CBO9780511558252.004</w:t>
        </w:r>
      </w:hyperlink>
      <w:r>
        <w:t xml:space="preserve">.</w:t>
      </w:r>
    </w:p>
    <w:bookmarkEnd w:id="174"/>
    <w:bookmarkStart w:id="176" w:name="ref-Hodder1979"/>
    <w:p>
      <w:pPr>
        <w:pStyle w:val="Bibliography"/>
      </w:pPr>
      <w:r>
        <w:t xml:space="preserve">[64]</w:t>
      </w:r>
      <w:r>
        <w:t xml:space="preserve"> </w:t>
      </w:r>
      <w:r>
        <w:t xml:space="preserve">	</w:t>
      </w:r>
      <w:r>
        <w:t xml:space="preserve">Hodder I.</w:t>
      </w:r>
      <w:r>
        <w:t xml:space="preserve"> </w:t>
      </w:r>
      <w:hyperlink r:id="rId175">
        <w:r>
          <w:rPr>
            <w:rStyle w:val="Hyperlink"/>
          </w:rPr>
          <w:t xml:space="preserve">Economic and social stress and material culture patterning</w:t>
        </w:r>
      </w:hyperlink>
      <w:r>
        <w:t xml:space="preserve">. American Antiquity 1979;44:446–54.</w:t>
      </w:r>
    </w:p>
    <w:bookmarkEnd w:id="176"/>
    <w:bookmarkStart w:id="178" w:name="ref-Hodder1977"/>
    <w:p>
      <w:pPr>
        <w:pStyle w:val="Bibliography"/>
      </w:pPr>
      <w:r>
        <w:t xml:space="preserve">[65]</w:t>
      </w:r>
      <w:r>
        <w:t xml:space="preserve"> </w:t>
      </w:r>
      <w:r>
        <w:t xml:space="preserve">	</w:t>
      </w:r>
      <w:r>
        <w:t xml:space="preserve">Hodder I.</w:t>
      </w:r>
      <w:r>
        <w:t xml:space="preserve"> </w:t>
      </w:r>
      <w:hyperlink r:id="rId177">
        <w:r>
          <w:rPr>
            <w:rStyle w:val="Hyperlink"/>
          </w:rPr>
          <w:t xml:space="preserve">The distribution of material culture items in the baringo district, western kenya</w:t>
        </w:r>
      </w:hyperlink>
      <w:r>
        <w:t xml:space="preserve">. Man 1977;12:239–69.</w:t>
      </w:r>
    </w:p>
    <w:bookmarkEnd w:id="178"/>
    <w:bookmarkStart w:id="179" w:name="ref-Binford_1990"/>
    <w:p>
      <w:pPr>
        <w:pStyle w:val="Bibliography"/>
      </w:pPr>
      <w:r>
        <w:t xml:space="preserve">[66]</w:t>
      </w:r>
      <w:r>
        <w:t xml:space="preserve"> </w:t>
      </w:r>
      <w:r>
        <w:t xml:space="preserve">	</w:t>
      </w:r>
      <w:r>
        <w:t xml:space="preserve">Binford LR. Mobility, housing, and environment: A comparative study. Journal of Anthropological Research 1990;46:119–52.</w:t>
      </w:r>
    </w:p>
    <w:bookmarkEnd w:id="179"/>
    <w:bookmarkStart w:id="180" w:name="ref-Kelly_1983"/>
    <w:p>
      <w:pPr>
        <w:pStyle w:val="Bibliography"/>
      </w:pPr>
      <w:r>
        <w:t xml:space="preserve">[67]</w:t>
      </w:r>
      <w:r>
        <w:t xml:space="preserve"> </w:t>
      </w:r>
      <w:r>
        <w:t xml:space="preserve">	</w:t>
      </w:r>
      <w:r>
        <w:t xml:space="preserve">Kelly RL. Hunter-gatherer mobility strategies. Journal of Anthropological Research 1983;39:277–306.</w:t>
      </w:r>
    </w:p>
    <w:bookmarkEnd w:id="180"/>
    <w:bookmarkStart w:id="182" w:name="ref-Padilla-Iglesias_Bischoff_2024"/>
    <w:p>
      <w:pPr>
        <w:pStyle w:val="Bibliography"/>
      </w:pPr>
      <w:r>
        <w:t xml:space="preserve">[68]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1">
        <w:r>
          <w:rPr>
            <w:rStyle w:val="Hyperlink"/>
          </w:rPr>
          <w:t xml:space="preserve">https://doi.org/10.1016/j.jasrep.2024.104798</w:t>
        </w:r>
      </w:hyperlink>
      <w:r>
        <w:t xml:space="preserve">.</w:t>
      </w:r>
    </w:p>
    <w:bookmarkEnd w:id="182"/>
    <w:bookmarkStart w:id="184" w:name="ref-Whallon_2006"/>
    <w:p>
      <w:pPr>
        <w:pStyle w:val="Bibliography"/>
      </w:pPr>
      <w:r>
        <w:t xml:space="preserve">[69]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3">
        <w:r>
          <w:rPr>
            <w:rStyle w:val="Hyperlink"/>
          </w:rPr>
          <w:t xml:space="preserve">https://doi.org/10.1016/j.jaa.2005.11.004</w:t>
        </w:r>
      </w:hyperlink>
      <w:r>
        <w:t xml:space="preserve">.</w:t>
      </w:r>
    </w:p>
    <w:bookmarkEnd w:id="184"/>
    <w:bookmarkStart w:id="185" w:name="ref-Fitzhugh_Phillips_Gjesfeld_2011"/>
    <w:p>
      <w:pPr>
        <w:pStyle w:val="Bibliography"/>
      </w:pPr>
      <w:r>
        <w:t xml:space="preserve">[70]</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5"/>
    <w:bookmarkStart w:id="187" w:name="ref-Lovis_Donahue_2011"/>
    <w:p>
      <w:pPr>
        <w:pStyle w:val="Bibliography"/>
      </w:pPr>
      <w:r>
        <w:t xml:space="preserve">[71]</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6">
        <w:r>
          <w:rPr>
            <w:rStyle w:val="Hyperlink"/>
          </w:rPr>
          <w:t xml:space="preserve">https://doi.org/10.2307/j.ctvdmwwz4.7</w:t>
        </w:r>
      </w:hyperlink>
      <w:r>
        <w:t xml:space="preserve">.</w:t>
      </w:r>
    </w:p>
    <w:bookmarkEnd w:id="187"/>
    <w:bookmarkStart w:id="189" w:name="ref-Hitchcock_Ebert_2011"/>
    <w:p>
      <w:pPr>
        <w:pStyle w:val="Bibliography"/>
      </w:pPr>
      <w:r>
        <w:t xml:space="preserve">[72]</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8">
        <w:r>
          <w:rPr>
            <w:rStyle w:val="Hyperlink"/>
          </w:rPr>
          <w:t xml:space="preserve">https://doi.org/10.2307/j.ctvdmwwz4.10</w:t>
        </w:r>
      </w:hyperlink>
      <w:r>
        <w:t xml:space="preserve">.</w:t>
      </w:r>
    </w:p>
    <w:bookmarkEnd w:id="189"/>
    <w:bookmarkStart w:id="191" w:name="ref-Romano_Lozano_Fern2022"/>
    <w:p>
      <w:pPr>
        <w:pStyle w:val="Bibliography"/>
      </w:pPr>
      <w:r>
        <w:t xml:space="preserve">[73]</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90">
        <w:r>
          <w:rPr>
            <w:rStyle w:val="Hyperlink"/>
          </w:rPr>
          <w:t xml:space="preserve">https://doi.org/10.1098/rstb.2020.0318</w:t>
        </w:r>
      </w:hyperlink>
      <w:r>
        <w:t xml:space="preserve">.</w:t>
      </w:r>
    </w:p>
    <w:bookmarkEnd w:id="191"/>
    <w:bookmarkStart w:id="193" w:name="ref-Kelly_2024"/>
    <w:p>
      <w:pPr>
        <w:pStyle w:val="Bibliography"/>
      </w:pPr>
      <w:r>
        <w:t xml:space="preserve">[74]</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2">
        <w:r>
          <w:rPr>
            <w:rStyle w:val="Hyperlink"/>
          </w:rPr>
          <w:t xml:space="preserve">https://doi.org/10.1111/tops.12762</w:t>
        </w:r>
      </w:hyperlink>
      <w:r>
        <w:t xml:space="preserve">.</w:t>
      </w:r>
    </w:p>
    <w:bookmarkEnd w:id="193"/>
    <w:bookmarkStart w:id="195" w:name="ref-Kinahan_2013"/>
    <w:p>
      <w:pPr>
        <w:pStyle w:val="Bibliography"/>
      </w:pPr>
      <w:r>
        <w:t xml:space="preserve">[75]</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4">
        <w:r>
          <w:rPr>
            <w:rStyle w:val="Hyperlink"/>
          </w:rPr>
          <w:t xml:space="preserve">https://doi.org/10.3213/2191-5784-10243</w:t>
        </w:r>
      </w:hyperlink>
      <w:r>
        <w:t xml:space="preserve">.</w:t>
      </w:r>
    </w:p>
    <w:bookmarkEnd w:id="195"/>
    <w:bookmarkStart w:id="197" w:name="ref-Newlander_2012"/>
    <w:p>
      <w:pPr>
        <w:pStyle w:val="Bibliography"/>
      </w:pPr>
      <w:r>
        <w:t xml:space="preserve">[76]</w:t>
      </w:r>
      <w:r>
        <w:t xml:space="preserve"> </w:t>
      </w:r>
      <w:r>
        <w:t xml:space="preserve">	</w:t>
      </w:r>
      <w:r>
        <w:t xml:space="preserve">Newlander KS.</w:t>
      </w:r>
      <w:r>
        <w:t xml:space="preserve"> </w:t>
      </w:r>
      <w:hyperlink r:id="rId196">
        <w:r>
          <w:rPr>
            <w:rStyle w:val="Hyperlink"/>
          </w:rPr>
          <w:t xml:space="preserve">Exchange, embedded procurement, and hunter-gatherer mobility: A case study from the north american great basin</w:t>
        </w:r>
      </w:hyperlink>
      <w:r>
        <w:t xml:space="preserve">. Ph.D. University of Michigan, 2012.</w:t>
      </w:r>
    </w:p>
    <w:bookmarkEnd w:id="197"/>
    <w:bookmarkStart w:id="199" w:name="ref-Iizuka_Ferguson_Izuho_2022"/>
    <w:p>
      <w:pPr>
        <w:pStyle w:val="Bibliography"/>
      </w:pPr>
      <w:r>
        <w:t xml:space="preserve">[77]</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8">
        <w:r>
          <w:rPr>
            <w:rStyle w:val="Hyperlink"/>
          </w:rPr>
          <w:t xml:space="preserve">https://doi.org/10.1371/journal.pone.0265329</w:t>
        </w:r>
      </w:hyperlink>
      <w:r>
        <w:t xml:space="preserve">.</w:t>
      </w:r>
    </w:p>
    <w:bookmarkEnd w:id="199"/>
    <w:bookmarkStart w:id="201" w:name="ref-conkley_agg"/>
    <w:p>
      <w:pPr>
        <w:pStyle w:val="Bibliography"/>
      </w:pPr>
      <w:r>
        <w:t xml:space="preserve">[78]</w:t>
      </w:r>
      <w:r>
        <w:t xml:space="preserve"> </w:t>
      </w:r>
      <w:r>
        <w:t xml:space="preserve">	</w:t>
      </w:r>
      <w:r>
        <w:t xml:space="preserve">Conkey M, Beltran A, Beltrán A, Clark GA, Echegaray JG, Echegaray JG, et al.</w:t>
      </w:r>
      <w:r>
        <w:t xml:space="preserve"> </w:t>
      </w:r>
      <w:hyperlink r:id="rId200">
        <w:r>
          <w:rPr>
            <w:rStyle w:val="Hyperlink"/>
          </w:rPr>
          <w:t xml:space="preserve">The identification of prehistoric hunter-gatherer aggregation sites: The case of altamira [and comments and reply]</w:t>
        </w:r>
      </w:hyperlink>
      <w:r>
        <w:t xml:space="preserve">. Current Anthropology 1980;21:609–30.</w:t>
      </w:r>
    </w:p>
    <w:bookmarkEnd w:id="201"/>
    <w:bookmarkStart w:id="203" w:name="ref-Maher_Conkey_2019"/>
    <w:p>
      <w:pPr>
        <w:pStyle w:val="Bibliography"/>
      </w:pPr>
      <w:r>
        <w:t xml:space="preserve">[79]</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2">
        <w:r>
          <w:rPr>
            <w:rStyle w:val="Hyperlink"/>
          </w:rPr>
          <w:t xml:space="preserve">https://doi.org/10.1086/701523</w:t>
        </w:r>
      </w:hyperlink>
      <w:r>
        <w:t xml:space="preserve">.</w:t>
      </w:r>
    </w:p>
    <w:bookmarkEnd w:id="203"/>
    <w:bookmarkStart w:id="204" w:name="ref-bahn1982inter"/>
    <w:p>
      <w:pPr>
        <w:pStyle w:val="Bibliography"/>
      </w:pPr>
      <w:r>
        <w:t xml:space="preserve">[80]</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4"/>
    <w:bookmarkStart w:id="206" w:name="ref-Bourdier_2013"/>
    <w:p>
      <w:pPr>
        <w:pStyle w:val="Bibliography"/>
      </w:pPr>
      <w:r>
        <w:t xml:space="preserve">[81]</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5">
        <w:r>
          <w:rPr>
            <w:rStyle w:val="Hyperlink"/>
          </w:rPr>
          <w:t xml:space="preserve">https://doi.org/10.1016/j.jaa.2013.05.005</w:t>
        </w:r>
      </w:hyperlink>
      <w:r>
        <w:t xml:space="preserve">.</w:t>
      </w:r>
    </w:p>
    <w:bookmarkEnd w:id="206"/>
    <w:bookmarkStart w:id="208" w:name="ref-Svoboda_2013"/>
    <w:p>
      <w:pPr>
        <w:pStyle w:val="Bibliography"/>
      </w:pPr>
      <w:r>
        <w:t xml:space="preserve">[82]</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7">
        <w:r>
          <w:rPr>
            <w:rStyle w:val="Hyperlink"/>
          </w:rPr>
          <w:t xml:space="preserve">https://doi.org/10.4000/palethnologie.4945</w:t>
        </w:r>
      </w:hyperlink>
      <w:r>
        <w:t xml:space="preserve">.</w:t>
      </w:r>
    </w:p>
    <w:bookmarkEnd w:id="208"/>
    <w:bookmarkStart w:id="209" w:name="ref-white1992rethinking"/>
    <w:p>
      <w:pPr>
        <w:pStyle w:val="Bibliography"/>
      </w:pPr>
      <w:r>
        <w:t xml:space="preserve">[83]</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9"/>
    <w:bookmarkStart w:id="210" w:name="X79d7c52b9cdbe72fc1b94e51c6ee6057d0c4a50"/>
    <w:p>
      <w:pPr>
        <w:pStyle w:val="Bibliography"/>
      </w:pPr>
      <w:r>
        <w:t xml:space="preserve">[84]</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10"/>
    <w:bookmarkStart w:id="212" w:name="ref-montet-white1994"/>
    <w:p>
      <w:pPr>
        <w:pStyle w:val="Bibliography"/>
      </w:pPr>
      <w:r>
        <w:t xml:space="preserve">[85]</w:t>
      </w:r>
      <w:r>
        <w:t xml:space="preserve"> </w:t>
      </w:r>
      <w:r>
        <w:t xml:space="preserve">	</w:t>
      </w:r>
      <w:r>
        <w:t xml:space="preserve">Montet-White A.</w:t>
      </w:r>
      <w:r>
        <w:t xml:space="preserve"> </w:t>
      </w:r>
      <w:hyperlink r:id="rId211">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2"/>
    <w:bookmarkStart w:id="214" w:name="ref-Frerebeau_2025"/>
    <w:p>
      <w:pPr>
        <w:pStyle w:val="Bibliography"/>
      </w:pPr>
      <w:r>
        <w:t xml:space="preserve">[86]</w:t>
      </w:r>
      <w:r>
        <w:t xml:space="preserve"> </w:t>
      </w:r>
      <w:r>
        <w:t xml:space="preserve">	</w:t>
      </w:r>
      <w:r>
        <w:t xml:space="preserve">Frerebeau N. Tabula: Analysis and visualization of archaeological count data 2025.</w:t>
      </w:r>
      <w:r>
        <w:t xml:space="preserve"> </w:t>
      </w:r>
      <w:hyperlink r:id="rId213">
        <w:r>
          <w:rPr>
            <w:rStyle w:val="Hyperlink"/>
          </w:rPr>
          <w:t xml:space="preserve">https://doi.org/10.5281/zenodo.15397990</w:t>
        </w:r>
      </w:hyperlink>
      <w:r>
        <w:t xml:space="preserve">.</w:t>
      </w:r>
    </w:p>
    <w:bookmarkEnd w:id="214"/>
    <w:bookmarkStart w:id="216" w:name="ref-Kintigh_1984"/>
    <w:p>
      <w:pPr>
        <w:pStyle w:val="Bibliography"/>
      </w:pPr>
      <w:r>
        <w:t xml:space="preserve">[87]</w:t>
      </w:r>
      <w:r>
        <w:t xml:space="preserve"> </w:t>
      </w:r>
      <w:r>
        <w:t xml:space="preserve">	</w:t>
      </w:r>
      <w:r>
        <w:t xml:space="preserve">Kintigh KW. Measuring archaeological diversity by comparison with simulated assemblages. American Antiquity 1984;49:44–54.</w:t>
      </w:r>
      <w:r>
        <w:t xml:space="preserve"> </w:t>
      </w:r>
      <w:hyperlink r:id="rId215">
        <w:r>
          <w:rPr>
            <w:rStyle w:val="Hyperlink"/>
          </w:rPr>
          <w:t xml:space="preserve">https://doi.org/10.2307/280511</w:t>
        </w:r>
      </w:hyperlink>
      <w:r>
        <w:t xml:space="preserve">.</w:t>
      </w:r>
    </w:p>
    <w:bookmarkEnd w:id="216"/>
    <w:bookmarkStart w:id="218" w:name="X8c17deb08b87fbfa26556dda630532ff62c8bd1"/>
    <w:p>
      <w:pPr>
        <w:pStyle w:val="Bibliography"/>
      </w:pPr>
      <w:r>
        <w:t xml:space="preserve">[88]</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7">
        <w:r>
          <w:rPr>
            <w:rStyle w:val="Hyperlink"/>
          </w:rPr>
          <w:t xml:space="preserve">https://doi.org/10.1038/s41467-024-51349-y</w:t>
        </w:r>
      </w:hyperlink>
      <w:r>
        <w:t xml:space="preserve">.</w:t>
      </w:r>
    </w:p>
    <w:bookmarkEnd w:id="218"/>
    <w:bookmarkStart w:id="220" w:name="ref-smith1992Design"/>
    <w:p>
      <w:pPr>
        <w:pStyle w:val="Bibliography"/>
      </w:pPr>
      <w:r>
        <w:t xml:space="preserve">[89]</w:t>
      </w:r>
      <w:r>
        <w:t xml:space="preserve"> </w:t>
      </w:r>
      <w:r>
        <w:t xml:space="preserve">	</w:t>
      </w:r>
      <w:r>
        <w:t xml:space="preserve">Smith C.</w:t>
      </w:r>
      <w:r>
        <w:t xml:space="preserve"> </w:t>
      </w:r>
      <w:hyperlink r:id="rId219">
        <w:r>
          <w:rPr>
            <w:rStyle w:val="Hyperlink"/>
          </w:rPr>
          <w:t xml:space="preserve">Designed dreaming: Assessing the relationship between style, social structure and environment in aboriginal australia</w:t>
        </w:r>
      </w:hyperlink>
      <w:r>
        <w:t xml:space="preserve">. Australian Archaeology 1992:51–1.</w:t>
      </w:r>
    </w:p>
    <w:bookmarkEnd w:id="220"/>
    <w:bookmarkStart w:id="221" w:name="ref-hays1993symbol"/>
    <w:p>
      <w:pPr>
        <w:pStyle w:val="Bibliography"/>
      </w:pPr>
      <w:r>
        <w:t xml:space="preserve">[90]</w:t>
      </w:r>
      <w:r>
        <w:t xml:space="preserve"> </w:t>
      </w:r>
      <w:r>
        <w:t xml:space="preserve">	</w:t>
      </w:r>
      <w:r>
        <w:t xml:space="preserve">Hays KA. When is a symbol archaeologically meaningful? Meaning, function, and prehistoric visual arts. Archaeological Theory: Who Sets the Agenda 1993:81–92.</w:t>
      </w:r>
    </w:p>
    <w:bookmarkEnd w:id="221"/>
    <w:bookmarkStart w:id="222" w:name="ref-McDonald_Veth_Lilley_2006"/>
    <w:p>
      <w:pPr>
        <w:pStyle w:val="Bibliography"/>
      </w:pPr>
      <w:r>
        <w:t xml:space="preserve">[91]</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2"/>
    <w:bookmarkStart w:id="224" w:name="ref-Lourandos_1985"/>
    <w:p>
      <w:pPr>
        <w:pStyle w:val="Bibliography"/>
      </w:pPr>
      <w:r>
        <w:t xml:space="preserve">[92]</w:t>
      </w:r>
      <w:r>
        <w:t xml:space="preserve"> </w:t>
      </w:r>
      <w:r>
        <w:t xml:space="preserve">	</w:t>
      </w:r>
      <w:r>
        <w:t xml:space="preserve">Lourandos H. 15 - intensification and australian prehistory. In: Price TD, Brown JA, editors. Prehistoric hunters-gatherers, Academic Press; 1985, p. 385–423. https://doi.org/</w:t>
      </w:r>
      <w:hyperlink r:id="rId223">
        <w:r>
          <w:rPr>
            <w:rStyle w:val="Hyperlink"/>
          </w:rPr>
          <w:t xml:space="preserve">https://doi.org/10.1016/B978-0-12-564750-2.50020-2</w:t>
        </w:r>
      </w:hyperlink>
      <w:r>
        <w:t xml:space="preserve">.</w:t>
      </w:r>
    </w:p>
    <w:bookmarkEnd w:id="224"/>
    <w:bookmarkStart w:id="226" w:name="ref-barton_clark_cohen1994"/>
    <w:p>
      <w:pPr>
        <w:pStyle w:val="Bibliography"/>
      </w:pPr>
      <w:r>
        <w:t xml:space="preserve">[93]</w:t>
      </w:r>
      <w:r>
        <w:t xml:space="preserve"> </w:t>
      </w:r>
      <w:r>
        <w:t xml:space="preserve">	</w:t>
      </w:r>
      <w:r>
        <w:t xml:space="preserve">Barton CM, Clark GA, Cohen AE.</w:t>
      </w:r>
      <w:r>
        <w:t xml:space="preserve"> </w:t>
      </w:r>
      <w:hyperlink r:id="rId225">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6"/>
    <w:bookmarkStart w:id="227" w:name="ref-mcdonald2012social"/>
    <w:p>
      <w:pPr>
        <w:pStyle w:val="Bibliography"/>
      </w:pPr>
      <w:r>
        <w:t xml:space="preserve">[94]</w:t>
      </w:r>
      <w:r>
        <w:t xml:space="preserve"> </w:t>
      </w:r>
      <w:r>
        <w:t xml:space="preserve">	</w:t>
      </w:r>
      <w:r>
        <w:t xml:space="preserve">McDonald J, Veth P. The social dynamics of aggregation and dispersal in the western desert. A Companion to Rock Art 2012:90–102.</w:t>
      </w:r>
    </w:p>
    <w:bookmarkEnd w:id="227"/>
    <w:bookmarkStart w:id="228" w:name="ref-bernardini2005reconsidering"/>
    <w:p>
      <w:pPr>
        <w:pStyle w:val="Bibliography"/>
      </w:pPr>
      <w:r>
        <w:t xml:space="preserve">[95]</w:t>
      </w:r>
      <w:r>
        <w:t xml:space="preserve"> </w:t>
      </w:r>
      <w:r>
        <w:t xml:space="preserve">	</w:t>
      </w:r>
      <w:r>
        <w:t xml:space="preserve">Bernardini W. Reconsidering spatial and temporal aspects of prehistoric cultural identity: A case study from the american southwest. American Antiquity 2005;70:31–54.</w:t>
      </w:r>
    </w:p>
    <w:bookmarkEnd w:id="228"/>
    <w:bookmarkStart w:id="229" w:name="ref-wiessner1984reconsidering"/>
    <w:p>
      <w:pPr>
        <w:pStyle w:val="Bibliography"/>
      </w:pPr>
      <w:r>
        <w:t xml:space="preserve">[96]</w:t>
      </w:r>
      <w:r>
        <w:t xml:space="preserve"> </w:t>
      </w:r>
      <w:r>
        <w:t xml:space="preserve">	</w:t>
      </w:r>
      <w:r>
        <w:t xml:space="preserve">Wiessner P. Reconsidering the behavioral basis for style: A case study among the kalahari san. Journal of Anthropological Archaeology 1984;3:190–234.</w:t>
      </w:r>
    </w:p>
    <w:bookmarkEnd w:id="229"/>
    <w:bookmarkStart w:id="231" w:name="ref-smith1992"/>
    <w:p>
      <w:pPr>
        <w:pStyle w:val="Bibliography"/>
      </w:pPr>
      <w:r>
        <w:t xml:space="preserve">[97]</w:t>
      </w:r>
      <w:r>
        <w:t xml:space="preserve"> </w:t>
      </w:r>
      <w:r>
        <w:t xml:space="preserve">	</w:t>
      </w:r>
      <w:r>
        <w:t xml:space="preserve">Smith C.</w:t>
      </w:r>
      <w:r>
        <w:t xml:space="preserve"> </w:t>
      </w:r>
      <w:hyperlink r:id="rId230">
        <w:r>
          <w:rPr>
            <w:rStyle w:val="Hyperlink"/>
          </w:rPr>
          <w:t xml:space="preserve">Colonising with style: Reviewing the nexus between rock art, territorially and the colonisation and occupation of sahul</w:t>
        </w:r>
      </w:hyperlink>
      <w:r>
        <w:t xml:space="preserve">. Australian Archaeology 1992:34–42.</w:t>
      </w:r>
    </w:p>
    <w:bookmarkEnd w:id="231"/>
    <w:bookmarkStart w:id="233" w:name="X4fed35d53d406ce17aea32f9d6f163fcb563519"/>
    <w:p>
      <w:pPr>
        <w:pStyle w:val="Bibliography"/>
      </w:pPr>
      <w:r>
        <w:t xml:space="preserve">[98]</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2">
        <w:r>
          <w:rPr>
            <w:rStyle w:val="Hyperlink"/>
          </w:rPr>
          <w:t xml:space="preserve">https://doi.org/10.1007/978-4-431-55363-2_8</w:t>
        </w:r>
      </w:hyperlink>
      <w:r>
        <w:t xml:space="preserve">.</w:t>
      </w:r>
    </w:p>
    <w:bookmarkEnd w:id="233"/>
    <w:bookmarkStart w:id="234" w:name="ref-Cavalli_Sforza_Feldman_1981"/>
    <w:p>
      <w:pPr>
        <w:pStyle w:val="Bibliography"/>
      </w:pPr>
      <w:r>
        <w:t xml:space="preserve">[99]</w:t>
      </w:r>
      <w:r>
        <w:t xml:space="preserve"> </w:t>
      </w:r>
      <w:r>
        <w:t xml:space="preserve">	</w:t>
      </w:r>
      <w:r>
        <w:t xml:space="preserve">Cavalli-Sforza LL, Feldman MW. Cultural transmission and evolution: A quantitative approach. Princeton University Press; 1981.</w:t>
      </w:r>
    </w:p>
    <w:bookmarkEnd w:id="234"/>
    <w:bookmarkStart w:id="235" w:name="ref-Boyd_Richerson_1985"/>
    <w:p>
      <w:pPr>
        <w:pStyle w:val="Bibliography"/>
      </w:pPr>
      <w:r>
        <w:t xml:space="preserve">[100]</w:t>
      </w:r>
      <w:r>
        <w:t xml:space="preserve"> </w:t>
      </w:r>
      <w:r>
        <w:t xml:space="preserve">	</w:t>
      </w:r>
      <w:r>
        <w:t xml:space="preserve">Boyd R, Richerson PJ. Culture and the evolutionary process. University of Chicago Press; 1985.</w:t>
      </w:r>
    </w:p>
    <w:bookmarkEnd w:id="235"/>
    <w:bookmarkStart w:id="236" w:name="ref-Richerson_Boyd_2005"/>
    <w:p>
      <w:pPr>
        <w:pStyle w:val="Bibliography"/>
      </w:pPr>
      <w:r>
        <w:t xml:space="preserve">[101]</w:t>
      </w:r>
      <w:r>
        <w:t xml:space="preserve"> </w:t>
      </w:r>
      <w:r>
        <w:t xml:space="preserve">	</w:t>
      </w:r>
      <w:r>
        <w:t xml:space="preserve">Richerson PJ, Boyd R. Not by genes alone: How culture transformed human evolution. University of Chicago Press; 2005.</w:t>
      </w:r>
    </w:p>
    <w:bookmarkEnd w:id="236"/>
    <w:bookmarkStart w:id="237" w:name="ref-Henrich_2004"/>
    <w:p>
      <w:pPr>
        <w:pStyle w:val="Bibliography"/>
      </w:pPr>
      <w:r>
        <w:t xml:space="preserve">[102]</w:t>
      </w:r>
      <w:r>
        <w:t xml:space="preserve"> </w:t>
      </w:r>
      <w:r>
        <w:t xml:space="preserve">	</w:t>
      </w:r>
      <w:r>
        <w:t xml:space="preserve">Henrich J. Demography and cultural evolution: How adaptive cultural processes can produce maladaptive losses—the tasmanian case. American Antiquity 2004;44:185–201.</w:t>
      </w:r>
    </w:p>
    <w:bookmarkEnd w:id="237"/>
    <w:bookmarkStart w:id="238" w:name="ref-Migliano_2020"/>
    <w:p>
      <w:pPr>
        <w:pStyle w:val="Bibliography"/>
      </w:pPr>
      <w:r>
        <w:t xml:space="preserve">[103]</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8"/>
    <w:bookmarkStart w:id="239" w:name="ref-Allen_2020"/>
    <w:p>
      <w:pPr>
        <w:pStyle w:val="Bibliography"/>
      </w:pPr>
      <w:r>
        <w:t xml:space="preserve">[104]</w:t>
      </w:r>
      <w:r>
        <w:t xml:space="preserve"> </w:t>
      </w:r>
      <w:r>
        <w:t xml:space="preserve">	</w:t>
      </w:r>
      <w:r>
        <w:t xml:space="preserve">Allen J. A multilevel analytical framework for studying cultural evolution in prehistoric hunter–gatherer societies. Biological Reviews 2020;59:2527–46.</w:t>
      </w:r>
    </w:p>
    <w:bookmarkEnd w:id="239"/>
    <w:bookmarkStart w:id="240" w:name="ref-Buchanan_Hamilton_2023"/>
    <w:p>
      <w:pPr>
        <w:pStyle w:val="Bibliography"/>
      </w:pPr>
      <w:r>
        <w:t xml:space="preserve">[105]</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40"/>
    <w:bookmarkStart w:id="241" w:name="ref-Eerkens_Lipo_2005"/>
    <w:p>
      <w:pPr>
        <w:pStyle w:val="Bibliography"/>
      </w:pPr>
      <w:r>
        <w:t xml:space="preserve">[106]</w:t>
      </w:r>
      <w:r>
        <w:t xml:space="preserve"> </w:t>
      </w:r>
      <w:r>
        <w:t xml:space="preserve">	</w:t>
      </w:r>
      <w:r>
        <w:t xml:space="preserve">Eerkens JW, Lipo CP. Cultural transmission and the evolution of material culture: Modeling the coefficient of variation. American Antiquity 2005;48:1–21.</w:t>
      </w:r>
    </w:p>
    <w:bookmarkEnd w:id="241"/>
    <w:bookmarkStart w:id="242" w:name="ref-Bentz_Dutkiewicz_2025"/>
    <w:p>
      <w:pPr>
        <w:pStyle w:val="Bibliography"/>
      </w:pPr>
      <w:r>
        <w:t xml:space="preserve">[107]</w:t>
      </w:r>
      <w:r>
        <w:t xml:space="preserve"> </w:t>
      </w:r>
      <w:r>
        <w:t xml:space="preserve">	</w:t>
      </w:r>
      <w:r>
        <w:t xml:space="preserve">Bentz C, Dutkiewicz E. Humans 40,000 y ago developed a system of conventional signs. Proceedings of the National Academy of Sciences 2025:1–8.</w:t>
      </w:r>
    </w:p>
    <w:bookmarkEnd w:id="242"/>
    <w:bookmarkStart w:id="243" w:name="ref-Bacon_2023"/>
    <w:p>
      <w:pPr>
        <w:pStyle w:val="Bibliography"/>
      </w:pPr>
      <w:r>
        <w:t xml:space="preserve">[108]</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3"/>
    <w:bookmarkStart w:id="245" w:name="Xa4990169aeb885a690070ab4fd90972c31994f8"/>
    <w:p>
      <w:pPr>
        <w:pStyle w:val="Bibliography"/>
      </w:pPr>
      <w:r>
        <w:t xml:space="preserve">[109]</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4">
        <w:r>
          <w:rPr>
            <w:rStyle w:val="Hyperlink"/>
          </w:rPr>
          <w:t xml:space="preserve">https://doi.org/10.2139/ssrn.7053279</w:t>
        </w:r>
      </w:hyperlink>
      <w:r>
        <w:t xml:space="preserve">.</w:t>
      </w:r>
    </w:p>
    <w:bookmarkEnd w:id="245"/>
    <w:bookmarkStart w:id="247" w:name="X8ea620419c64d551554c48b7075c9934881930b"/>
    <w:p>
      <w:pPr>
        <w:pStyle w:val="Bibliography"/>
      </w:pPr>
      <w:r>
        <w:t xml:space="preserve">[110]</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6">
        <w:r>
          <w:rPr>
            <w:rStyle w:val="Hyperlink"/>
          </w:rPr>
          <w:t xml:space="preserve">https://doi.org/10.1007/s41982-023-00158-8</w:t>
        </w:r>
      </w:hyperlink>
      <w:r>
        <w:t xml:space="preserve">.</w:t>
      </w:r>
    </w:p>
    <w:bookmarkEnd w:id="247"/>
    <w:bookmarkStart w:id="249" w:name="ref-Magli_2024"/>
    <w:p>
      <w:pPr>
        <w:pStyle w:val="Bibliography"/>
      </w:pPr>
      <w:r>
        <w:t xml:space="preserve">[111]</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8">
        <w:r>
          <w:rPr>
            <w:rStyle w:val="Hyperlink"/>
          </w:rPr>
          <w:t xml:space="preserve">https://doi.org/10.1093/mind/fzae011</w:t>
        </w:r>
      </w:hyperlink>
      <w:r>
        <w:t xml:space="preserve">.</w:t>
      </w:r>
    </w:p>
    <w:bookmarkEnd w:id="249"/>
    <w:bookmarkStart w:id="251" w:name="ref-Nowell_2024_evidence"/>
    <w:p>
      <w:pPr>
        <w:pStyle w:val="Bibliography"/>
      </w:pPr>
      <w:r>
        <w:t xml:space="preserve">[112]</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50">
        <w:r>
          <w:rPr>
            <w:rStyle w:val="Hyperlink"/>
          </w:rPr>
          <w:t xml:space="preserve">https://doi.org/10.1017/S0959774324000155</w:t>
        </w:r>
      </w:hyperlink>
      <w:r>
        <w:t xml:space="preserve">.</w:t>
      </w:r>
    </w:p>
    <w:bookmarkEnd w:id="251"/>
    <w:bookmarkStart w:id="253" w:name="ref-Horiuchi_Takakura_2019"/>
    <w:p>
      <w:pPr>
        <w:pStyle w:val="Bibliography"/>
      </w:pPr>
      <w:r>
        <w:t xml:space="preserve">[113]</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2">
        <w:r>
          <w:rPr>
            <w:rStyle w:val="Hyperlink"/>
          </w:rPr>
          <w:t xml:space="preserve">https://doi.org/10.1007/978-981-13-8980-1_12</w:t>
        </w:r>
      </w:hyperlink>
      <w:r>
        <w:t xml:space="preserve">.</w:t>
      </w:r>
    </w:p>
    <w:bookmarkEnd w:id="253"/>
    <w:bookmarkStart w:id="254" w:name="ref-Rogers_2013"/>
    <w:p>
      <w:pPr>
        <w:pStyle w:val="Bibliography"/>
      </w:pPr>
      <w:r>
        <w:t xml:space="preserve">[114]</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4"/>
    <w:bookmarkStart w:id="256" w:name="X94f875be1b7e5d23641daff5d53857bec24e739"/>
    <w:p>
      <w:pPr>
        <w:pStyle w:val="Bibliography"/>
      </w:pPr>
      <w:r>
        <w:t xml:space="preserve">[115]</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5">
        <w:r>
          <w:rPr>
            <w:rStyle w:val="Hyperlink"/>
          </w:rPr>
          <w:t xml:space="preserve">https://doi.org/10.1016/j.jasrep.2021.103118</w:t>
        </w:r>
      </w:hyperlink>
      <w:r>
        <w:t xml:space="preserve">.</w:t>
      </w:r>
    </w:p>
    <w:bookmarkEnd w:id="256"/>
    <w:bookmarkStart w:id="258" w:name="ref-Gamble_1982"/>
    <w:p>
      <w:pPr>
        <w:pStyle w:val="Bibliography"/>
      </w:pPr>
      <w:r>
        <w:t xml:space="preserve">[116]</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7">
        <w:r>
          <w:rPr>
            <w:rStyle w:val="Hyperlink"/>
          </w:rPr>
          <w:t xml:space="preserve">https://doi.org/10.2307/2802103</w:t>
        </w:r>
      </w:hyperlink>
      <w:r>
        <w:t xml:space="preserve">.</w:t>
      </w:r>
    </w:p>
    <w:bookmarkEnd w:id="258"/>
    <w:bookmarkStart w:id="260" w:name="Xba346573845225b1b1d5ef358e2fea0d893a789"/>
    <w:p>
      <w:pPr>
        <w:pStyle w:val="Bibliography"/>
      </w:pPr>
      <w:r>
        <w:t xml:space="preserve">[117]</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9">
        <w:r>
          <w:rPr>
            <w:rStyle w:val="Hyperlink"/>
          </w:rPr>
          <w:t xml:space="preserve">https://doi.org/10.1016/j.quascirev.2018.12.011</w:t>
        </w:r>
      </w:hyperlink>
      <w:r>
        <w:t xml:space="preserve">.</w:t>
      </w:r>
    </w:p>
    <w:bookmarkEnd w:id="260"/>
    <w:bookmarkStart w:id="262" w:name="ref-Creanza_Kolodny_Feldman_2017"/>
    <w:p>
      <w:pPr>
        <w:pStyle w:val="Bibliography"/>
      </w:pPr>
      <w:r>
        <w:t xml:space="preserve">[118]</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1">
        <w:r>
          <w:rPr>
            <w:rStyle w:val="Hyperlink"/>
          </w:rPr>
          <w:t xml:space="preserve">https://doi.org/10.1098/rsif.2017.0171</w:t>
        </w:r>
      </w:hyperlink>
      <w:r>
        <w:t xml:space="preserve">.</w:t>
      </w:r>
    </w:p>
    <w:bookmarkEnd w:id="262"/>
    <w:bookmarkStart w:id="264" w:name="ref-Cullen_1996"/>
    <w:p>
      <w:pPr>
        <w:pStyle w:val="Bibliography"/>
      </w:pPr>
      <w:r>
        <w:t xml:space="preserve">[119]</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3">
        <w:r>
          <w:rPr>
            <w:rStyle w:val="Hyperlink"/>
          </w:rPr>
          <w:t xml:space="preserve">https://doi.org/10.1007/978-1-4757-9945-3_4</w:t>
        </w:r>
      </w:hyperlink>
      <w:r>
        <w:t xml:space="preserve">.</w:t>
      </w:r>
    </w:p>
    <w:bookmarkEnd w:id="264"/>
    <w:bookmarkStart w:id="266" w:name="ref-Hill_Wood_Baggio_Hurtado_Boyd_2014"/>
    <w:p>
      <w:pPr>
        <w:pStyle w:val="Bibliography"/>
      </w:pPr>
      <w:r>
        <w:t xml:space="preserve">[120]</w:t>
      </w:r>
      <w:r>
        <w:t xml:space="preserve"> </w:t>
      </w:r>
      <w:r>
        <w:t xml:space="preserve">	</w:t>
      </w:r>
      <w:r>
        <w:t xml:space="preserve">Hill KR, Wood BM, Baggio J, Hurtado AM, Boyd RT. Hunter-gatherer inter-band interaction rates: Implications for cumulative culture. PLOS ONE 2014;9:1–9.</w:t>
      </w:r>
      <w:r>
        <w:t xml:space="preserve"> </w:t>
      </w:r>
      <w:hyperlink r:id="rId265">
        <w:r>
          <w:rPr>
            <w:rStyle w:val="Hyperlink"/>
          </w:rPr>
          <w:t xml:space="preserve">https://doi.org/10.1371/journal.pone.0102806</w:t>
        </w:r>
      </w:hyperlink>
      <w:r>
        <w:t xml:space="preserve">.</w:t>
      </w:r>
    </w:p>
    <w:bookmarkEnd w:id="266"/>
    <w:bookmarkStart w:id="268" w:name="ref-Derex_Boyd_2016"/>
    <w:p>
      <w:pPr>
        <w:pStyle w:val="Bibliography"/>
      </w:pPr>
      <w:r>
        <w:t xml:space="preserve">[121]</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7">
        <w:r>
          <w:rPr>
            <w:rStyle w:val="Hyperlink"/>
          </w:rPr>
          <w:t xml:space="preserve">https://doi.org/10.1073/pnas.1518798113</w:t>
        </w:r>
      </w:hyperlink>
      <w:r>
        <w:t xml:space="preserve">.</w:t>
      </w:r>
    </w:p>
    <w:bookmarkEnd w:id="268"/>
    <w:bookmarkStart w:id="270"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9">
        <w:r>
          <w:rPr>
            <w:rStyle w:val="Hyperlink"/>
          </w:rPr>
          <w:t xml:space="preserve">https://doi.org/10.1093/oxfordhb/9780198854265.013.31</w:t>
        </w:r>
      </w:hyperlink>
      <w:r>
        <w:t xml:space="preserve">.</w:t>
      </w:r>
    </w:p>
    <w:bookmarkEnd w:id="270"/>
    <w:bookmarkStart w:id="271" w:name="ref-Von_Petzinger_2009"/>
    <w:p>
      <w:pPr>
        <w:pStyle w:val="Bibliography"/>
      </w:pPr>
      <w:r>
        <w:t xml:space="preserve">[123]</w:t>
      </w:r>
      <w:r>
        <w:t xml:space="preserve"> </w:t>
      </w:r>
      <w:r>
        <w:t xml:space="preserve">	</w:t>
      </w:r>
      <w:r>
        <w:t xml:space="preserve">Von Petzinger G. Making the abstract concrete: The place of geometric signs in french</w:t>
      </w:r>
      <w:r>
        <w:t xml:space="preserve"> </w:t>
      </w:r>
      <w:r>
        <w:t xml:space="preserve">Upper Paleolithic</w:t>
      </w:r>
      <w:r>
        <w:t xml:space="preserve"> </w:t>
      </w:r>
      <w:r>
        <w:t xml:space="preserve">parietal art. Master of Arts in Anthropology. University of Victoria, 2009.</w:t>
      </w:r>
    </w:p>
    <w:bookmarkEnd w:id="271"/>
    <w:bookmarkStart w:id="273" w:name="ref-Herskind2023"/>
    <w:p>
      <w:pPr>
        <w:pStyle w:val="Bibliography"/>
      </w:pPr>
      <w:r>
        <w:t xml:space="preserve">[124]</w:t>
      </w:r>
      <w:r>
        <w:t xml:space="preserve"> </w:t>
      </w:r>
      <w:r>
        <w:t xml:space="preserve">	</w:t>
      </w:r>
      <w:r>
        <w:t xml:space="preserve">Platz HLL. A case for idle graffiti. Hunter Gatherer Research 2023;9:59–93.</w:t>
      </w:r>
      <w:r>
        <w:t xml:space="preserve"> </w:t>
      </w:r>
      <w:hyperlink r:id="rId272">
        <w:r>
          <w:rPr>
            <w:rStyle w:val="Hyperlink"/>
          </w:rPr>
          <w:t xml:space="preserve">https://doi.org/10.3828/hgr.2023.12</w:t>
        </w:r>
      </w:hyperlink>
      <w:r>
        <w:t xml:space="preserve">.</w:t>
      </w:r>
    </w:p>
    <w:bookmarkEnd w:id="273"/>
    <w:bookmarkStart w:id="275" w:name="X42e36537dda68556aeacf852410efd6ac3bb1ca"/>
    <w:p>
      <w:pPr>
        <w:pStyle w:val="Bibliography"/>
      </w:pPr>
      <w:r>
        <w:t xml:space="preserve">[125]</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4">
        <w:r>
          <w:rPr>
            <w:rStyle w:val="Hyperlink"/>
          </w:rPr>
          <w:t xml:space="preserve">https://doi.org/10.1007/s10816-023-09608-7</w:t>
        </w:r>
      </w:hyperlink>
      <w:r>
        <w:t xml:space="preserve">.</w:t>
      </w:r>
    </w:p>
    <w:bookmarkEnd w:id="275"/>
    <w:bookmarkStart w:id="277" w:name="ref-Marwick2017"/>
    <w:p>
      <w:pPr>
        <w:pStyle w:val="Bibliography"/>
      </w:pPr>
      <w:r>
        <w:t xml:space="preserve">[126]</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6">
        <w:r>
          <w:rPr>
            <w:rStyle w:val="Hyperlink"/>
          </w:rPr>
          <w:t xml:space="preserve">https://doi.org/10.1007/s10816-015-9272-9</w:t>
        </w:r>
      </w:hyperlink>
      <w:r>
        <w:t xml:space="preserve">.</w:t>
      </w:r>
    </w:p>
    <w:bookmarkEnd w:id="277"/>
    <w:bookmarkStart w:id="279" w:name="ref-Marwick_2025"/>
    <w:p>
      <w:pPr>
        <w:pStyle w:val="Bibliography"/>
      </w:pPr>
      <w:r>
        <w:t xml:space="preserve">[127]</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8">
        <w:r>
          <w:rPr>
            <w:rStyle w:val="Hyperlink"/>
          </w:rPr>
          <w:t xml:space="preserve">https://doi.org/10.1016/j.jas.2025.106281</w:t>
        </w:r>
      </w:hyperlink>
      <w:r>
        <w:t xml:space="preserve">.</w:t>
      </w:r>
    </w:p>
    <w:bookmarkEnd w:id="279"/>
    <w:bookmarkEnd w:id="280"/>
    <w:bookmarkEnd w:id="281"/>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w="http://schemas.openxmlformats.org/wordprocessingml/2006/main"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customStyle="1" w:styleId="Table" w:type="table">
    <w:tblPr/>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1" Target="http://www.jstor.org.offcampus.lib.washington.edu/stable/j.ctt1pk86rr.16" TargetMode="External" /><Relationship Type="http://schemas.openxmlformats.org/officeDocument/2006/relationships/hyperlink" Id="rId145" Target="http://www.jstor.org.offcampus.lib.washington.edu/stable/j.ctt1pk86rr.5" TargetMode="External" /><Relationship Type="http://schemas.openxmlformats.org/officeDocument/2006/relationships/hyperlink" Id="rId225" Target="http://www.jstor.org/stable/124852" TargetMode="External" /><Relationship Type="http://schemas.openxmlformats.org/officeDocument/2006/relationships/hyperlink" Id="rId211" Target="http://www.jstor.org/stable/2156023" TargetMode="External" /><Relationship Type="http://schemas.openxmlformats.org/officeDocument/2006/relationships/hyperlink" Id="rId200" Target="http://www.jstor.org/stable/2741828" TargetMode="External" /><Relationship Type="http://schemas.openxmlformats.org/officeDocument/2006/relationships/hyperlink" Id="rId175" Target="http://www.jstor.org/stable/279544" TargetMode="External" /><Relationship Type="http://schemas.openxmlformats.org/officeDocument/2006/relationships/hyperlink" Id="rId177" Target="http://www.jstor.org/stable/2800797" TargetMode="External" /><Relationship Type="http://schemas.openxmlformats.org/officeDocument/2006/relationships/hyperlink" Id="rId230" Target="http://www.jstor.org/stable/40287092" TargetMode="External" /><Relationship Type="http://schemas.openxmlformats.org/officeDocument/2006/relationships/hyperlink" Id="rId219"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7"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3"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2" Target="https://doi.org/10.1007/978-4-431-55363-2_8" TargetMode="External" /><Relationship Type="http://schemas.openxmlformats.org/officeDocument/2006/relationships/hyperlink" Id="rId252" Target="https://doi.org/10.1007/978-981-13-8980-1_12" TargetMode="External" /><Relationship Type="http://schemas.openxmlformats.org/officeDocument/2006/relationships/hyperlink" Id="rId154" Target="https://doi.org/10.1007/s10814-013-9068-y" TargetMode="External" /><Relationship Type="http://schemas.openxmlformats.org/officeDocument/2006/relationships/hyperlink" Id="rId276" Target="https://doi.org/10.1007/s10816-015-9272-9" TargetMode="External" /><Relationship Type="http://schemas.openxmlformats.org/officeDocument/2006/relationships/hyperlink" Id="rId274"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6" Target="https://doi.org/10.1007/s41982-023-00158-8" TargetMode="External" /><Relationship Type="http://schemas.openxmlformats.org/officeDocument/2006/relationships/hyperlink" Id="rId114" Target="https://doi.org/10.1007/s41982-025-00298-3" TargetMode="External" /><Relationship Type="http://schemas.openxmlformats.org/officeDocument/2006/relationships/hyperlink" Id="rId149" Target="https://doi.org/10.1016/B978-0-12-564750-2.50006-8" TargetMode="External" /><Relationship Type="http://schemas.openxmlformats.org/officeDocument/2006/relationships/hyperlink" Id="rId170" Target="https://doi.org/10.1016/B978-0-12-564750-2.50016-0" TargetMode="External" /><Relationship Type="http://schemas.openxmlformats.org/officeDocument/2006/relationships/hyperlink" Id="rId223"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6" Target="https://doi.org/10.1016/j.evolhumbehav.2022.07.003" TargetMode="External" /><Relationship Type="http://schemas.openxmlformats.org/officeDocument/2006/relationships/hyperlink" Id="rId183" Target="https://doi.org/10.1016/j.jaa.2005.11.004" TargetMode="External" /><Relationship Type="http://schemas.openxmlformats.org/officeDocument/2006/relationships/hyperlink" Id="rId205"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8" Target="https://doi.org/10.1016/j.jas.2025.106281" TargetMode="External" /><Relationship Type="http://schemas.openxmlformats.org/officeDocument/2006/relationships/hyperlink" Id="rId255" Target="https://doi.org/10.1016/j.jasrep.2021.103118" TargetMode="External" /><Relationship Type="http://schemas.openxmlformats.org/officeDocument/2006/relationships/hyperlink" Id="rId181"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8"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9"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3"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60" Target="https://doi.org/10.1017/S0079497X00006265" TargetMode="External" /><Relationship Type="http://schemas.openxmlformats.org/officeDocument/2006/relationships/hyperlink" Id="rId250"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7"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7" Target="https://doi.org/10.1073/pnas.1518798113" TargetMode="External" /><Relationship Type="http://schemas.openxmlformats.org/officeDocument/2006/relationships/hyperlink" Id="rId202" Target="https://doi.org/10.1086/701523" TargetMode="External" /><Relationship Type="http://schemas.openxmlformats.org/officeDocument/2006/relationships/hyperlink" Id="rId248" Target="https://doi.org/10.1093/mind/fzae011" TargetMode="External" /><Relationship Type="http://schemas.openxmlformats.org/officeDocument/2006/relationships/hyperlink" Id="rId269" Target="https://doi.org/10.1093/oxfordhb/9780198854265.013.31" TargetMode="External" /><Relationship Type="http://schemas.openxmlformats.org/officeDocument/2006/relationships/hyperlink" Id="rId261" Target="https://doi.org/10.1098/rsif.2017.0171" TargetMode="External" /><Relationship Type="http://schemas.openxmlformats.org/officeDocument/2006/relationships/hyperlink" Id="rId190"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2"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5" Target="https://doi.org/10.1179/sea.2010.29.1.013" TargetMode="External" /><Relationship Type="http://schemas.openxmlformats.org/officeDocument/2006/relationships/hyperlink" Id="rId265"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4" Target="https://doi.org/10.2139/ssrn.7053279" TargetMode="External" /><Relationship Type="http://schemas.openxmlformats.org/officeDocument/2006/relationships/hyperlink" Id="rId257" Target="https://doi.org/10.2307/2802103" TargetMode="External" /><Relationship Type="http://schemas.openxmlformats.org/officeDocument/2006/relationships/hyperlink" Id="rId215" Target="https://doi.org/10.2307/280511" TargetMode="External" /><Relationship Type="http://schemas.openxmlformats.org/officeDocument/2006/relationships/hyperlink" Id="rId147" Target="https://doi.org/10.2307/3034956" TargetMode="External" /><Relationship Type="http://schemas.openxmlformats.org/officeDocument/2006/relationships/hyperlink" Id="rId162" Target="https://doi.org/10.2307/j.ctv24q4z2g.5" TargetMode="External" /><Relationship Type="http://schemas.openxmlformats.org/officeDocument/2006/relationships/hyperlink" Id="rId188" Target="https://doi.org/10.2307/j.ctvdmwwz4.10" TargetMode="External" /><Relationship Type="http://schemas.openxmlformats.org/officeDocument/2006/relationships/hyperlink" Id="rId186" Target="https://doi.org/10.2307/j.ctvdmwwz4.7" TargetMode="External" /><Relationship Type="http://schemas.openxmlformats.org/officeDocument/2006/relationships/hyperlink" Id="rId194"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2" Target="https://doi.org/10.3828/hgr.2023.12" TargetMode="External" /><Relationship Type="http://schemas.openxmlformats.org/officeDocument/2006/relationships/hyperlink" Id="rId207"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3"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1" Target="http://www.jstor.org.offcampus.lib.washington.edu/stable/j.ctt1pk86rr.16" TargetMode="External" /><Relationship Type="http://schemas.openxmlformats.org/officeDocument/2006/relationships/hyperlink" Id="rId145" Target="http://www.jstor.org.offcampus.lib.washington.edu/stable/j.ctt1pk86rr.5" TargetMode="External" /><Relationship Type="http://schemas.openxmlformats.org/officeDocument/2006/relationships/hyperlink" Id="rId225" Target="http://www.jstor.org/stable/124852" TargetMode="External" /><Relationship Type="http://schemas.openxmlformats.org/officeDocument/2006/relationships/hyperlink" Id="rId211" Target="http://www.jstor.org/stable/2156023" TargetMode="External" /><Relationship Type="http://schemas.openxmlformats.org/officeDocument/2006/relationships/hyperlink" Id="rId200" Target="http://www.jstor.org/stable/2741828" TargetMode="External" /><Relationship Type="http://schemas.openxmlformats.org/officeDocument/2006/relationships/hyperlink" Id="rId175" Target="http://www.jstor.org/stable/279544" TargetMode="External" /><Relationship Type="http://schemas.openxmlformats.org/officeDocument/2006/relationships/hyperlink" Id="rId177" Target="http://www.jstor.org/stable/2800797" TargetMode="External" /><Relationship Type="http://schemas.openxmlformats.org/officeDocument/2006/relationships/hyperlink" Id="rId230" Target="http://www.jstor.org/stable/40287092" TargetMode="External" /><Relationship Type="http://schemas.openxmlformats.org/officeDocument/2006/relationships/hyperlink" Id="rId219"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7"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3"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2" Target="https://doi.org/10.1007/978-4-431-55363-2_8" TargetMode="External" /><Relationship Type="http://schemas.openxmlformats.org/officeDocument/2006/relationships/hyperlink" Id="rId252" Target="https://doi.org/10.1007/978-981-13-8980-1_12" TargetMode="External" /><Relationship Type="http://schemas.openxmlformats.org/officeDocument/2006/relationships/hyperlink" Id="rId154" Target="https://doi.org/10.1007/s10814-013-9068-y" TargetMode="External" /><Relationship Type="http://schemas.openxmlformats.org/officeDocument/2006/relationships/hyperlink" Id="rId276" Target="https://doi.org/10.1007/s10816-015-9272-9" TargetMode="External" /><Relationship Type="http://schemas.openxmlformats.org/officeDocument/2006/relationships/hyperlink" Id="rId274"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6" Target="https://doi.org/10.1007/s41982-023-00158-8" TargetMode="External" /><Relationship Type="http://schemas.openxmlformats.org/officeDocument/2006/relationships/hyperlink" Id="rId114" Target="https://doi.org/10.1007/s41982-025-00298-3" TargetMode="External" /><Relationship Type="http://schemas.openxmlformats.org/officeDocument/2006/relationships/hyperlink" Id="rId149" Target="https://doi.org/10.1016/B978-0-12-564750-2.50006-8" TargetMode="External" /><Relationship Type="http://schemas.openxmlformats.org/officeDocument/2006/relationships/hyperlink" Id="rId170" Target="https://doi.org/10.1016/B978-0-12-564750-2.50016-0" TargetMode="External" /><Relationship Type="http://schemas.openxmlformats.org/officeDocument/2006/relationships/hyperlink" Id="rId223"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6" Target="https://doi.org/10.1016/j.evolhumbehav.2022.07.003" TargetMode="External" /><Relationship Type="http://schemas.openxmlformats.org/officeDocument/2006/relationships/hyperlink" Id="rId183" Target="https://doi.org/10.1016/j.jaa.2005.11.004" TargetMode="External" /><Relationship Type="http://schemas.openxmlformats.org/officeDocument/2006/relationships/hyperlink" Id="rId205"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8" Target="https://doi.org/10.1016/j.jas.2025.106281" TargetMode="External" /><Relationship Type="http://schemas.openxmlformats.org/officeDocument/2006/relationships/hyperlink" Id="rId255" Target="https://doi.org/10.1016/j.jasrep.2021.103118" TargetMode="External" /><Relationship Type="http://schemas.openxmlformats.org/officeDocument/2006/relationships/hyperlink" Id="rId181"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8"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9"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3"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60" Target="https://doi.org/10.1017/S0079497X00006265" TargetMode="External" /><Relationship Type="http://schemas.openxmlformats.org/officeDocument/2006/relationships/hyperlink" Id="rId250"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7"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7" Target="https://doi.org/10.1073/pnas.1518798113" TargetMode="External" /><Relationship Type="http://schemas.openxmlformats.org/officeDocument/2006/relationships/hyperlink" Id="rId202" Target="https://doi.org/10.1086/701523" TargetMode="External" /><Relationship Type="http://schemas.openxmlformats.org/officeDocument/2006/relationships/hyperlink" Id="rId248" Target="https://doi.org/10.1093/mind/fzae011" TargetMode="External" /><Relationship Type="http://schemas.openxmlformats.org/officeDocument/2006/relationships/hyperlink" Id="rId269" Target="https://doi.org/10.1093/oxfordhb/9780198854265.013.31" TargetMode="External" /><Relationship Type="http://schemas.openxmlformats.org/officeDocument/2006/relationships/hyperlink" Id="rId261" Target="https://doi.org/10.1098/rsif.2017.0171" TargetMode="External" /><Relationship Type="http://schemas.openxmlformats.org/officeDocument/2006/relationships/hyperlink" Id="rId190"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2"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5" Target="https://doi.org/10.1179/sea.2010.29.1.013" TargetMode="External" /><Relationship Type="http://schemas.openxmlformats.org/officeDocument/2006/relationships/hyperlink" Id="rId265"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4" Target="https://doi.org/10.2139/ssrn.7053279" TargetMode="External" /><Relationship Type="http://schemas.openxmlformats.org/officeDocument/2006/relationships/hyperlink" Id="rId257" Target="https://doi.org/10.2307/2802103" TargetMode="External" /><Relationship Type="http://schemas.openxmlformats.org/officeDocument/2006/relationships/hyperlink" Id="rId215" Target="https://doi.org/10.2307/280511" TargetMode="External" /><Relationship Type="http://schemas.openxmlformats.org/officeDocument/2006/relationships/hyperlink" Id="rId147" Target="https://doi.org/10.2307/3034956" TargetMode="External" /><Relationship Type="http://schemas.openxmlformats.org/officeDocument/2006/relationships/hyperlink" Id="rId162" Target="https://doi.org/10.2307/j.ctv24q4z2g.5" TargetMode="External" /><Relationship Type="http://schemas.openxmlformats.org/officeDocument/2006/relationships/hyperlink" Id="rId188" Target="https://doi.org/10.2307/j.ctvdmwwz4.10" TargetMode="External" /><Relationship Type="http://schemas.openxmlformats.org/officeDocument/2006/relationships/hyperlink" Id="rId186" Target="https://doi.org/10.2307/j.ctvdmwwz4.7" TargetMode="External" /><Relationship Type="http://schemas.openxmlformats.org/officeDocument/2006/relationships/hyperlink" Id="rId194"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2" Target="https://doi.org/10.3828/hgr.2023.12" TargetMode="External" /><Relationship Type="http://schemas.openxmlformats.org/officeDocument/2006/relationships/hyperlink" Id="rId207"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3"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2026-08-06T08:37:11Z</dcterms:created>
  <dcterms:modified xsi:type="dcterms:W3CDTF">2026-08-06T08:37:11Z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