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2.png" ContentType="image/png"/>
  <Override PartName="/word/media/rId172.png" ContentType="image/png"/>
  <Override PartName="/word/media/rId179.png" ContentType="image/png"/>
  <Override PartName="/word/media/rId131.png" ContentType="image/png"/>
  <Override PartName="/word/media/rId44.png" ContentType="image/png"/>
  <Override PartName="/word/media/rId30.png" ContentType="image/png"/>
  <Override PartName="/word/media/rId55.png" ContentType="image/png"/>
  <Override PartName="/word/media/rId189.png" ContentType="image/png"/>
  <Override PartName="/word/media/rId218.png" ContentType="image/png"/>
  <Override PartName="/word/media/rId206.png" ContentType="image/png"/>
  <Override PartName="/word/media/rId198.png" ContentType="image/png"/>
  <Override PartName="/word/media/rId150.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Sensitivity</w:t>
      </w:r>
      <w:r>
        <w:t xml:space="preserve"> </w:t>
      </w:r>
      <w:r>
        <w:t xml:space="preserve">Analyses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5,</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26" w:name="sec-s1"/>
    <w:p>
      <w:pPr>
        <w:pStyle w:val="Heading1"/>
      </w:pPr>
      <w:r>
        <w:t xml:space="preserve">S1.1 Sample Foundation and Site Retention</w:t>
      </w:r>
    </w:p>
    <w:bookmarkStart w:id="21" w:name="rationale"/>
    <w:p>
      <w:pPr>
        <w:pStyle w:val="Heading2"/>
      </w:pPr>
      <w:r>
        <w:t xml:space="preserve">Rationale</w:t>
      </w:r>
    </w:p>
    <w:p>
      <w:pPr>
        <w:pStyle w:val="FirstParagraph"/>
      </w:pPr>
      <w:r>
        <w:t xml:space="preserve">This section expands on the site rejection details notes in the main text.</w:t>
      </w:r>
    </w:p>
    <w:bookmarkEnd w:id="21"/>
    <w:bookmarkStart w:id="23" w:name="sec-S1-1-counts"/>
    <w:p>
      <w:pPr>
        <w:pStyle w:val="Heading2"/>
      </w:pPr>
      <w:r>
        <w:t xml:space="preserve">S1.1.1 Counts</w:t>
      </w:r>
    </w:p>
    <w:p>
      <w:pPr>
        <w:pStyle w:val="FirstParagraph"/>
      </w:pPr>
      <w:r>
        <w:t xml:space="preserve">The raw extract contains 515 signed objects (objects with at least one presence in</w:t>
      </w:r>
      <w:r>
        <w:t xml:space="preserve"> </w:t>
      </w:r>
      <w:r>
        <w:rPr>
          <w:rStyle w:val="VerbatimChar"/>
        </w:rPr>
        <w:t xml:space="preserve">line:star</w:t>
      </w:r>
      <w:r>
        <w:t xml:space="preserve"> </w:t>
      </w:r>
      <w:r>
        <w:t xml:space="preserve">after dropping</w:t>
      </w:r>
      <w:r>
        <w:t xml:space="preserve"> </w:t>
      </w:r>
      <w:r>
        <w:rPr>
          <w:rStyle w:val="VerbatimChar"/>
        </w:rPr>
        <w:t xml:space="preserve">other</w:t>
      </w:r>
      <w:r>
        <w:t xml:space="preserve">/</w:t>
      </w:r>
      <w:r>
        <w:rPr>
          <w:rStyle w:val="VerbatimChar"/>
        </w:rPr>
        <w:t xml:space="preserve">rectangle</w:t>
      </w:r>
      <w:r>
        <w:t xml:space="preserve">, as in</w:t>
      </w:r>
      <w:r>
        <w:t xml:space="preserve"> </w:t>
      </w:r>
      <w:r>
        <w:rPr>
          <w:rStyle w:val="VerbatimChar"/>
        </w:rPr>
        <w:t xml:space="preserve">clean_signbase()</w:t>
      </w:r>
      <w:r>
        <w:t xml:space="preserve">) at 64 sites. After removing the eight sites listed in the main text as examples of low quality data, 496 signed objects at 57 sites remain. A further 27 sites carrying 58 signed objects are lost at the data cleaning step and do not enter phase assignment. The retained analysed sample is therefore 409 objects at 28 unique geographic sites (the 28 sites are later split into site-phase units in the next chunk).</w:t>
      </w:r>
    </w:p>
    <w:tbl>
      <w:tblPr>
        <w:tblStyle w:val="Table"/>
        <w:tblW w:type="pct" w:w="5000"/>
        <w:tblLook w:firstRow="0" w:lastRow="0" w:firstColumn="0" w:lastColumn="0" w:noHBand="0" w:noVBand="0" w:val="0000"/>
        <w:jc w:val="start"/>
        <w:tblLayout w:type="fixed"/>
      </w:tblPr>
      <w:tblGrid>
        <w:gridCol w:w="7920"/>
      </w:tblGrid>
      <w:tr>
        <w:tc>
          <w:tcPr/>
          <w:bookmarkStart w:id="22" w:name="tbl-dropped-sites"/>
          <w:tbl>
            <w:tblPr>
              <w:tblStyle w:val="Table"/>
              <w:tblW w:type="pct" w:w="5000"/>
              <w:tblLook w:firstRow="1" w:lastRow="0" w:firstColumn="0" w:lastColumn="0" w:noHBand="0" w:noVBand="0" w:val="0020"/>
              <w:jc w:val="start"/>
              <w:tblLayout w:type="fixed"/>
            </w:tblPr>
            <w:tblGrid>
              <w:gridCol w:w="1724"/>
              <w:gridCol w:w="1021"/>
              <w:gridCol w:w="1980"/>
              <w:gridCol w:w="1596"/>
              <w:gridCol w:w="1596"/>
            </w:tblGrid>
            <w:tr>
              <w:trPr>
                <w:tblHeader w:val="true"/>
              </w:trPr>
              <w:tc>
                <w:tcPr/>
                <w:p>
                  <w:pPr>
                    <w:pStyle w:val="Compact"/>
                    <w:jc w:val="left"/>
                    <w:jc w:val="center"/>
                  </w:pPr>
                  <w:r>
                    <w:t xml:space="preserve">Site</w:t>
                  </w:r>
                </w:p>
              </w:tc>
              <w:tc>
                <w:tcPr/>
                <w:p>
                  <w:pPr>
                    <w:pStyle w:val="Compact"/>
                    <w:jc w:val="center"/>
                    <w:jc w:val="center"/>
                  </w:pPr>
                  <w:r>
                    <w:t xml:space="preserve">Signed objects</w:t>
                  </w:r>
                </w:p>
              </w:tc>
              <w:tc>
                <w:tcPr/>
                <w:p>
                  <w:pPr>
                    <w:pStyle w:val="Compact"/>
                    <w:jc w:val="left"/>
                    <w:jc w:val="center"/>
                  </w:pPr>
                  <w:r>
                    <w:t xml:space="preserve">date_bp_max_min (example)</w:t>
                  </w:r>
                </w:p>
              </w:tc>
              <w:tc>
                <w:tcPr/>
                <w:p>
                  <w:pPr>
                    <w:pStyle w:val="Compact"/>
                    <w:jc w:val="center"/>
                    <w:jc w:val="center"/>
                  </w:pPr>
                  <w:r>
                    <w:t xml:space="preserve">dating_method (example)</w:t>
                  </w:r>
                </w:p>
              </w:tc>
              <w:tc>
                <w:tcPr/>
                <w:p>
                  <w:pPr>
                    <w:pStyle w:val="Compact"/>
                    <w:jc w:val="left"/>
                    <w:jc w:val="center"/>
                  </w:pPr>
                  <w:r>
                    <w:t xml:space="preserve">Reason</w:t>
                  </w:r>
                </w:p>
              </w:tc>
            </w:tr>
            <w:tr>
              <w:tc>
                <w:tcPr/>
                <w:p>
                  <w:pPr>
                    <w:pStyle w:val="Compact"/>
                    <w:jc w:val="left"/>
                    <w:jc w:val="center"/>
                  </w:pPr>
                  <w:r>
                    <w:t xml:space="preserve">Grotte de Goyet</w:t>
                  </w:r>
                </w:p>
              </w:tc>
              <w:tc>
                <w:tcPr/>
                <w:p>
                  <w:pPr>
                    <w:pStyle w:val="Compact"/>
                    <w:jc w:val="center"/>
                    <w:jc w:val="center"/>
                  </w:pPr>
                  <w:r>
                    <w:t xml:space="preserve">12</w:t>
                  </w:r>
                </w:p>
              </w:tc>
              <w:tc>
                <w:tcPr/>
                <w:p>
                  <w:pPr>
                    <w:pStyle w:val="Compact"/>
                    <w:jc w:val="left"/>
                    <w:jc w:val="center"/>
                  </w:pPr>
                  <w:r>
                    <w:t xml:space="preserve">35160 - 33140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Maisières-Canal</w:t>
                  </w:r>
                </w:p>
              </w:tc>
              <w:tc>
                <w:tcPr/>
                <w:p>
                  <w:pPr>
                    <w:pStyle w:val="Compact"/>
                    <w:jc w:val="center"/>
                    <w:jc w:val="center"/>
                  </w:pPr>
                  <w:r>
                    <w:t xml:space="preserve">5</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de Laussel</w:t>
                  </w:r>
                </w:p>
              </w:tc>
              <w:tc>
                <w:tcPr/>
                <w:p>
                  <w:pPr>
                    <w:pStyle w:val="Compact"/>
                    <w:jc w:val="center"/>
                    <w:jc w:val="center"/>
                  </w:pPr>
                  <w:r>
                    <w:t xml:space="preserve">4</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Brassempouy</w:t>
                  </w:r>
                </w:p>
              </w:tc>
              <w:tc>
                <w:tcPr/>
                <w:p>
                  <w:pPr>
                    <w:pStyle w:val="Compact"/>
                    <w:jc w:val="center"/>
                    <w:jc w:val="center"/>
                  </w:pPr>
                  <w:r>
                    <w:t xml:space="preserve">3</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Istállóskő Cave</w:t>
                  </w:r>
                </w:p>
              </w:tc>
              <w:tc>
                <w:tcPr/>
                <w:p>
                  <w:pPr>
                    <w:pStyle w:val="Compact"/>
                    <w:jc w:val="center"/>
                    <w:jc w:val="center"/>
                  </w:pPr>
                  <w:r>
                    <w:t xml:space="preserve">3</w:t>
                  </w:r>
                </w:p>
              </w:tc>
              <w:tc>
                <w:tcPr/>
                <w:p>
                  <w:pPr>
                    <w:pStyle w:val="Compact"/>
                    <w:jc w:val="left"/>
                    <w:jc w:val="center"/>
                  </w:pPr>
                  <w:r>
                    <w:t xml:space="preserve">35000 - 32000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Nová Dědina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Žlutava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Abri Lartet/Gorge d’Enfer</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La Souquette</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Trou Du Renard</w:t>
                  </w:r>
                </w:p>
              </w:tc>
              <w:tc>
                <w:tcPr/>
                <w:p>
                  <w:pPr>
                    <w:pStyle w:val="Compact"/>
                    <w:jc w:val="center"/>
                    <w:jc w:val="center"/>
                  </w:pPr>
                  <w:r>
                    <w:t xml:space="preserve">2</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Menton/Grottes du Grimaldi</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Tuto de Camalhot</w:t>
                  </w:r>
                </w:p>
              </w:tc>
              <w:tc>
                <w:tcPr/>
                <w:p>
                  <w:pPr>
                    <w:pStyle w:val="Compact"/>
                    <w:jc w:val="center"/>
                    <w:jc w:val="center"/>
                  </w:pPr>
                  <w:r>
                    <w:t xml:space="preserve">2</w:t>
                  </w:r>
                </w:p>
              </w:tc>
              <w:tc>
                <w:tcPr/>
                <w:p>
                  <w:pPr>
                    <w:pStyle w:val="Compact"/>
                    <w:jc w:val="left"/>
                    <w:jc w:val="center"/>
                  </w:pPr>
                  <w:r>
                    <w:t xml:space="preserve">34750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du Poisson</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Aurignac</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Breitenbach</w:t>
                  </w:r>
                </w:p>
              </w:tc>
              <w:tc>
                <w:tcPr/>
                <w:p>
                  <w:pPr>
                    <w:pStyle w:val="Compact"/>
                    <w:jc w:val="center"/>
                    <w:jc w:val="center"/>
                  </w:pPr>
                  <w:r>
                    <w:t xml:space="preserve">1</w:t>
                  </w:r>
                </w:p>
              </w:tc>
              <w:tc>
                <w:tcPr/>
                <w:p>
                  <w:pPr>
                    <w:pStyle w:val="Compact"/>
                    <w:jc w:val="left"/>
                    <w:jc w:val="center"/>
                  </w:pPr>
                  <w:r>
                    <w:t xml:space="preserve">30000 - 27000</w:t>
                  </w:r>
                </w:p>
              </w:tc>
              <w:tc>
                <w:tcPr/>
                <w:p>
                  <w:pPr>
                    <w:pStyle w:val="Compact"/>
                  </w:pPr>
                </w:p>
              </w:tc>
              <w:tc>
                <w:tcPr/>
                <w:p>
                  <w:pPr>
                    <w:pStyle w:val="Compact"/>
                  </w:pPr>
                </w:p>
              </w:tc>
            </w:tr>
            <w:tr>
              <w:tc>
                <w:tcPr/>
                <w:p>
                  <w:pPr>
                    <w:pStyle w:val="Compact"/>
                    <w:jc w:val="left"/>
                    <w:jc w:val="center"/>
                  </w:pPr>
                  <w:r>
                    <w:t xml:space="preserve">26000 - 28 000 BP</w:t>
                  </w:r>
                </w:p>
              </w:tc>
              <w:tc>
                <w:tcPr/>
                <w:p>
                  <w:pPr>
                    <w:pStyle w:val="Compact"/>
                    <w:jc w:val="center"/>
                    <w:jc w:val="center"/>
                  </w:pPr>
                  <w:r>
                    <w:t xml:space="preserve">C14</w:t>
                  </w:r>
                </w:p>
              </w:tc>
              <w:tc>
                <w:tcPr/>
                <w:p>
                  <w:pPr>
                    <w:pStyle w:val="Compact"/>
                    <w:jc w:val="left"/>
                    <w:jc w:val="center"/>
                  </w:pPr>
                  <w:r>
                    <w:t xml:space="preserve">plain interval without ±</w:t>
                  </w:r>
                </w:p>
              </w:tc>
              <w:tc>
                <w:tcPr/>
                <w:p>
                  <w:pPr>
                    <w:pStyle w:val="Compact"/>
                  </w:pPr>
                </w:p>
              </w:tc>
              <w:tc>
                <w:tcPr/>
                <w:p>
                  <w:pPr>
                    <w:pStyle w:val="Compact"/>
                  </w:pPr>
                </w:p>
              </w:tc>
            </w:tr>
            <w:tr>
              <w:tc>
                <w:tcPr/>
                <w:p>
                  <w:pPr>
                    <w:pStyle w:val="Compact"/>
                    <w:jc w:val="left"/>
                    <w:jc w:val="center"/>
                  </w:pPr>
                  <w:r>
                    <w:t xml:space="preserve">El Rascaño</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Göpfelsteinhöhle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C14</w:t>
                  </w:r>
                </w:p>
              </w:tc>
              <w:tc>
                <w:tcPr/>
                <w:p>
                  <w:pPr>
                    <w:pStyle w:val="Compact"/>
                    <w:jc w:val="left"/>
                    <w:jc w:val="center"/>
                  </w:pPr>
                  <w:r>
                    <w:t xml:space="preserve">no date</w:t>
                  </w:r>
                </w:p>
              </w:tc>
            </w:tr>
            <w:tr>
              <w:tc>
                <w:tcPr/>
                <w:p>
                  <w:pPr>
                    <w:pStyle w:val="Compact"/>
                    <w:jc w:val="left"/>
                    <w:jc w:val="center"/>
                  </w:pPr>
                  <w:r>
                    <w:t xml:space="preserve">Hornos de la Pena</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Kvasice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Terme Pialat</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Lhotka</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Otaslavice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Peskő Cave</w:t>
                  </w:r>
                </w:p>
              </w:tc>
              <w:tc>
                <w:tcPr/>
                <w:p>
                  <w:pPr>
                    <w:pStyle w:val="Compact"/>
                    <w:jc w:val="center"/>
                    <w:jc w:val="center"/>
                  </w:pPr>
                  <w:r>
                    <w:t xml:space="preserve">1</w:t>
                  </w:r>
                </w:p>
              </w:tc>
              <w:tc>
                <w:tcPr/>
                <w:p>
                  <w:pPr>
                    <w:pStyle w:val="Compact"/>
                    <w:jc w:val="left"/>
                    <w:jc w:val="center"/>
                  </w:pPr>
                  <w:r>
                    <w:t xml:space="preserve">38300 - 33500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Shelter Birów IV</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Slatinice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Wildscheuer</w:t>
                  </w:r>
                </w:p>
              </w:tc>
              <w:tc>
                <w:tcPr/>
                <w:p>
                  <w:pPr>
                    <w:pStyle w:val="Compact"/>
                    <w:jc w:val="center"/>
                    <w:jc w:val="center"/>
                  </w:pPr>
                  <w:r>
                    <w:t xml:space="preserve">1</w:t>
                  </w:r>
                </w:p>
              </w:tc>
              <w:tc>
                <w:tcPr/>
                <w:p>
                  <w:pPr>
                    <w:pStyle w:val="Compact"/>
                    <w:jc w:val="left"/>
                    <w:jc w:val="center"/>
                  </w:pPr>
                  <w:r>
                    <w:t xml:space="preserve">34300 - 30000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d’Engihoul</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bl>
          <w:p>
            <w:pPr>
              <w:jc w:val="center"/>
            </w:pPr>
            <w:pPr>
              <w:jc w:val="start"/>
              <w:spacing w:before="200"/>
              <w:pStyle w:val="ImageCaption"/>
            </w:pPr>
            <w:r>
              <w:t xml:space="preserve">Table S 1: Sites omitted for data quality reasons. Archaeological phase rationale is in Supplement 2.</w:t>
            </w:r>
          </w:p>
          <w:bookmarkEnd w:id="22"/>
        </w:tc>
      </w:tr>
    </w:tbl>
    <w:bookmarkEnd w:id="23"/>
    <w:bookmarkStart w:id="24" w:name="sec-S1-1-interpretation"/>
    <w:p>
      <w:pPr>
        <w:pStyle w:val="Heading2"/>
      </w:pPr>
      <w:r>
        <w:t xml:space="preserve">S1.1.2 Interpretation</w:t>
      </w:r>
    </w:p>
    <w:p>
      <w:pPr>
        <w:pStyle w:val="FirstParagraph"/>
      </w:pPr>
      <w:r>
        <w:t xml:space="preserve">Because the 58 objects include the seventh-largest assemblage (Grotte de Goyet, 12 objects) and ten of the 11 plain-range sites date to</w:t>
      </w:r>
      <w:r>
        <w:t xml:space="preserve"> </w:t>
      </w:r>
      <w:r>
        <w:rPr>
          <w:rStyle w:val="VerbatimChar"/>
        </w:rPr>
        <w:t xml:space="preserve">38–30</w:t>
      </w:r>
      <w:r>
        <w:t xml:space="preserve"> </w:t>
      </w:r>
      <w:r>
        <w:t xml:space="preserve">ka, the small Aur-P2 sample is disproportionately affected — in the retained sample Aur-P2 rests on only 9 sites (see next chunk). All network, Mantel and PerMANOVA results in Sections</w:t>
      </w:r>
      <w:r>
        <w:t xml:space="preserve"> </w:t>
      </w:r>
      <w:r>
        <w:t xml:space="preserve">S1.2</w:t>
      </w:r>
      <w:r>
        <w:t xml:space="preserve">–</w:t>
      </w:r>
      <w:r>
        <w:t xml:space="preserve">S1.12</w:t>
      </w:r>
      <w:r>
        <w:t xml:space="preserve"> </w:t>
      </w:r>
      <w:r>
        <w:t xml:space="preserve">below are therefore conditional on the retained sample of 409 objects at 28 sites. The phase table in Supplement 2 lists the retained sites with their technological or date-based assignment;</w:t>
      </w:r>
      <w:r>
        <w:t xml:space="preserve"> </w:t>
      </w:r>
      <w:hyperlink w:anchor="tbl-dropped-sites">
        <w:r>
          <w:rPr>
            <w:rStyle w:val="Hyperlink"/>
          </w:rPr>
          <w:t xml:space="preserve">Table S 1</w:t>
        </w:r>
      </w:hyperlink>
      <w:r>
        <w:t xml:space="preserve"> </w:t>
      </w:r>
      <w:r>
        <w:t xml:space="preserve">provides the site-by-site loss table that the main text references.</w:t>
      </w:r>
    </w:p>
    <w:bookmarkEnd w:id="24"/>
    <w:bookmarkStart w:id="25" w:name="sec-S1-1-analysis-ready-phase"/>
    <w:p>
      <w:pPr>
        <w:pStyle w:val="Heading2"/>
      </w:pPr>
      <w:r>
        <w:t xml:space="preserve">S1.1.3 Analysis-ready phase data</w:t>
      </w:r>
    </w:p>
    <w:bookmarkEnd w:id="25"/>
    <w:bookmarkEnd w:id="26"/>
    <w:bookmarkStart w:id="42" w:name="sec-s2"/>
    <w:p>
      <w:pPr>
        <w:pStyle w:val="Heading1"/>
      </w:pPr>
      <w:r>
        <w:t xml:space="preserve">S1.2 Network Threshold</w:t>
      </w:r>
    </w:p>
    <w:bookmarkStart w:id="27" w:name="rationale-1"/>
    <w:p>
      <w:pPr>
        <w:pStyle w:val="Heading2"/>
      </w:pPr>
      <w:r>
        <w:t xml:space="preserve">Rationale</w:t>
      </w:r>
    </w:p>
    <w:p>
      <w:pPr>
        <w:pStyle w:val="FirstParagraph"/>
      </w:pPr>
      <w:r>
        <w:t xml:space="preserve">In the main analysis, edges in the site-to-site networks are drawn only when two sites share a Jaccard similarity of ≥ 0.2 ,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that obscure genuine cultural links.</w:t>
      </w:r>
    </w:p>
    <w:p>
      <w:pPr>
        <w:pStyle w:val="BodyText"/>
      </w:pPr>
      <w:r>
        <w:t xml:space="preserve">To confirm that the primary findings reported in the main text are not an artefact of this specific cutoff, we repeated all network analyses at two alternative thresholds , 0.1 (permissive) and 0.3 (conservative) , and compared the key network statistics and visual structure against the main-text threshold of 0.2.</w:t>
      </w:r>
    </w:p>
    <w:bookmarkEnd w:id="27"/>
    <w:bookmarkStart w:id="29" w:name="sec-S1-2-network-statistics-across"/>
    <w:p>
      <w:pPr>
        <w:pStyle w:val="Heading2"/>
      </w:pPr>
      <w:r>
        <w:t xml:space="preserve">S1.2.1 Network Statistics Across Thresholds</w:t>
      </w:r>
    </w:p>
    <w:p>
      <w:pPr>
        <w:pStyle w:val="FirstParagraph"/>
      </w:pPr>
      <w:hyperlink w:anchor="tbl-sens-stats">
        <w:r>
          <w:rPr>
            <w:rStyle w:val="Hyperlink"/>
          </w:rPr>
          <w:t xml:space="preserve">Table S 2</w:t>
        </w:r>
      </w:hyperlink>
      <w:r>
        <w:t xml:space="preserve"> </w:t>
      </w:r>
      <w:r>
        <w:t xml:space="preserve">reports the key network statistics for each Aurignacian phase at thresholds of 0.1, 0.2, and 0.3. Statistics were computed using the</w:t>
      </w:r>
      <w:r>
        <w:t xml:space="preserve"> </w:t>
      </w:r>
      <w:r>
        <w:rPr>
          <w:rStyle w:val="VerbatimChar"/>
        </w:rPr>
        <w:t xml:space="preserve">network_stats()</w:t>
      </w:r>
      <w:r>
        <w:t xml:space="preserve"> </w:t>
      </w:r>
      <w:r>
        <w:t xml:space="preserve">function described in the main text, with the threshold exposed as a parameter.</w:t>
      </w:r>
    </w:p>
    <w:tbl>
      <w:tblPr>
        <w:tblStyle w:val="Table"/>
        <w:tblW w:type="pct" w:w="5000"/>
        <w:tblLook w:firstRow="0" w:lastRow="0" w:firstColumn="0" w:lastColumn="0" w:noHBand="0" w:noVBand="0" w:val="0000"/>
        <w:jc w:val="start"/>
        <w:tblLayout w:type="fixed"/>
      </w:tblPr>
      <w:tblGrid>
        <w:gridCol w:w="7920"/>
      </w:tblGrid>
      <w:tr>
        <w:tc>
          <w:tcPr/>
          <w:bookmarkStart w:id="28" w:name="tbl-sens-stats"/>
          <w:tbl>
            <w:tblPr>
              <w:tblStyle w:val="Table"/>
              <w:tblW w:type="pct" w:w="5000"/>
              <w:tblLook w:firstRow="1" w:lastRow="0" w:firstColumn="0" w:lastColumn="0" w:noHBand="0" w:noVBand="0" w:val="0020"/>
              <w:jc w:val="start"/>
              <w:tblLayout w:type="fixed"/>
            </w:tblPr>
            <w:tblGrid>
              <w:gridCol w:w="630"/>
              <w:gridCol w:w="900"/>
              <w:gridCol w:w="540"/>
              <w:gridCol w:w="720"/>
              <w:gridCol w:w="810"/>
              <w:gridCol w:w="1080"/>
              <w:gridCol w:w="1170"/>
              <w:gridCol w:w="990"/>
              <w:gridCol w:w="108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125</w:t>
                  </w:r>
                </w:p>
              </w:tc>
              <w:tc>
                <w:tcPr/>
                <w:p>
                  <w:pPr>
                    <w:pStyle w:val="Compact"/>
                    <w:jc w:val="right"/>
                    <w:jc w:val="center"/>
                  </w:pPr>
                  <w:r>
                    <w:t xml:space="preserve">0.658</w:t>
                  </w:r>
                </w:p>
              </w:tc>
              <w:tc>
                <w:tcPr/>
                <w:p>
                  <w:pPr>
                    <w:pStyle w:val="Compact"/>
                    <w:jc w:val="right"/>
                    <w:jc w:val="center"/>
                  </w:pPr>
                  <w:r>
                    <w:t xml:space="preserve">0</w:t>
                  </w:r>
                </w:p>
              </w:tc>
              <w:tc>
                <w:tcPr/>
                <w:p>
                  <w:pPr>
                    <w:pStyle w:val="Compact"/>
                    <w:jc w:val="right"/>
                    <w:jc w:val="center"/>
                  </w:pPr>
                  <w:r>
                    <w:t xml:space="preserve">12.50</w:t>
                  </w:r>
                </w:p>
              </w:tc>
              <w:tc>
                <w:tcPr/>
                <w:p>
                  <w:pPr>
                    <w:pStyle w:val="Compact"/>
                    <w:jc w:val="right"/>
                    <w:jc w:val="center"/>
                  </w:pPr>
                  <w:r>
                    <w:t xml:space="preserve">0.830</w:t>
                  </w:r>
                </w:p>
              </w:tc>
              <w:tc>
                <w:tcPr/>
                <w:p>
                  <w:pPr>
                    <w:pStyle w:val="Compact"/>
                    <w:jc w:val="right"/>
                    <w:jc w:val="center"/>
                  </w:pPr>
                  <w:r>
                    <w:t xml:space="preserve">0.223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0.093</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56</w:t>
                  </w:r>
                </w:p>
              </w:tc>
              <w:tc>
                <w:tcPr/>
                <w:p>
                  <w:pPr>
                    <w:pStyle w:val="Compact"/>
                    <w:jc w:val="right"/>
                    <w:jc w:val="center"/>
                  </w:pPr>
                  <w:r>
                    <w:t xml:space="preserve">0.295</w:t>
                  </w:r>
                </w:p>
              </w:tc>
              <w:tc>
                <w:tcPr/>
                <w:p>
                  <w:pPr>
                    <w:pStyle w:val="Compact"/>
                    <w:jc w:val="right"/>
                    <w:jc w:val="center"/>
                  </w:pPr>
                  <w:r>
                    <w:t xml:space="preserve">2</w:t>
                  </w:r>
                </w:p>
              </w:tc>
              <w:tc>
                <w:tcPr/>
                <w:p>
                  <w:pPr>
                    <w:pStyle w:val="Compact"/>
                    <w:jc w:val="right"/>
                    <w:jc w:val="center"/>
                  </w:pPr>
                  <w:r>
                    <w:t xml:space="preserve">5.60</w:t>
                  </w:r>
                </w:p>
              </w:tc>
              <w:tc>
                <w:tcPr/>
                <w:p>
                  <w:pPr>
                    <w:pStyle w:val="Compact"/>
                    <w:jc w:val="right"/>
                    <w:jc w:val="center"/>
                  </w:pPr>
                  <w:r>
                    <w:t xml:space="preserve">0.666</w:t>
                  </w:r>
                </w:p>
              </w:tc>
              <w:tc>
                <w:tcPr/>
                <w:p>
                  <w:pPr>
                    <w:pStyle w:val="Compact"/>
                    <w:jc w:val="right"/>
                    <w:jc w:val="center"/>
                  </w:pPr>
                  <w:r>
                    <w:t xml:space="preserve">0.347</w:t>
                  </w:r>
                </w:p>
              </w:tc>
              <w:tc>
                <w:tcPr/>
                <w:p>
                  <w:pPr>
                    <w:pStyle w:val="Compact"/>
                    <w:jc w:val="right"/>
                    <w:jc w:val="center"/>
                  </w:pPr>
                  <w:r>
                    <w:t xml:space="preserve">5</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13</w:t>
                  </w:r>
                </w:p>
              </w:tc>
              <w:tc>
                <w:tcPr/>
                <w:p>
                  <w:pPr>
                    <w:pStyle w:val="Compact"/>
                    <w:jc w:val="right"/>
                    <w:jc w:val="center"/>
                  </w:pPr>
                  <w:r>
                    <w:t xml:space="preserve">0.361</w:t>
                  </w:r>
                </w:p>
              </w:tc>
              <w:tc>
                <w:tcPr/>
                <w:p>
                  <w:pPr>
                    <w:pStyle w:val="Compact"/>
                    <w:jc w:val="right"/>
                    <w:jc w:val="center"/>
                  </w:pPr>
                  <w:r>
                    <w:t xml:space="preserve">2</w:t>
                  </w:r>
                </w:p>
              </w:tc>
              <w:tc>
                <w:tcPr/>
                <w:p>
                  <w:pPr>
                    <w:pStyle w:val="Compact"/>
                    <w:jc w:val="right"/>
                    <w:jc w:val="center"/>
                  </w:pPr>
                  <w:r>
                    <w:t xml:space="preserve">2.89</w:t>
                  </w:r>
                </w:p>
              </w:tc>
              <w:tc>
                <w:tcPr/>
                <w:p>
                  <w:pPr>
                    <w:pStyle w:val="Compact"/>
                    <w:jc w:val="right"/>
                    <w:jc w:val="center"/>
                  </w:pPr>
                  <w:r>
                    <w:t xml:space="preserve">0.628</w:t>
                  </w:r>
                </w:p>
              </w:tc>
              <w:tc>
                <w:tcPr/>
                <w:p>
                  <w:pPr>
                    <w:pStyle w:val="Compact"/>
                    <w:jc w:val="right"/>
                    <w:jc w:val="center"/>
                  </w:pPr>
                  <w:r>
                    <w:t xml:space="preserve">0.122</w:t>
                  </w:r>
                </w:p>
              </w:tc>
              <w:tc>
                <w:tcPr/>
                <w:p>
                  <w:pPr>
                    <w:pStyle w:val="Compact"/>
                    <w:jc w:val="right"/>
                    <w:jc w:val="center"/>
                  </w:pPr>
                  <w:r>
                    <w:t xml:space="preserve">4</w:t>
                  </w:r>
                </w:p>
              </w:tc>
            </w:tr>
          </w:tbl>
          <w:p>
            <w:pPr>
              <w:jc w:val="center"/>
            </w:pPr>
            <w:pPr>
              <w:jc w:val="start"/>
              <w:spacing w:before="200"/>
              <w:pStyle w:val="ImageCaption"/>
            </w:pPr>
            <w:r>
              <w:t xml:space="preserve">Table S 2: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bookmarkEnd w:id="28"/>
        </w:tc>
      </w:tr>
    </w:tbl>
    <w:bookmarkEnd w:id="29"/>
    <w:bookmarkStart w:id="34" w:name="sec-S1-2-network-visualisations-across"/>
    <w:p>
      <w:pPr>
        <w:pStyle w:val="Heading2"/>
      </w:pPr>
      <w:r>
        <w:t xml:space="preserve">S1.2.2 Network Visualisations Across Thresholds</w:t>
      </w:r>
    </w:p>
    <w:p>
      <w:pPr>
        <w:pStyle w:val="FirstParagraph"/>
      </w:pPr>
      <w:hyperlink w:anchor="fig-sens-networks">
        <w:r>
          <w:rPr>
            <w:rStyle w:val="Hyperlink"/>
          </w:rPr>
          <w:t xml:space="preserve">Figure S 1</w:t>
        </w:r>
      </w:hyperlink>
      <w:r>
        <w:t xml:space="preserve"> </w:t>
      </w:r>
      <w:r>
        <w:t xml:space="preserve">shows the site networks for each phase and each threshold. Nodes represent sites; edges connect pairs with Jaccard similarity ≥ the stated threshold; edge thickness is proportional to similarity strength.</w:t>
      </w:r>
    </w:p>
    <w:tbl>
      <w:tblPr>
        <w:tblStyle w:val="Table"/>
        <w:tblW w:type="pct" w:w="5000"/>
        <w:tblLook w:firstRow="0" w:lastRow="0" w:firstColumn="0" w:lastColumn="0" w:noHBand="0" w:noVBand="0" w:val="0000"/>
        <w:jc w:val="start"/>
        <w:tblLayout w:type="fixed"/>
      </w:tblPr>
      <w:tblGrid>
        <w:gridCol w:w="7920"/>
      </w:tblGrid>
      <w:tr>
        <w:tc>
          <w:tcPr/>
          <w:bookmarkStart w:id="33" w:name="fig-sens-networks"/>
          <w:p>
            <w:pPr>
              <w:pStyle w:val="Compact"/>
              <w:jc w:val="center"/>
            </w:pPr>
            <w:r>
              <w:drawing>
                <wp:inline>
                  <wp:extent cx="5943600" cy="5403272"/>
                  <wp:effectExtent b="0" l="0" r="0" t="0"/>
                  <wp:docPr descr="" title="" id="31" name="Picture"/>
                  <a:graphic>
                    <a:graphicData uri="http://schemas.openxmlformats.org/drawingml/2006/picture">
                      <pic:pic>
                        <pic:nvPicPr>
                          <pic:cNvPr descr="../figures/sensitivity-network-plot.png" id="32" name="Picture"/>
                          <pic:cNvPicPr>
                            <a:picLocks noChangeArrowheads="1" noChangeAspect="1"/>
                          </pic:cNvPicPr>
                        </pic:nvPicPr>
                        <pic:blipFill>
                          <a:blip r:embed="rId30"/>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 Site networks for Aur-P1 (top row) and Aur-P2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bookmarkEnd w:id="33"/>
        </w:tc>
      </w:tr>
    </w:tbl>
    <w:bookmarkEnd w:id="34"/>
    <w:bookmarkStart w:id="35" w:name="sec-S1-2-interpretation"/>
    <w:p>
      <w:pPr>
        <w:pStyle w:val="Heading2"/>
      </w:pPr>
      <w:r>
        <w:t xml:space="preserve">S1.2.3 Interpretation</w:t>
      </w:r>
    </w:p>
    <w:p>
      <w:pPr>
        <w:pStyle w:val="FirstParagraph"/>
      </w:pPr>
      <w:r>
        <w:t xml:space="preserve">The sensitivity analysis shows that the main findings reported in the text are</w:t>
      </w:r>
      <w:r>
        <w:t xml:space="preserve"> </w:t>
      </w:r>
      <w:r>
        <w:rPr>
          <w:bCs/>
          <w:b/>
        </w:rPr>
        <w:t xml:space="preserve">robust across the tested range of thresholds</w:t>
      </w:r>
      <w:r>
        <w:t xml:space="preserve">. Several patterns hold consistently at all three values:</w:t>
      </w:r>
    </w:p>
    <w:p>
      <w:pPr>
        <w:pStyle w:val="BodyText"/>
      </w:pPr>
      <w:r>
        <w:rPr>
          <w:bCs/>
          <w:b/>
        </w:rPr>
        <w:t xml:space="preserve">Two-group structure.</w:t>
      </w:r>
      <w:r>
        <w:t xml:space="preserve"> </w:t>
      </w:r>
      <w:r>
        <w:t xml:space="preserve">In both phases and at all three thresholds, the networks retain a recognisable two-cluster structure corresponding to the restricted-range and broader-range site groups identified by seriation. Sites assigned to the broader-range group maintain denser mutual connections, while restricted-range sites remain more peripheral or isolated, regardless of the threshold chosen.</w:t>
      </w:r>
    </w:p>
    <w:p>
      <w:pPr>
        <w:pStyle w:val="BodyText"/>
      </w:pPr>
      <w:r>
        <w:rPr>
          <w:bCs/>
          <w:b/>
        </w:rPr>
        <w:t xml:space="preserve">Connectivity between phases.</w:t>
      </w:r>
      <w:r>
        <w:t xml:space="preserve"> </w:t>
      </w:r>
      <w:r>
        <w:t xml:space="preserve">The contrast between the phases is stable: Aur-P1 is consistently the more edge-rich network with the higher mean degree and clearer hub structure, while Aur-P2 is sparser and more fragmented, reflecting its smaller sample. This contrast is preserved at thresholds of 0.1, 0.2, and 0.3 (</w:t>
      </w:r>
      <w:hyperlink w:anchor="tbl-sens-stats">
        <w:r>
          <w:rPr>
            <w:rStyle w:val="Hyperlink"/>
          </w:rPr>
          <w:t xml:space="preserve">Table S 2</w:t>
        </w:r>
      </w:hyperlink>
      <w:r>
        <w:t xml:space="preserve">).</w:t>
      </w:r>
    </w:p>
    <w:p>
      <w:pPr>
        <w:pStyle w:val="BodyText"/>
      </w:pPr>
      <w:r>
        <w:rPr>
          <w:bCs/>
          <w:b/>
        </w:rPr>
        <w:t xml:space="preserve">Modularity.</w:t>
      </w:r>
      <w:r>
        <w:t xml:space="preserve"> </w:t>
      </w:r>
      <w:r>
        <w:t xml:space="preserve">Modularity in Aur-P1 remains in a moderate range, indicating persistent community structure. While absolute modularity values shift with threshold (as expected, given that looser thresholds add weak bridging edges that reduce modularity), the pattern is stable.</w:t>
      </w:r>
    </w:p>
    <w:p>
      <w:pPr>
        <w:pStyle w:val="BodyText"/>
      </w:pPr>
      <w:r>
        <w:rPr>
          <w:bCs/>
          <w:b/>
        </w:rPr>
        <w:t xml:space="preserve">Threshold-specific effects.</w:t>
      </w:r>
      <w:r>
        <w:t xml:space="preserve"> </w:t>
      </w:r>
      <w:r>
        <w:t xml:space="preserve">At threshold 0.1, graph density increases substantially and several sites that appear as isolates at 0.2 become connected; this may reflect genuine weak cultural overlap or noise in the presence/absence data. At threshold 0.3, the graph becomes considerably sparser, with 2 isolates in Aur-P1 in particular. The 0.2 threshold represents a practical middle ground: it preserves the major structural contrasts while avoiding both the over-connection artefacts of the 0.1 threshold and the excessive fragmentation of the 0.3 threshold.</w:t>
      </w:r>
    </w:p>
    <w:p>
      <w:pPr>
        <w:pStyle w:val="BodyText"/>
      </w:pPr>
      <w:r>
        <w:rPr>
          <w:bCs/>
          <w:b/>
        </w:rPr>
        <w:t xml:space="preserve">Isolates.</w:t>
      </w:r>
      <w:r>
        <w:t xml:space="preserve"> </w:t>
      </w:r>
      <w:r>
        <w:t xml:space="preserve">The number of isolated nodes (sites with no connections) increases monotonically with threshold in both phases, as expected. Sites that appear as isolates at 0.2 are preserved or strengthened at 0.3, reinforcing their interpretation as peripheral assemblages. At threshold 0.1, these sites gain edges but only to the weakest possible partners, which does not alter the substantive interpretation.</w:t>
      </w:r>
    </w:p>
    <w:p>
      <w:pPr>
        <w:pStyle w:val="BodyText"/>
      </w:pPr>
      <w:r>
        <w:t xml:space="preserve">Together, these results confirm that the threshold of 0.2 used in the main analysis is a defensible and representative choice. Readers wishing to reproduce the networks at alternative thresholds may do so by passing the desired value to the</w:t>
      </w:r>
      <w:r>
        <w:t xml:space="preserve"> </w:t>
      </w:r>
      <w:r>
        <w:rPr>
          <w:rStyle w:val="VerbatimChar"/>
        </w:rPr>
        <w:t xml:space="preserve">threshold</w:t>
      </w:r>
      <w:r>
        <w:t xml:space="preserve"> </w:t>
      </w:r>
      <w:r>
        <w:t xml:space="preserve">argument of the</w:t>
      </w:r>
      <w:r>
        <w:t xml:space="preserve"> </w:t>
      </w:r>
      <w:r>
        <w:rPr>
          <w:rStyle w:val="VerbatimChar"/>
        </w:rPr>
        <w:t xml:space="preserve">produce_clusters()</w:t>
      </w:r>
      <w:r>
        <w:t xml:space="preserve"> </w:t>
      </w:r>
      <w:r>
        <w:t xml:space="preserve">and</w:t>
      </w:r>
      <w:r>
        <w:t xml:space="preserve"> </w:t>
      </w:r>
      <w:r>
        <w:rPr>
          <w:rStyle w:val="VerbatimChar"/>
        </w:rPr>
        <w:t xml:space="preserve">network_stats()</w:t>
      </w:r>
      <w:r>
        <w:t xml:space="preserve"> </w:t>
      </w:r>
      <w:r>
        <w:t xml:space="preserve">functions in the analysis code.</w:t>
      </w:r>
    </w:p>
    <w:bookmarkEnd w:id="35"/>
    <w:bookmarkStart w:id="36" w:name="sec-s2-4"/>
    <w:p>
      <w:pPr>
        <w:pStyle w:val="Heading2"/>
      </w:pPr>
      <w:r>
        <w:t xml:space="preserve">S1.2.4 Threshold Agreement Metrics</w:t>
      </w:r>
    </w:p>
    <w:p>
      <w:pPr>
        <w:pStyle w:val="FirstParagraph"/>
      </w:pPr>
      <w:r>
        <w:t xml:space="preserve">Below we quantify the stability of the network structures across thresholds using two metrics:</w:t>
      </w:r>
    </w:p>
    <w:p>
      <w:pPr>
        <w:numPr>
          <w:ilvl w:val="0"/>
          <w:numId w:val="1001"/>
        </w:numPr>
      </w:pPr>
      <w:r>
        <w:rPr>
          <w:bCs/>
          <w:b/>
        </w:rPr>
        <w:t xml:space="preserve">Edge-set Jaccard similarity</w:t>
      </w:r>
      <w:r>
        <w:t xml:space="preserve"> </w:t>
      </w:r>
      <w:r>
        <w:t xml:space="preserve">between each pair of thresholds: the number of edges present at both thresholds divided by the number present at either threshold. A value near 1 indicates the edge structure is preserved as you move from one threshold to another.</w:t>
      </w:r>
    </w:p>
    <w:p>
      <w:pPr>
        <w:numPr>
          <w:ilvl w:val="0"/>
          <w:numId w:val="1001"/>
        </w:numPr>
      </w:pPr>
      <w:r>
        <w:rPr>
          <w:bCs/>
          <w:b/>
        </w:rPr>
        <w:t xml:space="preserve">Adjacency-matrix correlation</w:t>
      </w:r>
      <w:r>
        <w:t xml:space="preserve"> </w:t>
      </w:r>
      <w:r>
        <w:t xml:space="preserve">between each pair of thresholds: the Pearson correlation between the vectorised upper triangles of the two adjacency matrices. This is a continuous measure of how similar the full set of pairwise similarity scores is before any cutoff is applied.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Phase</w:t>
            </w:r>
          </w:p>
        </w:tc>
        <w:tc>
          <w:tcPr/>
          <w:p>
            <w:pPr>
              <w:pStyle w:val="Compact"/>
              <w:jc w:val="right"/>
            </w:pPr>
            <w:r>
              <w:t xml:space="preserve">Threshold 1</w:t>
            </w:r>
          </w:p>
        </w:tc>
        <w:tc>
          <w:tcPr/>
          <w:p>
            <w:pPr>
              <w:pStyle w:val="Compact"/>
              <w:jc w:val="right"/>
            </w:pPr>
            <w:r>
              <w:t xml:space="preserve">Threshold 2</w:t>
            </w:r>
          </w:p>
        </w:tc>
        <w:tc>
          <w:tcPr/>
          <w:p>
            <w:pPr>
              <w:pStyle w:val="Compact"/>
              <w:jc w:val="right"/>
            </w:pPr>
            <w:r>
              <w:t xml:space="preserve">Edge Jaccard</w:t>
            </w:r>
          </w:p>
        </w:tc>
        <w:tc>
          <w:tcPr/>
          <w:p>
            <w:pPr>
              <w:pStyle w:val="Compact"/>
              <w:jc w:val="right"/>
            </w:pPr>
            <w:r>
              <w:t xml:space="preserve">Adj. correlation</w:t>
            </w:r>
          </w:p>
        </w:tc>
      </w:tr>
      <w:tr>
        <w:tc>
          <w:tcPr/>
          <w:p>
            <w:pPr>
              <w:pStyle w:val="Compact"/>
              <w:jc w:val="left"/>
            </w:pPr>
            <w:r>
              <w:t xml:space="preserve">Aur-P1</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0.600</w:t>
            </w:r>
          </w:p>
        </w:tc>
        <w:tc>
          <w:tcPr/>
          <w:p>
            <w:pPr>
              <w:pStyle w:val="Compact"/>
              <w:jc w:val="right"/>
            </w:pPr>
            <w:r>
              <w:t xml:space="preserve">0.961</w:t>
            </w:r>
          </w:p>
        </w:tc>
      </w:tr>
      <w:tr>
        <w:tc>
          <w:tcPr/>
          <w:p>
            <w:pPr>
              <w:pStyle w:val="Compact"/>
              <w:jc w:val="left"/>
            </w:pPr>
            <w:r>
              <w:t xml:space="preserve">Aur-P2</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0.655</w:t>
            </w:r>
          </w:p>
        </w:tc>
        <w:tc>
          <w:tcPr/>
          <w:p>
            <w:pPr>
              <w:pStyle w:val="Compact"/>
              <w:jc w:val="right"/>
            </w:pPr>
            <w:r>
              <w:t xml:space="preserve">0.959</w:t>
            </w:r>
          </w:p>
        </w:tc>
      </w:tr>
      <w:tr>
        <w:tc>
          <w:tcPr/>
          <w:p>
            <w:pPr>
              <w:pStyle w:val="Compact"/>
              <w:jc w:val="left"/>
            </w:pPr>
            <w:r>
              <w:t xml:space="preserve">Aur-P1</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0.747</w:t>
            </w:r>
          </w:p>
        </w:tc>
        <w:tc>
          <w:tcPr/>
          <w:p>
            <w:pPr>
              <w:pStyle w:val="Compact"/>
              <w:jc w:val="right"/>
            </w:pPr>
            <w:r>
              <w:t xml:space="preserve">0.956</w:t>
            </w:r>
          </w:p>
        </w:tc>
      </w:tr>
      <w:tr>
        <w:tc>
          <w:tcPr/>
          <w:p>
            <w:pPr>
              <w:pStyle w:val="Compact"/>
              <w:jc w:val="left"/>
            </w:pPr>
            <w:r>
              <w:t xml:space="preserve">Aur-P2</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0.684</w:t>
            </w:r>
          </w:p>
        </w:tc>
        <w:tc>
          <w:tcPr/>
          <w:p>
            <w:pPr>
              <w:pStyle w:val="Compact"/>
              <w:jc w:val="right"/>
            </w:pPr>
            <w:r>
              <w:t xml:space="preserve">0.938</w:t>
            </w:r>
          </w:p>
        </w:tc>
      </w:tr>
      <w:tr>
        <w:tc>
          <w:tcPr/>
          <w:p>
            <w:pPr>
              <w:pStyle w:val="Compact"/>
              <w:jc w:val="left"/>
            </w:pPr>
            <w:r>
              <w:t xml:space="preserve">Aur-P1</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0.448</w:t>
            </w:r>
          </w:p>
        </w:tc>
        <w:tc>
          <w:tcPr/>
          <w:p>
            <w:pPr>
              <w:pStyle w:val="Compact"/>
              <w:jc w:val="right"/>
            </w:pPr>
            <w:r>
              <w:t xml:space="preserve">0.932</w:t>
            </w:r>
          </w:p>
        </w:tc>
      </w:tr>
      <w:tr>
        <w:tc>
          <w:tcPr/>
          <w:p>
            <w:pPr>
              <w:pStyle w:val="Compact"/>
              <w:jc w:val="left"/>
            </w:pPr>
            <w:r>
              <w:t xml:space="preserve">Aur-P2</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0.448</w:t>
            </w:r>
          </w:p>
        </w:tc>
        <w:tc>
          <w:tcPr/>
          <w:p>
            <w:pPr>
              <w:pStyle w:val="Compact"/>
              <w:jc w:val="right"/>
            </w:pPr>
            <w:r>
              <w:t xml:space="preserve">0.928</w:t>
            </w:r>
          </w:p>
        </w:tc>
      </w:tr>
    </w:tbl>
    <w:bookmarkEnd w:id="36"/>
    <w:bookmarkStart w:id="41" w:name="sec-s2-5"/>
    <w:p>
      <w:pPr>
        <w:pStyle w:val="Heading2"/>
      </w:pPr>
      <w:r>
        <w:t xml:space="preserve">S1.2.5 Continuous Threshold Sweep</w:t>
      </w:r>
    </w:p>
    <w:p>
      <w:pPr>
        <w:pStyle w:val="FirstParagraph"/>
      </w:pPr>
      <w:r>
        <w:t xml:space="preserve">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type="pct" w:w="5000"/>
        <w:tblLook w:firstRow="0" w:lastRow="0" w:firstColumn="0" w:lastColumn="0" w:noHBand="0" w:noVBand="0" w:val="0000"/>
        <w:jc w:val="start"/>
        <w:tblLayout w:type="fixed"/>
      </w:tblPr>
      <w:tblGrid>
        <w:gridCol w:w="7920"/>
      </w:tblGrid>
      <w:tr>
        <w:tc>
          <w:tcPr/>
          <w:bookmarkStart w:id="40" w:name="fig-threshold-sweep"/>
          <w:p>
            <w:pPr>
              <w:pStyle w:val="Compact"/>
              <w:jc w:val="center"/>
            </w:pPr>
            <w:r>
              <w:drawing>
                <wp:inline>
                  <wp:extent cx="5943600" cy="2971800"/>
                  <wp:effectExtent b="0" l="0" r="0" t="0"/>
                  <wp:docPr descr="" title="" id="38" name="Picture"/>
                  <a:graphic>
                    <a:graphicData uri="http://schemas.openxmlformats.org/drawingml/2006/picture">
                      <pic:pic>
                        <pic:nvPicPr>
                          <pic:cNvPr descr="S1-supplement-sensitivity_files/figure-docx/fig-threshold-sweep-1.png" id="39" name="Picture"/>
                          <pic:cNvPicPr>
                            <a:picLocks noChangeArrowheads="1" noChangeAspect="1"/>
                          </pic:cNvPicPr>
                        </pic:nvPicPr>
                        <pic:blipFill>
                          <a:blip r:embed="rId37"/>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2: Mean degree (left) and modularity (right) for each Aurignacian phase across a continuous range of Jaccard similarity thresholds. The vertical dashed line marks the baseline threshold of 0.2.</w:t>
            </w:r>
          </w:p>
          <w:bookmarkEnd w:id="40"/>
        </w:tc>
      </w:tr>
    </w:tbl>
    <w:p>
      <w:pPr>
        <w:pStyle w:val="BodyText"/>
      </w:pPr>
      <w:r>
        <w:t xml:space="preserve">The sweep reveals the threshold range over which the Aur-P1 &gt; Aur-P2 mean-degree ordering holds. The two-phase contrast is monotonic and holds at every threshold in the swept range: Aur-P1’s mean degree runs from 2.80–14.80 and Aur-P2’s from 2.00–7.11 across thresholds of 0.05–0.50, and the ordering is preserved throughout. At very low thresholds both networks are densely connected and the relative contrast compresses; at high thresholds both fragment as edges drop out, but Aur-P2 retains a mean degree of at least 2.00 even at the coarsest threshold (0.50), so the contrast never collapses.</w:t>
      </w:r>
    </w:p>
    <w:p>
      <w:pPr>
        <w:pStyle w:val="BodyText"/>
      </w:pPr>
      <w:r>
        <w:rPr>
          <w:bCs/>
          <w:b/>
        </w:rPr>
        <w:t xml:space="preserve">Implications for the main text.</w:t>
      </w:r>
      <w:r>
        <w:t xml:space="preserve"> </w:t>
      </w:r>
      <w:r>
        <w:t xml:space="preserve">The continuous sweep confirms that the main-text threshold of 0.2 is not a cherry-picked value that produces a desired result. The Aur-P1 &gt; Aur-P2 mean-degree ordering is preserved across the entire informative threshold range (0.05–0.50). In contrast to a three-phase periodisation, in which the intermediate phase could be compressed into statistical collapse at high thresholds, the two-phase comparison is stable: Aur-P2, though small, never fragments below a mean degree of 2.00. The modularity sweep shows a parallel pattern: Aur-P1’s modularity ranges from 0.204–0.437 across thresholds and consistently exceeds Aur-P2’s (0.085–0.161) at every threshold, reinforcing the conclusion that the larger, earlier phase has a stronger community structure. The baseline threshold of 0.2 sits in the middle of this stable plateau, where both phases retain sufficient edges for meaningful comparison.</w:t>
      </w:r>
    </w:p>
    <w:bookmarkEnd w:id="41"/>
    <w:bookmarkEnd w:id="42"/>
    <w:bookmarkStart w:id="50" w:name="sec-s3"/>
    <w:p>
      <w:pPr>
        <w:pStyle w:val="Heading1"/>
      </w:pPr>
      <w:r>
        <w:t xml:space="preserve">S1.3 Similarity Metric Choice (Jaccard vs. Sørensen-Dice vs. Simpson)</w:t>
      </w:r>
    </w:p>
    <w:bookmarkStart w:id="48" w:name="sec-S1-3-rationale"/>
    <w:p>
      <w:pPr>
        <w:pStyle w:val="Heading2"/>
      </w:pPr>
      <w:r>
        <w:t xml:space="preserve">S1.3.1 Rationale</w:t>
      </w:r>
    </w:p>
    <w:p>
      <w:pPr>
        <w:pStyle w:val="FirstParagraph"/>
      </w:pPr>
      <w:r>
        <w:t xml:space="preserve">In presence/absence assemblage data, different similarity formulations weight joint presences and richness differences (assemblage sample size) differently:</w:t>
      </w:r>
      <w:r>
        <w:t xml:space="preserve"> </w:t>
      </w:r>
      <w:r>
        <w:t xml:space="preserve">-</w:t>
      </w:r>
      <w:r>
        <w:t xml:space="preserve"> </w:t>
      </w:r>
      <w:r>
        <w:rPr>
          <w:bCs/>
          <w:b/>
        </w:rPr>
        <w:t xml:space="preserve">Jaccard Similarity:</w:t>
      </w:r>
      <w:r>
        <w:t xml:space="preserve"> </w:t>
      </w:r>
      <m:oMath>
        <m:r>
          <m:t>J</m:t>
        </m:r>
        <m:r>
          <m:rPr>
            <m:sty m:val="p"/>
          </m:rPr>
          <m:t>/</m:t>
        </m:r>
        <m:d>
          <m:dPr>
            <m:begChr m:val="("/>
            <m:endChr m:val=")"/>
            <m:sepChr m:val=""/>
            <m:grow/>
          </m:dPr>
          <m:e>
            <m:r>
              <m:t>A</m:t>
            </m:r>
            <m:r>
              <m:rPr>
                <m:sty m:val="p"/>
              </m:rPr>
              <m:t>+</m:t>
            </m:r>
            <m:r>
              <m:t>B</m:t>
            </m:r>
            <m:r>
              <m:rPr>
                <m:sty m:val="p"/>
              </m:rPr>
              <m:t>−</m:t>
            </m:r>
            <m:r>
              <m:t>J</m:t>
            </m:r>
          </m:e>
        </m:d>
      </m:oMath>
      <w:r>
        <w:t xml:space="preserve">, where</w:t>
      </w:r>
      <w:r>
        <w:t xml:space="preserve"> </w:t>
      </w:r>
      <m:oMath>
        <m:r>
          <m:t>J</m:t>
        </m:r>
      </m:oMath>
      <w:r>
        <w:t xml:space="preserve"> </w:t>
      </w:r>
      <w:r>
        <w:t xml:space="preserve">is shared sign types and</w:t>
      </w:r>
      <w:r>
        <w:t xml:space="preserve"> </w:t>
      </w:r>
      <m:oMath>
        <m:r>
          <m:t>A</m:t>
        </m:r>
        <m:r>
          <m:rPr>
            <m:sty m:val="p"/>
          </m:rPr>
          <m:t>,</m:t>
        </m:r>
        <m:r>
          <m:t>B</m:t>
        </m:r>
      </m:oMath>
      <w:r>
        <w:t xml:space="preserve"> </w:t>
      </w:r>
      <w:r>
        <w:t xml:space="preserve">are site sign counts.</w:t>
      </w:r>
      <w:r>
        <w:t xml:space="preserve"> </w:t>
      </w:r>
      <w:r>
        <w:t xml:space="preserve">-</w:t>
      </w:r>
      <w:r>
        <w:t xml:space="preserve"> </w:t>
      </w:r>
      <w:r>
        <w:rPr>
          <w:bCs/>
          <w:b/>
        </w:rPr>
        <w:t xml:space="preserve">Sørensen-Dice Similarity:</w:t>
      </w:r>
      <w:r>
        <w:t xml:space="preserve"> </w:t>
      </w:r>
      <m:oMath>
        <m:r>
          <m:t>2</m:t>
        </m:r>
        <m:r>
          <m:t>J</m:t>
        </m:r>
        <m:r>
          <m:rPr>
            <m:sty m:val="p"/>
          </m:rPr>
          <m:t>/</m:t>
        </m:r>
        <m:d>
          <m:dPr>
            <m:begChr m:val="("/>
            <m:endChr m:val=")"/>
            <m:sepChr m:val=""/>
            <m:grow/>
          </m:dPr>
          <m:e>
            <m:r>
              <m:t>A</m:t>
            </m:r>
            <m:r>
              <m:rPr>
                <m:sty m:val="p"/>
              </m:rPr>
              <m:t>+</m:t>
            </m:r>
            <m:r>
              <m:t>B</m:t>
            </m:r>
          </m:e>
        </m:d>
      </m:oMath>
      <w:r>
        <w:t xml:space="preserve">, which places double weight on shared presences.</w:t>
      </w:r>
      <w:r>
        <w:t xml:space="preserve"> </w:t>
      </w:r>
      <w:r>
        <w:t xml:space="preserve">-</w:t>
      </w:r>
      <w:r>
        <w:t xml:space="preserve"> </w:t>
      </w:r>
      <w:r>
        <w:rPr>
          <w:bCs/>
          <w:b/>
        </w:rPr>
        <w:t xml:space="preserve">Simpson Similarity:</w:t>
      </w:r>
      <w:r>
        <w:t xml:space="preserve"> </w:t>
      </w:r>
      <m:oMath>
        <m:r>
          <m:t>J</m:t>
        </m:r>
        <m:r>
          <m:rPr>
            <m:sty m:val="p"/>
          </m:rPr>
          <m:t>/</m:t>
        </m:r>
        <m:r>
          <m:rPr>
            <m:sty m:val="p"/>
          </m:rPr>
          <m:t>min</m:t>
        </m:r>
        <m:d>
          <m:dPr>
            <m:begChr m:val="("/>
            <m:endChr m:val=")"/>
            <m:sepChr m:val=""/>
            <m:grow/>
          </m:dPr>
          <m:e>
            <m:r>
              <m:t>A</m:t>
            </m:r>
            <m:r>
              <m:rPr>
                <m:sty m:val="p"/>
              </m:rPr>
              <m:t>,</m:t>
            </m:r>
            <m:r>
              <m:t>B</m:t>
            </m:r>
          </m:e>
        </m:d>
      </m:oMath>
      <w:r>
        <w:t xml:space="preserve">, which evaluates shared overlap relative to the smaller assemblage, rendering it insensitive to differences in sample size / richness between sites.</w:t>
      </w:r>
    </w:p>
    <w:p>
      <w:pPr>
        <w:pStyle w:val="BodyText"/>
      </w:pPr>
      <w:r>
        <w:t xml:space="preserve">To test whether the network topology is sensitive to the dissimilarity metric chosen, we compared network properties across all three metrics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43" w:name="tbl-metric-stats"/>
          <w:tbl>
            <w:tblPr>
              <w:tblStyle w:val="Table"/>
              <w:tblW w:type="pct" w:w="5000"/>
              <w:tblLook w:firstRow="1" w:lastRow="0" w:firstColumn="0" w:lastColumn="0" w:noHBand="0" w:noVBand="0" w:val="0020"/>
              <w:jc w:val="start"/>
              <w:tblLayout w:type="fixed"/>
            </w:tblPr>
            <w:tblGrid>
              <w:gridCol w:w="637"/>
              <w:gridCol w:w="819"/>
              <w:gridCol w:w="546"/>
              <w:gridCol w:w="728"/>
              <w:gridCol w:w="819"/>
              <w:gridCol w:w="1092"/>
              <w:gridCol w:w="1183"/>
              <w:gridCol w:w="1001"/>
              <w:gridCol w:w="1092"/>
            </w:tblGrid>
            <w:tr>
              <w:trPr>
                <w:tblHeader w:val="true"/>
              </w:trPr>
              <w:tc>
                <w:tcPr/>
                <w:p>
                  <w:pPr>
                    <w:pStyle w:val="Compact"/>
                    <w:jc w:val="left"/>
                    <w:jc w:val="center"/>
                  </w:pPr>
                  <w:r>
                    <w:t xml:space="preserve">Phase</w:t>
                  </w:r>
                </w:p>
              </w:tc>
              <w:tc>
                <w:tcPr/>
                <w:p>
                  <w:pPr>
                    <w:pStyle w:val="Compact"/>
                    <w:jc w:val="left"/>
                    <w:jc w:val="center"/>
                  </w:pPr>
                  <w:r>
                    <w:t xml:space="preserve">Metric</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left"/>
                    <w:jc w:val="center"/>
                  </w:pPr>
                  <w:r>
                    <w:t xml:space="preserve">jaccard</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jaccard</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sorensen</w:t>
                  </w:r>
                </w:p>
              </w:tc>
              <w:tc>
                <w:tcPr/>
                <w:p>
                  <w:pPr>
                    <w:pStyle w:val="Compact"/>
                    <w:jc w:val="right"/>
                    <w:jc w:val="center"/>
                  </w:pPr>
                  <w:r>
                    <w:t xml:space="preserve">113</w:t>
                  </w:r>
                </w:p>
              </w:tc>
              <w:tc>
                <w:tcPr/>
                <w:p>
                  <w:pPr>
                    <w:pStyle w:val="Compact"/>
                    <w:jc w:val="right"/>
                    <w:jc w:val="center"/>
                  </w:pPr>
                  <w:r>
                    <w:t xml:space="preserve">0.595</w:t>
                  </w:r>
                </w:p>
              </w:tc>
              <w:tc>
                <w:tcPr/>
                <w:p>
                  <w:pPr>
                    <w:pStyle w:val="Compact"/>
                    <w:jc w:val="right"/>
                    <w:jc w:val="center"/>
                  </w:pPr>
                  <w:r>
                    <w:t xml:space="preserve">1</w:t>
                  </w:r>
                </w:p>
              </w:tc>
              <w:tc>
                <w:tcPr/>
                <w:p>
                  <w:pPr>
                    <w:pStyle w:val="Compact"/>
                    <w:jc w:val="right"/>
                    <w:jc w:val="center"/>
                  </w:pPr>
                  <w:r>
                    <w:t xml:space="preserve">11.30</w:t>
                  </w:r>
                </w:p>
              </w:tc>
              <w:tc>
                <w:tcPr/>
                <w:p>
                  <w:pPr>
                    <w:pStyle w:val="Compact"/>
                    <w:jc w:val="right"/>
                    <w:jc w:val="center"/>
                  </w:pPr>
                  <w:r>
                    <w:t xml:space="preserve">0.798</w:t>
                  </w:r>
                </w:p>
              </w:tc>
              <w:tc>
                <w:tcPr/>
                <w:p>
                  <w:pPr>
                    <w:pStyle w:val="Compact"/>
                    <w:jc w:val="right"/>
                    <w:jc w:val="center"/>
                  </w:pPr>
                  <w:r>
                    <w:t xml:space="preserve">0.199</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sorensen</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0.058</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simpson</w:t>
                  </w:r>
                </w:p>
              </w:tc>
              <w:tc>
                <w:tcPr/>
                <w:p>
                  <w:pPr>
                    <w:pStyle w:val="Compact"/>
                    <w:jc w:val="right"/>
                    <w:jc w:val="center"/>
                  </w:pPr>
                  <w:r>
                    <w:t xml:space="preserve">148</w:t>
                  </w:r>
                </w:p>
              </w:tc>
              <w:tc>
                <w:tcPr/>
                <w:p>
                  <w:pPr>
                    <w:pStyle w:val="Compact"/>
                    <w:jc w:val="right"/>
                    <w:jc w:val="center"/>
                  </w:pPr>
                  <w:r>
                    <w:t xml:space="preserve">0.779</w:t>
                  </w:r>
                </w:p>
              </w:tc>
              <w:tc>
                <w:tcPr/>
                <w:p>
                  <w:pPr>
                    <w:pStyle w:val="Compact"/>
                    <w:jc w:val="right"/>
                    <w:jc w:val="center"/>
                  </w:pPr>
                  <w:r>
                    <w:t xml:space="preserve">0</w:t>
                  </w:r>
                </w:p>
              </w:tc>
              <w:tc>
                <w:tcPr/>
                <w:p>
                  <w:pPr>
                    <w:pStyle w:val="Compact"/>
                    <w:jc w:val="right"/>
                    <w:jc w:val="center"/>
                  </w:pPr>
                  <w:r>
                    <w:t xml:space="preserve">14.80</w:t>
                  </w:r>
                </w:p>
              </w:tc>
              <w:tc>
                <w:tcPr/>
                <w:p>
                  <w:pPr>
                    <w:pStyle w:val="Compact"/>
                    <w:jc w:val="right"/>
                    <w:jc w:val="center"/>
                  </w:pPr>
                  <w:r>
                    <w:t xml:space="preserve">0.921</w:t>
                  </w:r>
                </w:p>
              </w:tc>
              <w:tc>
                <w:tcPr/>
                <w:p>
                  <w:pPr>
                    <w:pStyle w:val="Compact"/>
                    <w:jc w:val="right"/>
                    <w:jc w:val="center"/>
                  </w:pPr>
                  <w:r>
                    <w:t xml:space="preserve">0.030</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simpson</w:t>
                  </w:r>
                </w:p>
              </w:tc>
              <w:tc>
                <w:tcPr/>
                <w:p>
                  <w:pPr>
                    <w:pStyle w:val="Compact"/>
                    <w:jc w:val="right"/>
                    <w:jc w:val="center"/>
                  </w:pPr>
                  <w:r>
                    <w:t xml:space="preserve">32</w:t>
                  </w:r>
                </w:p>
              </w:tc>
              <w:tc>
                <w:tcPr/>
                <w:p>
                  <w:pPr>
                    <w:pStyle w:val="Compact"/>
                    <w:jc w:val="right"/>
                    <w:jc w:val="center"/>
                  </w:pPr>
                  <w:r>
                    <w:t xml:space="preserve">0.889</w:t>
                  </w:r>
                </w:p>
              </w:tc>
              <w:tc>
                <w:tcPr/>
                <w:p>
                  <w:pPr>
                    <w:pStyle w:val="Compact"/>
                    <w:jc w:val="right"/>
                    <w:jc w:val="center"/>
                  </w:pPr>
                  <w:r>
                    <w:t xml:space="preserve">0</w:t>
                  </w:r>
                </w:p>
              </w:tc>
              <w:tc>
                <w:tcPr/>
                <w:p>
                  <w:pPr>
                    <w:pStyle w:val="Compact"/>
                    <w:jc w:val="right"/>
                    <w:jc w:val="center"/>
                  </w:pPr>
                  <w:r>
                    <w:t xml:space="preserve">7.11</w:t>
                  </w:r>
                </w:p>
              </w:tc>
              <w:tc>
                <w:tcPr/>
                <w:p>
                  <w:pPr>
                    <w:pStyle w:val="Compact"/>
                    <w:jc w:val="right"/>
                    <w:jc w:val="center"/>
                  </w:pPr>
                  <w:r>
                    <w:t xml:space="preserve">0.900</w:t>
                  </w:r>
                </w:p>
              </w:tc>
              <w:tc>
                <w:tcPr/>
                <w:p>
                  <w:pPr>
                    <w:pStyle w:val="Compact"/>
                    <w:jc w:val="right"/>
                    <w:jc w:val="center"/>
                  </w:pPr>
                  <w:r>
                    <w:t xml:space="preserve">0.024</w:t>
                  </w:r>
                </w:p>
              </w:tc>
              <w:tc>
                <w:tcPr/>
                <w:p>
                  <w:pPr>
                    <w:pStyle w:val="Compact"/>
                    <w:jc w:val="right"/>
                    <w:jc w:val="center"/>
                  </w:pPr>
                  <w:r>
                    <w:t xml:space="preserve">2</w:t>
                  </w:r>
                </w:p>
              </w:tc>
            </w:tr>
          </w:tbl>
          <w:p>
            <w:pPr>
              <w:jc w:val="center"/>
            </w:pPr>
            <w:pPr>
              <w:jc w:val="start"/>
              <w:spacing w:before="200"/>
              <w:pStyle w:val="ImageCaption"/>
            </w:pPr>
            <w:r>
              <w:t xml:space="preserve">Table S 3: Network statistics for each Aurignacian phase across three similarity metrics (Jaccard, Sørensen-Dice, Simpson) at threshold = 0.2.</w:t>
            </w:r>
          </w:p>
          <w:bookmarkEnd w:id="43"/>
        </w:tc>
      </w:tr>
    </w:tbl>
    <w:tbl>
      <w:tblPr>
        <w:tblStyle w:val="Table"/>
        <w:tblW w:type="pct" w:w="5000"/>
        <w:tblLook w:firstRow="0" w:lastRow="0" w:firstColumn="0" w:lastColumn="0" w:noHBand="0" w:noVBand="0" w:val="0000"/>
        <w:jc w:val="start"/>
        <w:tblLayout w:type="fixed"/>
      </w:tblPr>
      <w:tblGrid>
        <w:gridCol w:w="7920"/>
      </w:tblGrid>
      <w:tr>
        <w:tc>
          <w:tcPr/>
          <w:bookmarkStart w:id="47" w:name="fig-metric-networks"/>
          <w:p>
            <w:pPr>
              <w:pStyle w:val="Compact"/>
              <w:jc w:val="center"/>
            </w:pPr>
            <w:r>
              <w:drawing>
                <wp:inline>
                  <wp:extent cx="5943600" cy="5403272"/>
                  <wp:effectExtent b="0" l="0" r="0" t="0"/>
                  <wp:docPr descr="" title="" id="45" name="Picture"/>
                  <a:graphic>
                    <a:graphicData uri="http://schemas.openxmlformats.org/drawingml/2006/picture">
                      <pic:pic>
                        <pic:nvPicPr>
                          <pic:cNvPr descr="../figures/sensitivity-metric-plot.png" id="46" name="Picture"/>
                          <pic:cNvPicPr>
                            <a:picLocks noChangeArrowheads="1" noChangeAspect="1"/>
                          </pic:cNvPicPr>
                        </pic:nvPicPr>
                        <pic:blipFill>
                          <a:blip r:embed="rId44"/>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3: Site networks for Aur-P1 (top) and Aur-P2 (bottom) under Jaccard (left), Sørensen-Dice (centre), and Simpson (right) similarity metrics at threshold = 0.2.</w:t>
            </w:r>
          </w:p>
          <w:bookmarkEnd w:id="47"/>
        </w:tc>
      </w:tr>
    </w:tbl>
    <w:bookmarkEnd w:id="48"/>
    <w:bookmarkStart w:id="49" w:name="sec-S1-3-interpretation"/>
    <w:p>
      <w:pPr>
        <w:pStyle w:val="Heading2"/>
      </w:pPr>
      <w:r>
        <w:t xml:space="preserve">S1.3.2 Interpretation</w:t>
      </w:r>
    </w:p>
    <w:p>
      <w:pPr>
        <w:pStyle w:val="FirstParagraph"/>
      </w:pPr>
      <w:r>
        <w:t xml:space="preserve">Across all three metrics:</w:t>
      </w:r>
      <w:r>
        <w:t xml:space="preserve"> </w:t>
      </w:r>
      <w:r>
        <w:t xml:space="preserve">1.</w:t>
      </w:r>
      <w:r>
        <w:t xml:space="preserve"> </w:t>
      </w:r>
      <w:r>
        <w:rPr>
          <w:bCs/>
          <w:b/>
        </w:rPr>
        <w:t xml:space="preserve">Phase contrast:</w:t>
      </w:r>
      <w:r>
        <w:t xml:space="preserve"> </w:t>
      </w:r>
      <w:r>
        <w:t xml:space="preserve">Aur-P1 consistently produces the higher edge count and node degree, while Aur-P2 is sparser, consistent with its smaller sample.</w:t>
      </w:r>
      <w:r>
        <w:t xml:space="preserve"> </w:t>
      </w:r>
      <w:r>
        <w:t xml:space="preserve">2.</w:t>
      </w:r>
      <w:r>
        <w:t xml:space="preserve"> </w:t>
      </w:r>
      <w:r>
        <w:rPr>
          <w:bCs/>
          <w:b/>
        </w:rPr>
        <w:t xml:space="preserve">Sørensen vs. Jaccard:</w:t>
      </w:r>
      <w:r>
        <w:t xml:space="preserve"> </w:t>
      </w:r>
      <w:r>
        <w:t xml:space="preserve">Sørensen similarity yields higher edge counts (e.g. Aur-P1 113 vs. 75 for Jaccard) because double-weighting shared presences elevates similarity scores above the 0.2 threshold. However, network community structures and hub locations remain identical.</w:t>
      </w:r>
      <w:r>
        <w:t xml:space="preserve"> </w:t>
      </w:r>
      <w:r>
        <w:t xml:space="preserve">3.</w:t>
      </w:r>
      <w:r>
        <w:t xml:space="preserve"> </w:t>
      </w:r>
      <w:r>
        <w:rPr>
          <w:bCs/>
          <w:b/>
        </w:rPr>
        <w:t xml:space="preserve">Simpson Similarity:</w:t>
      </w:r>
      <w:r>
        <w:t xml:space="preserve"> </w:t>
      </w:r>
      <w:r>
        <w:t xml:space="preserve">Simpson similarity shows that the Aur-P1 connectivity is driven by genuine shared sign repertoires rather than sample-size asymmetry.</w:t>
      </w:r>
    </w:p>
    <w:p>
      <w:pPr>
        <w:pStyle w:val="BodyText"/>
      </w:pPr>
      <w:r>
        <w:rPr>
          <w:bCs/>
          <w:b/>
        </w:rPr>
        <w:t xml:space="preserve">Implications for the main text.</w:t>
      </w:r>
      <w:r>
        <w:t xml:space="preserve"> </w:t>
      </w:r>
      <w:r>
        <w:t xml:space="preserve">The metric comparison addresses the concern that Jaccard similarity, which ignores joint absences and penalises richness differences, might produce different network structures than metrics that treat richness asymmetry differently. The fact that all three metrics yield the same phase contrast and qualitatively similar community structures means the main-text conclusions are not an artefact of the Jaccard formulation. Simpson similarity is particularly important: because it measures overlap relative to the smaller assemblage, it controls for the fact that some sites have many more sign types than others. The persistence of the connectivity contrast under Simpson confirms that Aur-P1’s higher mean degree (7.50 at the baseline threshold) reflects genuinely shared sign types, not a mechanical advantage from richer assemblages. The main text can therefore report its results using Jaccard (the most widely used metric in archaeology) without caveating that alternative metrics might produce different conclusions.</w:t>
      </w:r>
    </w:p>
    <w:bookmarkEnd w:id="49"/>
    <w:bookmarkEnd w:id="50"/>
    <w:bookmarkStart w:id="62" w:name="sec-s4"/>
    <w:p>
      <w:pPr>
        <w:pStyle w:val="Heading1"/>
      </w:pPr>
      <w:r>
        <w:t xml:space="preserve">S1.4 Geographic Distance Verification (Mantel Tests)</w:t>
      </w:r>
    </w:p>
    <w:bookmarkStart w:id="52" w:name="sec-S1-4-rationale"/>
    <w:p>
      <w:pPr>
        <w:pStyle w:val="Heading2"/>
      </w:pPr>
      <w:r>
        <w:t xml:space="preserve">S1.4.1 Rationale</w:t>
      </w:r>
    </w:p>
    <w:p>
      <w:pPr>
        <w:pStyle w:val="FirstParagraph"/>
      </w:pPr>
      <w:r>
        <w:t xml:space="preserve">In the main text, Mantel tests evaluate whether sign assemblage dissimilarity correlates with spatial distance. Computing geographic distance via flat degree coordinates (</w:t>
      </w:r>
      <w:r>
        <w:rPr>
          <w:rStyle w:val="VerbatimChar"/>
        </w:rPr>
        <w:t xml:space="preserve">dist(cbind(lon, lat))</w:t>
      </w:r>
      <w:r>
        <w:t xml:space="preserve">) introduces longitudinal distortion across European latitudes. Here we re-evaluate all Mantel tests using true</w:t>
      </w:r>
      <w:r>
        <w:t xml:space="preserve"> </w:t>
      </w:r>
      <w:r>
        <w:rPr>
          <w:bCs/>
          <w:b/>
        </w:rPr>
        <w:t xml:space="preserve">geodesic distance in kilometers</w:t>
      </w:r>
      <w:r>
        <w:t xml:space="preserve"> </w:t>
      </w:r>
      <w:r>
        <w:t xml:space="preserve">computed via</w:t>
      </w:r>
      <w:r>
        <w:t xml:space="preserve"> </w:t>
      </w:r>
      <w:r>
        <w:rPr>
          <w:rStyle w:val="VerbatimChar"/>
        </w:rPr>
        <w:t xml:space="preserve">sf::st_distance()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51" w:name="tbl-geodesic-mante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Euclidean R</w:t>
                  </w:r>
                </w:p>
              </w:tc>
              <w:tc>
                <w:tcPr/>
                <w:p>
                  <w:pPr>
                    <w:pStyle w:val="Compact"/>
                    <w:jc w:val="right"/>
                    <w:jc w:val="center"/>
                  </w:pPr>
                  <w:r>
                    <w:t xml:space="preserve">Euclidean p</w:t>
                  </w:r>
                </w:p>
              </w:tc>
              <w:tc>
                <w:tcPr/>
                <w:p>
                  <w:pPr>
                    <w:pStyle w:val="Compact"/>
                    <w:jc w:val="right"/>
                    <w:jc w:val="center"/>
                  </w:pPr>
                  <w:r>
                    <w:t xml:space="preserve">Geodesic R (km)</w:t>
                  </w:r>
                </w:p>
              </w:tc>
              <w:tc>
                <w:tcPr/>
                <w:p>
                  <w:pPr>
                    <w:pStyle w:val="Compact"/>
                    <w:jc w:val="right"/>
                    <w:jc w:val="center"/>
                  </w:pPr>
                  <w:r>
                    <w:t xml:space="preserve">Geodesic p (km)</w:t>
                  </w:r>
                </w:p>
              </w:tc>
            </w:tr>
            <w:tr>
              <w:tc>
                <w:tcPr/>
                <w:p>
                  <w:pPr>
                    <w:pStyle w:val="Compact"/>
                    <w:jc w:val="left"/>
                    <w:jc w:val="center"/>
                  </w:pPr>
                  <w:r>
                    <w:t xml:space="preserve">Aur-P1</w:t>
                  </w:r>
                </w:p>
              </w:tc>
              <w:tc>
                <w:tcPr/>
                <w:p>
                  <w:pPr>
                    <w:pStyle w:val="Compact"/>
                    <w:jc w:val="right"/>
                    <w:jc w:val="center"/>
                  </w:pPr>
                  <w:r>
                    <w:t xml:space="preserve">0.026</w:t>
                  </w:r>
                </w:p>
              </w:tc>
              <w:tc>
                <w:tcPr/>
                <w:p>
                  <w:pPr>
                    <w:pStyle w:val="Compact"/>
                    <w:jc w:val="right"/>
                    <w:jc w:val="center"/>
                  </w:pPr>
                  <w:r>
                    <w:t xml:space="preserve">0.371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-0.294</w:t>
                  </w:r>
                </w:p>
              </w:tc>
              <w:tc>
                <w:tcPr/>
                <w:p>
                  <w:pPr>
                    <w:pStyle w:val="Compact"/>
                    <w:jc w:val="right"/>
                    <w:jc w:val="center"/>
                  </w:pPr>
                  <w:r>
                    <w:t xml:space="preserve">0.965</w:t>
                  </w:r>
                </w:p>
              </w:tc>
              <w:tc>
                <w:tcPr/>
                <w:p>
                  <w:pPr>
                    <w:pStyle w:val="Compact"/>
                    <w:jc w:val="right"/>
                    <w:jc w:val="center"/>
                  </w:pPr>
                  <w:r>
                    <w:t xml:space="preserve">-0.299</w:t>
                  </w:r>
                </w:p>
              </w:tc>
              <w:tc>
                <w:tcPr/>
                <w:p>
                  <w:pPr>
                    <w:pStyle w:val="Compact"/>
                    <w:jc w:val="right"/>
                    <w:jc w:val="center"/>
                  </w:pPr>
                  <w:r>
                    <w:t xml:space="preserve">0.967</w:t>
                  </w:r>
                </w:p>
              </w:tc>
            </w:tr>
          </w:tbl>
          <w:p>
            <w:pPr>
              <w:jc w:val="center"/>
            </w:pPr>
            <w:pPr>
              <w:jc w:val="start"/>
              <w:spacing w:before="200"/>
              <w:pStyle w:val="ImageCaption"/>
            </w:pPr>
            <w:r>
              <w:t xml:space="preserve">Table S 4: Comparison of Mantel test results (Mantel R and p-value) evaluating sign assemblage dissimilarity vs. spatial distance using flat coordinate Euclidean distance vs. true Geodesic distance (in kilometers).</w:t>
            </w:r>
          </w:p>
          <w:bookmarkEnd w:id="51"/>
        </w:tc>
      </w:tr>
    </w:tbl>
    <w:bookmarkEnd w:id="52"/>
    <w:bookmarkStart w:id="53" w:name="sec-S1-4-interpretation"/>
    <w:p>
      <w:pPr>
        <w:pStyle w:val="Heading2"/>
      </w:pPr>
      <w:r>
        <w:t xml:space="preserve">S1.4.2 Interpretation</w:t>
      </w:r>
    </w:p>
    <w:p>
      <w:pPr>
        <w:pStyle w:val="FirstParagraph"/>
      </w:pPr>
      <w:r>
        <w:t xml:space="preserve">The geodesic distance calculation provides an important clarification:</w:t>
      </w:r>
      <w:r>
        <w:t xml:space="preserve"> </w:t>
      </w:r>
      <w:r>
        <w:t xml:space="preserve">- In</w:t>
      </w:r>
      <w:r>
        <w:t xml:space="preserve"> </w:t>
      </w:r>
      <w:r>
        <w:rPr>
          <w:bCs/>
          <w:b/>
        </w:rPr>
        <w:t xml:space="preserve">Aur-P1</w:t>
      </w:r>
      <w:r>
        <w:t xml:space="preserve"> </w:t>
      </w:r>
      <w:r>
        <w:t xml:space="preserve">(</w:t>
      </w:r>
      <m:oMath>
        <m:r>
          <m:t>R</m:t>
        </m:r>
      </m:oMath>
      <w:r>
        <w:t xml:space="preserve"> </w:t>
      </w:r>
      <w:r>
        <w:t xml:space="preserve">= 0.046, p = 0.301), geographic distance remains uncorrelated with sign assemblage dissimilarity under both metrics.</w:t>
      </w:r>
      <w:r>
        <w:t xml:space="preserve"> </w:t>
      </w:r>
      <w:r>
        <w:t xml:space="preserve">- In</w:t>
      </w:r>
      <w:r>
        <w:t xml:space="preserve"> </w:t>
      </w:r>
      <w:r>
        <w:rPr>
          <w:bCs/>
          <w:b/>
        </w:rPr>
        <w:t xml:space="preserve">Aur-P2</w:t>
      </w:r>
      <w:r>
        <w:t xml:space="preserve"> </w:t>
      </w:r>
      <w:r>
        <w:t xml:space="preserve">(</w:t>
      </w:r>
      <m:oMath>
        <m:r>
          <m:t>R</m:t>
        </m:r>
      </m:oMath>
      <w:r>
        <w:t xml:space="preserve"> </w:t>
      </w:r>
      <w:r>
        <w:t xml:space="preserve">= -0.299, p = 0.967), the same non-significant result holds under both metrics.</w:t>
      </w:r>
    </w:p>
    <w:p>
      <w:pPr>
        <w:pStyle w:val="BodyText"/>
      </w:pPr>
      <w:r>
        <w:t xml:space="preserve">Consistent with the main-text Mantel tests (which report no significant geographic signal in either phase), neither phase shows a significant correlation between geographic distance and sign assemblage dissimilarity, whether distance is measured as flat Euclidean coordinates or as true geodesic kilometers.</w:t>
      </w:r>
    </w:p>
    <w:bookmarkEnd w:id="53"/>
    <w:bookmarkStart w:id="61" w:name="sec-s4-3"/>
    <w:p>
      <w:pPr>
        <w:pStyle w:val="Heading2"/>
      </w:pPr>
      <w:r>
        <w:t xml:space="preserve">S1.4.3 Mantel Correlogram</w:t>
      </w:r>
    </w:p>
    <w:bookmarkStart w:id="54" w:name="rationale-2"/>
    <w:p>
      <w:pPr>
        <w:pStyle w:val="Heading3"/>
      </w:pPr>
      <w:r>
        <w:t xml:space="preserve">Rationale</w:t>
      </w:r>
    </w:p>
    <w:p>
      <w:pPr>
        <w:pStyle w:val="FirstParagraph"/>
      </w:pPr>
      <w:r>
        <w:t xml:space="preserve">The Mantel tests reported in the main text and in</w:t>
      </w:r>
      <w:r>
        <w:t xml:space="preserve"> </w:t>
      </w:r>
      <w:r>
        <w:t xml:space="preserve">Section S1.4</w:t>
      </w:r>
      <w:r>
        <w:t xml:space="preserve"> </w:t>
      </w:r>
      <w:r>
        <w:t xml:space="preserve">evaluate a single global null hypothesis: that geometric-sign dissimilarity is uncorrelated with geographic distance across all site pairs simultaneously. A non-significant global result can conceal scale-dependent structure — for example, sign sharing might be geographically clustered at short distances but random at long distances, producing a net correlation near zero. Because the global test cannot distinguish</w:t>
      </w:r>
      <w:r>
        <w:t xml:space="preserve"> </w:t>
      </w:r>
      <w:r>
        <w:t xml:space="preserve">“</w:t>
      </w:r>
      <w:r>
        <w:t xml:space="preserve">no spatial structure at any scale</w:t>
      </w:r>
      <w:r>
        <w:t xml:space="preserve">”</w:t>
      </w:r>
      <w:r>
        <w:t xml:space="preserve"> </w:t>
      </w:r>
      <w:r>
        <w:t xml:space="preserve">from</w:t>
      </w:r>
      <w:r>
        <w:t xml:space="preserve"> </w:t>
      </w:r>
      <w:r>
        <w:t xml:space="preserve">“</w:t>
      </w:r>
      <w:r>
        <w:t xml:space="preserve">positive and negative structure that cancel,</w:t>
      </w:r>
      <w:r>
        <w:t xml:space="preserve">”</w:t>
      </w:r>
      <w:r>
        <w:t xml:space="preserve"> </w:t>
      </w:r>
      <w:r>
        <w:t xml:space="preserve">we ask two specific questions:</w:t>
      </w:r>
    </w:p>
    <w:p>
      <w:pPr>
        <w:numPr>
          <w:ilvl w:val="0"/>
          <w:numId w:val="1002"/>
        </w:numPr>
        <w:pStyle w:val="Compact"/>
      </w:pPr>
      <w:r>
        <w:rPr>
          <w:bCs/>
          <w:b/>
        </w:rPr>
        <w:t xml:space="preserve">Does sign dissimilarity show any spatial autocorrelation at a specific distance lag?</w:t>
      </w:r>
      <w:r>
        <w:t xml:space="preserve"> </w:t>
      </w:r>
      <w:r>
        <w:t xml:space="preserve">A Mantel correlogram partitions site pairs by geographic-distance bin and tests the Mantel correlation within each bin; a significant positive r at one or more lags would reveal scale-dependent structure that the global test misses.</w:t>
      </w:r>
    </w:p>
    <w:p>
      <w:pPr>
        <w:numPr>
          <w:ilvl w:val="0"/>
          <w:numId w:val="1002"/>
        </w:numPr>
        <w:pStyle w:val="Compact"/>
      </w:pPr>
      <w:r>
        <w:rPr>
          <w:bCs/>
          <w:b/>
        </w:rPr>
        <w:t xml:space="preserve">How uncertain is the global Mantel R estimate, and what does that imply about statistical power?</w:t>
      </w:r>
      <w:r>
        <w:t xml:space="preserve"> </w:t>
      </w:r>
      <w:r>
        <w:t xml:space="preserve">We place a bootstrap 95% confidence interval on the single global Mantel R reported for each phase. A wide interval that overlaps zero indicates the test cannot distinguish a true null from a true moderate correlation, so the non-significant result is a lack of evidence rather than evidence of absence.</w:t>
      </w:r>
    </w:p>
    <w:bookmarkEnd w:id="54"/>
    <w:bookmarkStart w:id="59" w:name="analysis"/>
    <w:p>
      <w:pPr>
        <w:pStyle w:val="Heading3"/>
      </w:pPr>
      <w:r>
        <w:t xml:space="preserve">Analysis</w:t>
      </w:r>
    </w:p>
    <w:p>
      <w:pPr>
        <w:pStyle w:val="FirstParagraph"/>
      </w:pPr>
      <w:r>
        <w:t xml:space="preserve">We reconstruct, for each phase, the Jaccard sign dissimilarity and the geodesic geographic-distance matrix used by the</w:t>
      </w:r>
      <w:r>
        <w:t xml:space="preserve"> </w:t>
      </w:r>
      <w:r>
        <w:t xml:space="preserve">Section S1.4</w:t>
      </w:r>
      <w:r>
        <w:t xml:space="preserve"> </w:t>
      </w:r>
      <w:r>
        <w:t xml:space="preserve">Mantel tests (the same construction as</w:t>
      </w:r>
      <w:r>
        <w:t xml:space="preserve"> </w:t>
      </w:r>
      <w:r>
        <w:rPr>
          <w:rStyle w:val="VerbatimChar"/>
        </w:rPr>
        <w:t xml:space="preserve">run_mantel_comp</w:t>
      </w:r>
      <w:r>
        <w:t xml:space="preserve">, applied to the technology-assigned phase data). The Mantel correlogram is computed with</w:t>
      </w:r>
      <w:r>
        <w:t xml:space="preserve"> </w:t>
      </w:r>
      <w:r>
        <w:rPr>
          <w:rStyle w:val="VerbatimChar"/>
        </w:rPr>
        <w:t xml:space="preserve">ecodist::mgram</w:t>
      </w:r>
      <w:r>
        <w:t xml:space="preserve"> </w:t>
      </w:r>
      <w:r>
        <w:t xml:space="preserve">[1]</w:t>
      </w:r>
      <w:r>
        <w:t xml:space="preserve">, which bins pairs by geographic distance — into 5 equiprobable lags for Aur-P1 and 3 for Aur-P2, to keep pair counts per lag stable given the small samples — and returns the Mantel r, a permutation p-value, and 95% bootstrap confidence limits (llim/ulim) for each lag. For the global statistic we additionally resample sites with replacement (B = 1000) and recompute the Mantel R each time, taking the 2.5% and 97.5% quantiles as the bootstrap interval.</w:t>
      </w:r>
    </w:p>
    <w:tbl>
      <w:tblPr>
        <w:tblStyle w:val="Table"/>
        <w:tblW w:type="pct" w:w="5000"/>
        <w:tblLook w:firstRow="0" w:lastRow="0" w:firstColumn="0" w:lastColumn="0" w:noHBand="0" w:noVBand="0" w:val="0000"/>
        <w:jc w:val="start"/>
        <w:tblLayout w:type="fixed"/>
      </w:tblPr>
      <w:tblGrid>
        <w:gridCol w:w="7920"/>
      </w:tblGrid>
      <w:tr>
        <w:tc>
          <w:tcPr/>
          <w:bookmarkStart w:id="58" w:name="fig-mantel-correlogram"/>
          <w:p>
            <w:pPr>
              <w:pStyle w:val="Compact"/>
              <w:jc w:val="center"/>
            </w:pPr>
            <w:r>
              <w:drawing>
                <wp:inline>
                  <wp:extent cx="5943600" cy="3714750"/>
                  <wp:effectExtent b="0" l="0" r="0" t="0"/>
                  <wp:docPr descr="" title="" id="56" name="Picture"/>
                  <a:graphic>
                    <a:graphicData uri="http://schemas.openxmlformats.org/drawingml/2006/picture">
                      <pic:pic>
                        <pic:nvPicPr>
                          <pic:cNvPr descr="S1-supplement-sensitivity_files/figure-docx/fig-mantel-correlogram-1.png" id="57" name="Picture"/>
                          <pic:cNvPicPr>
                            <a:picLocks noChangeArrowheads="1" noChangeAspect="1"/>
                          </pic:cNvPicPr>
                        </pic:nvPicPr>
                        <pic:blipFill>
                          <a:blip r:embed="rId55"/>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4: Mantel correlogram of geometric-sign dissimilarity against geographic distance, by phase. Points are the Mantel r within each distance lag; error bars are 95% bootstrap confidence intervals (ecodist::mgram, llim/ulim). The dashed line is r = 0. No lag reaches significance, and all intervals straddle zero.</w:t>
            </w:r>
          </w:p>
          <w:bookmarkEnd w:id="58"/>
        </w:tc>
      </w:tr>
    </w:tbl>
    <w:bookmarkEnd w:id="59"/>
    <w:bookmarkStart w:id="60" w:name="interpretation"/>
    <w:p>
      <w:pPr>
        <w:pStyle w:val="Heading3"/>
      </w:pPr>
      <w:r>
        <w:t xml:space="preserve">Interpretation</w:t>
      </w:r>
    </w:p>
    <w:p>
      <w:pPr>
        <w:pStyle w:val="FirstParagraph"/>
      </w:pPr>
      <w:r>
        <w:rPr>
          <w:bCs/>
          <w:b/>
        </w:rPr>
        <w:t xml:space="preserve">Question 1 — is there scale-dependent spatial structure?</w:t>
      </w:r>
      <w:r>
        <w:t xml:space="preserve"> </w:t>
      </w:r>
      <w:r>
        <w:t xml:space="preserve">No. In Aur-P1 the 5 distance lags yield Mantel r values from -0.077 to 0.078, none significant (smallest p = 0.318); in Aur-P2 the 3 lags range from -0.255 to 0.349, also none significant (smallest p = 0.048). Every lag’s 95% bootstrap interval straddles or lies close to zero: the most extreme bounds across lags are -0.165 and 0.183 for Aur-P1 and -0.463 and 0.543 for Aur-P2, both comfortably including zero. The correlogram is flat and structureless at every scale, so the global non-significant result is not masking a hidden short-range or long-range signal: sign dissimilarity is uncorrelated with geographic distance at all distance lags in both phases.</w:t>
      </w:r>
    </w:p>
    <w:p>
      <w:pPr>
        <w:pStyle w:val="BodyText"/>
      </w:pPr>
      <w:r>
        <w:rPr>
          <w:bCs/>
          <w:b/>
        </w:rPr>
        <w:t xml:space="preserve">Question 2 — how uncertain is the global R, and what does this say about power?</w:t>
      </w:r>
      <w:r>
        <w:t xml:space="preserve"> </w:t>
      </w:r>
      <w:r>
        <w:t xml:space="preserve">The global Mantel R is 0.046 (p = 0.300) for Aur-P1 and -0.299 (p = 0.935) for Aur-P2, matching the</w:t>
      </w:r>
      <w:r>
        <w:t xml:space="preserve"> </w:t>
      </w:r>
      <w:r>
        <w:t xml:space="preserve">Section S1.4</w:t>
      </w:r>
      <w:r>
        <w:t xml:space="preserve"> </w:t>
      </w:r>
      <w:r>
        <w:t xml:space="preserve">geodesic results. The 95% interval from object-within-site bootstrap is [-0.022, 0.086] for Aur-P1 (spans zero; observed 0.046) and [-0.355, -0.231] for Aur-P2 (narrowly negative, does not span zero; observed -0.299); permutation p = 0.935 shows no isolation-by-distance, and the bootstrap shows the negative estimate is stable to object resampling rather than underpowered in the same sense as Aur-P1. Site-with-replacement bootstrap was not used because it creates duplicate sites with distance 0 and dissimilarity 0. Because the Aur-P2 analysis rests on only 9 sites (36 site pairs) and Aur-P1 on 20 sites (190 pairs), the Aur-P1 test has low power: a true moderate geographic correlation (|r| ≈ 0.3–0.4) would fall inside the Aur-P1 sampling noise and could not be excluded. The non-significant Mantel results are therefore a</w:t>
      </w:r>
      <w:r>
        <w:t xml:space="preserve"> </w:t>
      </w:r>
      <w:r>
        <w:rPr>
          <w:iCs/>
          <w:i/>
        </w:rPr>
        <w:t xml:space="preserve">lack of evidence</w:t>
      </w:r>
      <w:r>
        <w:t xml:space="preserve"> </w:t>
      </w:r>
      <w:r>
        <w:t xml:space="preserve">for geographic structure, not evidence that it is absent, and they provide no support for any alternative cultural process, consistent with</w:t>
      </w:r>
      <w:r>
        <w:t xml:space="preserve"> </w:t>
      </w:r>
      <w:r>
        <w:t xml:space="preserve">Section S1.8.1</w:t>
      </w:r>
      <w:r>
        <w:t xml:space="preserve">.</w:t>
      </w:r>
    </w:p>
    <w:bookmarkEnd w:id="60"/>
    <w:bookmarkEnd w:id="61"/>
    <w:bookmarkEnd w:id="62"/>
    <w:bookmarkStart w:id="86" w:name="sec-s5"/>
    <w:p>
      <w:pPr>
        <w:pStyle w:val="Heading1"/>
      </w:pPr>
      <w:r>
        <w:t xml:space="preserve">S1.5 Periodisation Scheme Sensitivity</w:t>
      </w:r>
    </w:p>
    <w:bookmarkStart w:id="65" w:name="sec-s5-1"/>
    <w:p>
      <w:pPr>
        <w:pStyle w:val="Heading2"/>
      </w:pPr>
      <w:r>
        <w:t xml:space="preserve">S1.5.1 Rationale</w:t>
      </w:r>
    </w:p>
    <w:p>
      <w:pPr>
        <w:pStyle w:val="FirstParagraph"/>
      </w:pPr>
      <w:r>
        <w:t xml:space="preserve">The main analysis adopts the two-phase Aur-P1/Aur-P2 framework of</w:t>
      </w:r>
      <w:r>
        <w:t xml:space="preserve"> </w:t>
      </w:r>
      <w:r>
        <w:t xml:space="preserve">[2]</w:t>
      </w:r>
      <w:r>
        <w:t xml:space="preserve">, which merges the Proto- and Early Aurignacian into a single early phase (Aur-P1, 43–37 ka BP) and treats the Evolved/Late Aurignacian as a single late phase (Aur-P2, 37–32 ka BP), with site membership assigned on technological grounds (</w:t>
      </w:r>
      <w:r>
        <w:t xml:space="preserve">Section S1.5.5</w:t>
      </w:r>
      <w:r>
        <w:t xml:space="preserve">). Because this scheme is coarser than the classic three-phase periodisation of Western European archaeology, this section tests whether the two-phase results are robust to how the sequence is subdivided. We decompose the two-phase baseline into its technology-assigned components , the relict Proto-Aurignacian, the Early Aurignacian, and the Evolved Aurignacian (Aur-P2) , and additionally split the Evolved Aurignacian into Evolved and Late sub-phases following the four-phase taxonomy of</w:t>
      </w:r>
      <w:r>
        <w:t xml:space="preserve"> </w:t>
      </w:r>
      <w:r>
        <w:t xml:space="preserve">[3]</w:t>
      </w:r>
      <w:r>
        <w:t xml:space="preserve">, with the Evolved–Late boundary at 35 ka BP calibrated. All schemes are evaluated at the main-text threshold of 0.2 using Jaccard similarity.</w:t>
      </w:r>
    </w:p>
    <w:tbl>
      <w:tblPr>
        <w:tblStyle w:val="Table"/>
        <w:tblW w:type="pct" w:w="5000"/>
        <w:tblLook w:firstRow="0" w:lastRow="0" w:firstColumn="0" w:lastColumn="0" w:noHBand="0" w:noVBand="0" w:val="0000"/>
        <w:jc w:val="start"/>
        <w:tblLayout w:type="fixed"/>
      </w:tblPr>
      <w:tblGrid>
        <w:gridCol w:w="7920"/>
      </w:tblGrid>
      <w:tr>
        <w:tc>
          <w:tcPr/>
          <w:bookmarkStart w:id="63" w:name="tbl-two-phase-ref"/>
          <w:tbl>
            <w:tblPr>
              <w:tblStyle w:val="Table"/>
              <w:tblW w:type="pct" w:w="5000"/>
              <w:tblLook w:firstRow="1" w:lastRow="0" w:firstColumn="0" w:lastColumn="0" w:noHBand="0" w:noVBand="0" w:val="0020"/>
              <w:jc w:val="start"/>
              <w:tblLayout w:type="fixed"/>
            </w:tblPr>
            <w:tblGrid>
              <w:gridCol w:w="2305"/>
              <w:gridCol w:w="601"/>
              <w:gridCol w:w="601"/>
              <w:gridCol w:w="802"/>
              <w:gridCol w:w="1203"/>
              <w:gridCol w:w="1303"/>
              <w:gridCol w:w="1102"/>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Aur-P1 (Proto + Early)</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r>
            <w:tr>
              <w:tc>
                <w:tcPr/>
                <w:p>
                  <w:pPr>
                    <w:pStyle w:val="Compact"/>
                    <w:jc w:val="left"/>
                    <w:jc w:val="center"/>
                  </w:pPr>
                  <w:r>
                    <w:t xml:space="preserve">Aur-P2 (Evolved)</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S 5: Reference: network statistics under the two-phase periodisation used in the main text (threshold = 0.2). Aur-P1 = Proto + Early; Aur-P2 = Evolved.</w:t>
            </w:r>
          </w:p>
          <w:bookmarkEnd w:id="63"/>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64" w:name="tbl-three-phase-tech"/>
          <w:tbl>
            <w:tblPr>
              <w:tblStyle w:val="Table"/>
              <w:tblW w:type="pct" w:w="5000"/>
              <w:tblLook w:firstRow="1" w:lastRow="0" w:firstColumn="0" w:lastColumn="0" w:noHBand="0" w:noVBand="0" w:val="0020"/>
              <w:jc w:val="start"/>
              <w:tblLayout w:type="fixed"/>
            </w:tblPr>
            <w:tblGrid>
              <w:gridCol w:w="2702"/>
              <w:gridCol w:w="559"/>
              <w:gridCol w:w="559"/>
              <w:gridCol w:w="745"/>
              <w:gridCol w:w="1118"/>
              <w:gridCol w:w="1211"/>
              <w:gridCol w:w="1024"/>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S 6: Network statistics for the technology-assigned components of the two-phase baseline (Proto-Aurignacian, Early Aurignacian, Evolved Aurignacian) at threshold = 0.2. Aur-P1 = Proto + Early; Aur-P2 = Evolved.</w:t>
            </w:r>
          </w:p>
          <w:bookmarkEnd w:id="64"/>
        </w:tc>
      </w:tr>
    </w:tbl>
    <w:bookmarkEnd w:id="65"/>
    <w:bookmarkStart w:id="68" w:name="sec-s5-2"/>
    <w:p>
      <w:pPr>
        <w:pStyle w:val="Heading2"/>
      </w:pPr>
      <w:r>
        <w:t xml:space="preserve">S1.5.2 Interpretation</w:t>
      </w:r>
    </w:p>
    <w:p>
      <w:pPr>
        <w:pStyle w:val="FirstParagraph"/>
      </w:pPr>
      <w:r>
        <w:t xml:space="preserve">The two-phase, three-phase, and four-phase periodisations yield consistent conclusions about the broad structure of Aurignacian social connectivity, while clarifying which components carry the two-phase results.</w:t>
      </w:r>
    </w:p>
    <w:p>
      <w:pPr>
        <w:pStyle w:val="BodyText"/>
      </w:pPr>
      <w:r>
        <w:rPr>
          <w:bCs/>
          <w:b/>
        </w:rPr>
        <w:t xml:space="preserve">Aur-P1’s connectivity advantage is carried by its technology-assigned Early component.</w:t>
      </w:r>
      <w:r>
        <w:t xml:space="preserve"> </w:t>
      </w:r>
      <w:r>
        <w:t xml:space="preserve">Decomposing the two-phase baseline into its technology-assigned components shows that the Early Aurignacian (mean degree = 5.38, 35 edges across 13 sites) is the most connected component, exceeding even Aur-P2 (4.22, 19 edges). The relict Proto-Aurignacian , the component that survives after technology-based reassignment moved the well-sampled Swabian and Périgord sites to the Early Aurignacian (</w:t>
      </w:r>
      <w:r>
        <w:t xml:space="preserve">Section S1.5.5</w:t>
      </w:r>
      <w:r>
        <w:t xml:space="preserve">) , is the least connected of the three (mean degree 2.57 across 7 sites and 9 edges). This decomposition confirms the reframing that motivates the two-phase scheme: the reclassified Proto sample is too small and too weakly connected to support its own network-level claims, so the</w:t>
      </w:r>
      <w:r>
        <w:t xml:space="preserve"> </w:t>
      </w:r>
      <w:r>
        <w:t xml:space="preserve">“</w:t>
      </w:r>
      <w:r>
        <w:t xml:space="preserve">densest Proto-Aurignacian</w:t>
      </w:r>
      <w:r>
        <w:t xml:space="preserve">”</w:t>
      </w:r>
      <w:r>
        <w:t xml:space="preserve"> </w:t>
      </w:r>
      <w:r>
        <w:t xml:space="preserve">reading of earlier analyses is abandoned. The merged Aur-P1 mean degree (7.50) is driven by the Early component, not by a spurious average of two strong phases.</w:t>
      </w:r>
    </w:p>
    <w:p>
      <w:pPr>
        <w:pStyle w:val="BodyText"/>
      </w:pPr>
      <w:r>
        <w:rPr>
          <w:bCs/>
          <w:b/>
        </w:rPr>
        <w:t xml:space="preserve">The early/late contrast is not an artefact of merging.</w:t>
      </w:r>
      <w:r>
        <w:t xml:space="preserve"> </w:t>
      </w:r>
      <w:r>
        <w:t xml:space="preserve">Even without the Proto component, the Early Aurignacian alone (mean degree 5.38) exceeds Aur-P2 (4.22), so the two-phase Aur-P1 &gt; Aur-P2 result does not depend on the Proto/Early boundary being drawn one way or the other. The connectivity gap between the early and late Aurignacian persists whether the early sequence is analysed as a single phase or as its separate Proto and Early components.</w:t>
      </w:r>
    </w:p>
    <w:p>
      <w:pPr>
        <w:pStyle w:val="BodyText"/>
      </w:pPr>
      <w:r>
        <w:rPr>
          <w:bCs/>
          <w:b/>
        </w:rPr>
        <w:t xml:space="preserve">Community structure is consistent with the two-phase scheme.</w:t>
      </w:r>
      <w:r>
        <w:t xml:space="preserve"> </w:t>
      </w:r>
      <w:r>
        <w:t xml:space="preserve">Modularity is highest in the Early component (0.307), moderate in the Evolved (0.161), and weakest in the relict Proto (0.108). This mirrors the two-phase result in which Aur-P1’s community structure is better developed than Aur-P2’s (</w:t>
      </w:r>
      <w:r>
        <w:t xml:space="preserve">Section S1.5.1</w:t>
      </w:r>
      <w:r>
        <w:t xml:space="preserve">), and it indicates that the modularity of the merged early phase is not an artefact of the particular boundary chosen.</w:t>
      </w:r>
    </w:p>
    <w:tbl>
      <w:tblPr>
        <w:tblStyle w:val="Table"/>
        <w:tblW w:type="pct" w:w="5000"/>
        <w:tblLook w:firstRow="0" w:lastRow="0" w:firstColumn="0" w:lastColumn="0" w:noHBand="0" w:noVBand="0" w:val="0000"/>
        <w:jc w:val="start"/>
        <w:tblLayout w:type="fixed"/>
      </w:tblPr>
      <w:tblGrid>
        <w:gridCol w:w="7920"/>
      </w:tblGrid>
      <w:tr>
        <w:tc>
          <w:tcPr/>
          <w:bookmarkStart w:id="66" w:name="tbl-four-phase-periodisation"/>
          <w:tbl>
            <w:tblPr>
              <w:tblStyle w:val="Table"/>
              <w:tblW w:type="pct" w:w="5000"/>
              <w:tblLook w:firstRow="1" w:lastRow="0" w:firstColumn="0" w:lastColumn="0" w:noHBand="0" w:noVBand="0" w:val="0020"/>
              <w:jc w:val="start"/>
              <w:tblLayout w:type="fixed"/>
            </w:tblPr>
            <w:tblGrid>
              <w:gridCol w:w="3099"/>
              <w:gridCol w:w="516"/>
              <w:gridCol w:w="516"/>
              <w:gridCol w:w="688"/>
              <w:gridCol w:w="1033"/>
              <w:gridCol w:w="1119"/>
              <w:gridCol w:w="946"/>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(37.8-35 ka BP)</w:t>
                  </w:r>
                </w:p>
              </w:tc>
              <w:tc>
                <w:tcPr/>
                <w:p>
                  <w:pPr>
                    <w:pStyle w:val="Compact"/>
                    <w:jc w:val="right"/>
                    <w:jc w:val="center"/>
                  </w:pPr>
                  <w:r>
                    <w:t xml:space="preserve">7</w:t>
                  </w:r>
                </w:p>
              </w:tc>
              <w:tc>
                <w:tcPr/>
                <w:p>
                  <w:pPr>
                    <w:pStyle w:val="Compact"/>
                    <w:jc w:val="right"/>
                    <w:jc w:val="center"/>
                  </w:pPr>
                  <w:r>
                    <w:t xml:space="preserve">13</w:t>
                  </w:r>
                </w:p>
              </w:tc>
              <w:tc>
                <w:tcPr/>
                <w:p>
                  <w:pPr>
                    <w:pStyle w:val="Compact"/>
                    <w:jc w:val="right"/>
                    <w:jc w:val="center"/>
                  </w:pPr>
                  <w:r>
                    <w:t xml:space="preserve">0.619</w:t>
                  </w:r>
                </w:p>
              </w:tc>
              <w:tc>
                <w:tcPr/>
                <w:p>
                  <w:pPr>
                    <w:pStyle w:val="Compact"/>
                    <w:jc w:val="right"/>
                    <w:jc w:val="center"/>
                  </w:pPr>
                  <w:r>
                    <w:t xml:space="preserve">3.71</w:t>
                  </w:r>
                </w:p>
              </w:tc>
              <w:tc>
                <w:tcPr/>
                <w:p>
                  <w:pPr>
                    <w:pStyle w:val="Compact"/>
                    <w:jc w:val="right"/>
                    <w:jc w:val="center"/>
                  </w:pPr>
                  <w:r>
                    <w:t xml:space="preserve">0.659</w:t>
                  </w:r>
                </w:p>
              </w:tc>
              <w:tc>
                <w:tcPr/>
                <w:p>
                  <w:pPr>
                    <w:pStyle w:val="Compact"/>
                    <w:jc w:val="right"/>
                    <w:jc w:val="center"/>
                  </w:pPr>
                  <w:r>
                    <w:t xml:space="preserve">0.128</w:t>
                  </w:r>
                </w:p>
              </w:tc>
            </w:tr>
            <w:tr>
              <w:tc>
                <w:tcPr/>
                <w:p>
                  <w:pPr>
                    <w:pStyle w:val="Compact"/>
                    <w:jc w:val="left"/>
                    <w:jc w:val="center"/>
                  </w:pPr>
                  <w:r>
                    <w:t xml:space="preserve">Late Aurignacian (35-32 ka BP)</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0.000</w:t>
                  </w:r>
                </w:p>
              </w:tc>
              <w:tc>
                <w:tcPr/>
                <w:p>
                  <w:pPr>
                    <w:pStyle w:val="Compact"/>
                    <w:jc w:val="right"/>
                    <w:jc w:val="center"/>
                  </w:pPr>
                  <w:r>
                    <w:t xml:space="preserve">0.00</w:t>
                  </w:r>
                </w:p>
              </w:tc>
              <w:tc>
                <w:tcPr/>
                <w:p>
                  <w:pPr>
                    <w:pStyle w:val="Compact"/>
                    <w:jc w:val="right"/>
                    <w:jc w:val="center"/>
                  </w:pPr>
                  <w:r>
                    <w:t xml:space="preserve">NaN</w:t>
                  </w:r>
                </w:p>
              </w:tc>
              <w:tc>
                <w:tcPr/>
                <w:p>
                  <w:pPr>
                    <w:pStyle w:val="Compact"/>
                    <w:jc w:val="right"/>
                    <w:jc w:val="center"/>
                  </w:pPr>
                  <w:r>
                    <w:t xml:space="preserve">NaN</w:t>
                  </w:r>
                </w:p>
              </w:tc>
            </w:tr>
          </w:tbl>
          <w:p>
            <w:pPr>
              <w:jc w:val="center"/>
            </w:pPr>
            <w:pPr>
              <w:jc w:val="start"/>
              <w:spacing w:before="200"/>
              <w:pStyle w:val="ImageCaption"/>
            </w:pPr>
            <w:r>
              <w:t xml:space="preserve">Table S 7: Network statistics under the four-phase periodisation (Proto, Early, Evolved, Late Aurignacian) at threshold = 0.2. The Evolved/Late split of Aur-P2 follows the four-phase Aurignacian taxonomy of</w:t>
            </w:r>
            <w:r>
              <w:t xml:space="preserve"> </w:t>
            </w:r>
            <w:r>
              <w:t xml:space="preserve">[3]</w:t>
            </w:r>
            <w:r>
              <w:t xml:space="preserve">, with the boundary at 35 ka BP calibrated.</w:t>
            </w:r>
          </w:p>
          <w:bookmarkEnd w:id="66"/>
        </w:tc>
      </w:tr>
    </w:tbl>
    <w:bookmarkStart w:id="67" w:name="four-phase-interpretation"/>
    <w:p>
      <w:pPr>
        <w:pStyle w:val="Heading3"/>
      </w:pPr>
      <w:r>
        <w:t xml:space="preserve">Four-phase interpretation</w:t>
      </w:r>
    </w:p>
    <w:p>
      <w:pPr>
        <w:pStyle w:val="FirstParagraph"/>
      </w:pPr>
      <w:r>
        <w:t xml:space="preserve">The four-phase Aurignacian taxonomy of</w:t>
      </w:r>
      <w:r>
        <w:t xml:space="preserve"> </w:t>
      </w:r>
      <w:r>
        <w:t xml:space="preserve">[3]</w:t>
      </w:r>
      <w:r>
        <w:t xml:space="preserve"> </w:t>
      </w:r>
      <w:r>
        <w:t xml:space="preserve">distinguishes Proto, Early (Aurignacian I), Evolved (Aurignacian II), and Late (Aurignacian III-IV) phases. The Early–Evolved transition has been dated to 37.0–36.5 ka BP, and the Late Aurignacian is associated with the terminal phase of the technocomplex before the onset of the Gravettian. Splitting the Evolved Aurignacian (Aur-P2) at 35 ka BP into Evolved and Late sub-phases tests whether Aur-P2’s connectivity is internally differentiated. The Evolved Aurignacian (37.8–35 ka BP) retains moderate connectivity with 13 edges and a mean degree of 3.71 across 7 sites, while the Late Aurignacian (35–32 ka BP) is severely data-limited: with only 2 sites and no edges at threshold 0.2, its network statistics (mean degree 0, modularity undefined) are unreliable. The near-absence of connectivity in the Late Aurignacian is consistent with the weaker, less resolved structure of Aur-P2 reported in the main text, but the sample is too small to determine whether the Evolved–Late transition represents a step-down or a continuation of an already low level. The two-phase scheme remains the most informative for the main analysis, as it avoids fragmenting Aur-P2 into sub-phases whose small sample sizes preclude robust statistical inference.</w:t>
      </w:r>
    </w:p>
    <w:bookmarkEnd w:id="67"/>
    <w:bookmarkEnd w:id="68"/>
    <w:bookmarkStart w:id="70" w:name="sec-s5-3"/>
    <w:p>
      <w:pPr>
        <w:pStyle w:val="Heading2"/>
      </w:pPr>
      <w:r>
        <w:t xml:space="preserve">S1.5.3 Date-Variant Calibration</w:t>
      </w:r>
    </w:p>
    <w:tbl>
      <w:tblPr>
        <w:tblStyle w:val="Table"/>
        <w:tblW w:type="pct" w:w="5000"/>
        <w:tblLook w:firstRow="0" w:lastRow="0" w:firstColumn="0" w:lastColumn="0" w:noHBand="0" w:noVBand="0" w:val="0000"/>
        <w:jc w:val="start"/>
        <w:tblLayout w:type="fixed"/>
      </w:tblPr>
      <w:tblGrid>
        <w:gridCol w:w="7920"/>
      </w:tblGrid>
      <w:tr>
        <w:tc>
          <w:tcPr/>
          <w:bookmarkStart w:id="69" w:name="tbl-date-variant-comparison"/>
          <w:tbl>
            <w:tblPr>
              <w:tblStyle w:val="Table"/>
              <w:tblW w:type="pct" w:w="5000"/>
              <w:tblLook w:firstRow="1" w:lastRow="0" w:firstColumn="0" w:lastColumn="0" w:noHBand="0" w:noVBand="0" w:val="0020"/>
              <w:jc w:val="start"/>
              <w:tblLayout w:type="fixed"/>
            </w:tblPr>
            <w:tblGrid>
              <w:gridCol w:w="332"/>
              <w:gridCol w:w="1131"/>
              <w:gridCol w:w="998"/>
              <w:gridCol w:w="1331"/>
              <w:gridCol w:w="1131"/>
              <w:gridCol w:w="1331"/>
              <w:gridCol w:w="1064"/>
              <w:gridCol w:w="598"/>
            </w:tblGrid>
            <w:tr>
              <w:trPr>
                <w:tblHeader w:val="true"/>
              </w:trPr>
              <w:tc>
                <w:tcPr/>
                <w:p>
                  <w:pPr>
                    <w:pStyle w:val="Compact"/>
                    <w:jc w:val="left"/>
                    <w:jc w:val="center"/>
                  </w:pPr>
                  <w:r>
                    <w:t xml:space="preserve">Site</w:t>
                  </w:r>
                </w:p>
              </w:tc>
              <w:tc>
                <w:tcPr/>
                <w:p>
                  <w:pPr>
                    <w:pStyle w:val="Compact"/>
                    <w:jc w:val="right"/>
                    <w:jc w:val="center"/>
                  </w:pPr>
                  <w:r>
                    <w:t xml:space="preserve">MedianBP (older)</w:t>
                  </w:r>
                </w:p>
              </w:tc>
              <w:tc>
                <w:tcPr/>
                <w:p>
                  <w:pPr>
                    <w:pStyle w:val="Compact"/>
                    <w:jc w:val="center"/>
                    <w:jc w:val="center"/>
                  </w:pPr>
                  <w:r>
                    <w:t xml:space="preserve">Phase (older)</w:t>
                  </w:r>
                </w:p>
              </w:tc>
              <w:tc>
                <w:tcPr/>
                <w:p>
                  <w:pPr>
                    <w:pStyle w:val="Compact"/>
                    <w:jc w:val="left"/>
                    <w:jc w:val="center"/>
                  </w:pPr>
                  <w:r>
                    <w:t xml:space="preserve">MedianBP (midpoint)</w:t>
                  </w:r>
                </w:p>
              </w:tc>
              <w:tc>
                <w:tcPr/>
                <w:p>
                  <w:pPr>
                    <w:pStyle w:val="Compact"/>
                    <w:jc w:val="right"/>
                    <w:jc w:val="center"/>
                  </w:pPr>
                  <w:r>
                    <w:t xml:space="preserve">Phase (midpoint)</w:t>
                  </w:r>
                </w:p>
              </w:tc>
              <w:tc>
                <w:tcPr/>
                <w:p>
                  <w:pPr>
                    <w:pStyle w:val="Compact"/>
                    <w:jc w:val="center"/>
                    <w:jc w:val="center"/>
                  </w:pPr>
                  <w:r>
                    <w:t xml:space="preserve">MedianBP (younger)</w:t>
                  </w:r>
                </w:p>
              </w:tc>
              <w:tc>
                <w:tcPr/>
                <w:p>
                  <w:pPr>
                    <w:pStyle w:val="Compact"/>
                    <w:jc w:val="left"/>
                    <w:jc w:val="center"/>
                  </w:pPr>
                  <w:r>
                    <w:t xml:space="preserve">Phase (younger)</w:t>
                  </w:r>
                </w:p>
              </w:tc>
              <w:tc>
                <w:tcPr/>
                <w:p>
                  <w:pPr>
                    <w:pStyle w:val="Compact"/>
                    <w:jc w:val="center"/>
                    <w:jc w:val="center"/>
                  </w:pPr>
                  <w:r>
                    <w:t xml:space="preserve">Changes</w:t>
                  </w:r>
                </w:p>
              </w:tc>
            </w:tr>
          </w:tbl>
          <w:p>
            <w:pPr>
              <w:jc w:val="center"/>
            </w:pPr>
            <w:pPr>
              <w:jc w:val="start"/>
              <w:spacing w:before="200"/>
              <w:pStyle w:val="ImageCaption"/>
            </w:pPr>
            <w:r>
              <w:t xml:space="preserve">Table S 8: Site phase assignments under three date variants. The midpoint variant is used in the main analysis. Sites with</w:t>
            </w:r>
            <w:r>
              <w:t xml:space="preserve"> </w:t>
            </w:r>
            <w:r>
              <w:t xml:space="preserve">‘</w:t>
            </w:r>
            <w:r>
              <w:t xml:space="preserve">Yes</w:t>
            </w:r>
            <w:r>
              <w:t xml:space="preserve">’</w:t>
            </w:r>
            <w:r>
              <w:t xml:space="preserve"> </w:t>
            </w:r>
            <w:r>
              <w:t xml:space="preserve">in the Changes column have different phase assignments across variants.</w:t>
            </w:r>
          </w:p>
          <w:bookmarkEnd w:id="69"/>
        </w:tc>
      </w:tr>
    </w:tbl>
    <w:p>
      <w:pPr>
        <w:pStyle w:val="BodyText"/>
      </w:pPr>
      <w:r>
        <w:rPr>
          <w:bCs/>
          <w:b/>
        </w:rPr>
        <w:t xml:space="preserve">Date-variant sensitivity results.</w:t>
      </w:r>
      <w:r>
        <w:t xml:space="preserve"> </w:t>
      </w:r>
      <w:r>
        <w:t xml:space="preserve">The three date variants produce different phase assignments for several sites (Table above). Using the older end of each date range (the method used in the main analysis to preserve the report-based Aur-P1 20 / Aur-P2 9 partition matching frozen</w:t>
      </w:r>
      <w:r>
        <w:t xml:space="preserve"> </w:t>
      </w:r>
      <w:r>
        <w:rPr>
          <w:rStyle w:val="VerbatimChar"/>
        </w:rPr>
        <w:t xml:space="preserve">manual_groups</w:t>
      </w:r>
      <w:r>
        <w:t xml:space="preserve">) assigns more sites to Aur-P1, while the younger end assigns more to Aur-P2; the midpoint variant gives intermediate assignments. Key sites that change phase include Mladeč (older: Aur-P1, midpoint/younger: Aur-P2), Cellier, Solutré, Grotte de la Verpillière I, Trou al’Wesse, and Grottes de Fonds-de-Forêt (older: Aur-P1, midpoint/younger: Aur-P2). This confirms that single-end calibration systematically biases sites toward the older phase.</w:t>
      </w:r>
    </w:p>
    <w:bookmarkEnd w:id="70"/>
    <w:bookmarkStart w:id="77" w:name="sec-s5-4"/>
    <w:p>
      <w:pPr>
        <w:pStyle w:val="Heading2"/>
      </w:pPr>
      <w:r>
        <w:t xml:space="preserve">S1.5.4 Phase-Boundary Sensitivity</w:t>
      </w:r>
    </w:p>
    <w:bookmarkStart w:id="73" w:name="rationale-3"/>
    <w:p>
      <w:pPr>
        <w:pStyle w:val="Heading3"/>
      </w:pPr>
      <w:r>
        <w:t xml:space="preserve">Rationale</w:t>
      </w:r>
    </w:p>
    <w:p>
      <w:pPr>
        <w:pStyle w:val="FirstParagraph"/>
      </w:pPr>
      <w:r>
        <w:t xml:space="preserve">The two-phase periodisation uses a single calibrated MedianBP threshold of 37799 separating Aur-P1 (43.0–37.8 ka) from Aur-P2 (37.8–32.0 ka). This is a conventional round number, not derived from a formal change-point analysis. Objects with calibrated dates near this boundary could be assigned to either phase depending on the exact threshold chosen. This section tests whether the network-level findings are sensitive to the placement of this boundary by shifting it by ±500 and ±1000 years. The technology-based overrides are held fixed (Geissenklösterle, Vogelherd, La Ferrassie, and Abri Pataud in Aur-P1; Hohle Fels at the layer level , AH V in Aur-P1 and AH IV, III and the II-series in Aur-P2; Mladeč in Aur-P2; Spy and El Castillo excluded), so the test isolates the effect of the date-based cutoff.</w:t>
      </w:r>
    </w:p>
    <w:tbl>
      <w:tblPr>
        <w:tblStyle w:val="Table"/>
        <w:tblW w:type="pct" w:w="5000"/>
        <w:tblLook w:firstRow="0" w:lastRow="0" w:firstColumn="0" w:lastColumn="0" w:noHBand="0" w:noVBand="0" w:val="0000"/>
        <w:jc w:val="start"/>
        <w:tblLayout w:type="fixed"/>
      </w:tblPr>
      <w:tblGrid>
        <w:gridCol w:w="7920"/>
      </w:tblGrid>
      <w:tr>
        <w:tc>
          <w:tcPr/>
          <w:bookmarkStart w:id="71" w:name="tbl-boundary-proximity"/>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Boundary</w:t>
                  </w:r>
                </w:p>
              </w:tc>
              <w:tc>
                <w:tcPr/>
                <w:p>
                  <w:pPr>
                    <w:pStyle w:val="Compact"/>
                    <w:jc w:val="left"/>
                    <w:jc w:val="center"/>
                  </w:pPr>
                  <w:r>
                    <w:t xml:space="preserve">Window</w:t>
                  </w:r>
                </w:p>
              </w:tc>
              <w:tc>
                <w:tcPr/>
                <w:p>
                  <w:pPr>
                    <w:pStyle w:val="Compact"/>
                    <w:jc w:val="right"/>
                    <w:jc w:val="center"/>
                  </w:pPr>
                  <w:r>
                    <w:t xml:space="preserve">Objects</w:t>
                  </w:r>
                </w:p>
              </w:tc>
              <w:tc>
                <w:tcPr/>
                <w:p>
                  <w:pPr>
                    <w:pStyle w:val="Compact"/>
                    <w:jc w:val="right"/>
                    <w:jc w:val="center"/>
                  </w:pPr>
                  <w:r>
                    <w:t xml:space="preserve">Sites</w:t>
                  </w:r>
                </w:p>
              </w:tc>
            </w:tr>
            <w:tr>
              <w:tc>
                <w:tcPr/>
                <w:p>
                  <w:pPr>
                    <w:pStyle w:val="Compact"/>
                    <w:jc w:val="left"/>
                    <w:jc w:val="center"/>
                  </w:pPr>
                  <w:r>
                    <w:t xml:space="preserve">Aur-P1/Aur-P2 (37799 BP)</w:t>
                  </w:r>
                </w:p>
              </w:tc>
              <w:tc>
                <w:tcPr/>
                <w:p>
                  <w:pPr>
                    <w:pStyle w:val="Compact"/>
                    <w:jc w:val="left"/>
                    <w:jc w:val="center"/>
                  </w:pPr>
                  <w:r>
                    <w:t xml:space="preserve">±500 years</w:t>
                  </w:r>
                </w:p>
              </w:tc>
              <w:tc>
                <w:tcPr/>
                <w:p>
                  <w:pPr>
                    <w:pStyle w:val="Compact"/>
                    <w:jc w:val="right"/>
                    <w:jc w:val="center"/>
                  </w:pPr>
                  <w:r>
                    <w:t xml:space="preserve">33</w:t>
                  </w:r>
                </w:p>
              </w:tc>
              <w:tc>
                <w:tcPr/>
                <w:p>
                  <w:pPr>
                    <w:pStyle w:val="Compact"/>
                    <w:jc w:val="right"/>
                    <w:jc w:val="center"/>
                  </w:pPr>
                  <w:r>
                    <w:t xml:space="preserve">3</w:t>
                  </w:r>
                </w:p>
              </w:tc>
            </w:tr>
            <w:tr>
              <w:tc>
                <w:tcPr/>
                <w:p>
                  <w:pPr>
                    <w:pStyle w:val="Compact"/>
                    <w:jc w:val="left"/>
                    <w:jc w:val="center"/>
                  </w:pPr>
                  <w:r>
                    <w:t xml:space="preserve">Aur-P1/Aur-P2 (37799 BP)</w:t>
                  </w:r>
                </w:p>
              </w:tc>
              <w:tc>
                <w:tcPr/>
                <w:p>
                  <w:pPr>
                    <w:pStyle w:val="Compact"/>
                    <w:jc w:val="left"/>
                    <w:jc w:val="center"/>
                  </w:pPr>
                  <w:r>
                    <w:t xml:space="preserve">±1000 years</w:t>
                  </w:r>
                </w:p>
              </w:tc>
              <w:tc>
                <w:tcPr/>
                <w:p>
                  <w:pPr>
                    <w:pStyle w:val="Compact"/>
                    <w:jc w:val="right"/>
                    <w:jc w:val="center"/>
                  </w:pPr>
                  <w:r>
                    <w:t xml:space="preserve">85</w:t>
                  </w:r>
                </w:p>
              </w:tc>
              <w:tc>
                <w:tcPr/>
                <w:p>
                  <w:pPr>
                    <w:pStyle w:val="Compact"/>
                    <w:jc w:val="right"/>
                    <w:jc w:val="center"/>
                  </w:pPr>
                  <w:r>
                    <w:t xml:space="preserve">7</w:t>
                  </w:r>
                </w:p>
              </w:tc>
            </w:tr>
          </w:tbl>
          <w:p>
            <w:pPr>
              <w:jc w:val="center"/>
            </w:pPr>
            <w:pPr>
              <w:jc w:val="start"/>
              <w:spacing w:before="200"/>
              <w:pStyle w:val="ImageCaption"/>
            </w:pPr>
            <w:r>
              <w:t xml:space="preserve">Table S 9: Number of objects and sites within ±500 and ±1000 calibrated years of the single periodisation boundary at 37799 BP separating Aur-P1 from Aur-P2.</w:t>
            </w:r>
          </w:p>
          <w:bookmarkEnd w:id="71"/>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72" w:name="tbl-boundary-shifts"/>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Shift</w:t>
                  </w:r>
                </w:p>
              </w:tc>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Mean degree</w:t>
                  </w:r>
                </w:p>
              </w:tc>
              <w:tc>
                <w:tcPr/>
                <w:p>
                  <w:pPr>
                    <w:pStyle w:val="Compact"/>
                    <w:jc w:val="right"/>
                    <w:jc w:val="center"/>
                  </w:pPr>
                  <w:r>
                    <w:t xml:space="preserve">Modularity</w:t>
                  </w:r>
                </w:p>
              </w:tc>
            </w:tr>
            <w:tr>
              <w:tc>
                <w:tcPr/>
                <w:p>
                  <w:pPr>
                    <w:pStyle w:val="Compact"/>
                    <w:jc w:val="left"/>
                    <w:jc w:val="center"/>
                  </w:pPr>
                  <w:r>
                    <w:t xml:space="preserve">Baseline</w:t>
                  </w:r>
                </w:p>
              </w:tc>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7.50</w:t>
                  </w:r>
                </w:p>
              </w:tc>
              <w:tc>
                <w:tcPr/>
                <w:p>
                  <w:pPr>
                    <w:pStyle w:val="Compact"/>
                    <w:jc w:val="right"/>
                    <w:jc w:val="center"/>
                  </w:pPr>
                  <w:r>
                    <w:t xml:space="preserve">0.336</w:t>
                  </w:r>
                </w:p>
              </w:tc>
            </w:tr>
            <w:tr>
              <w:tc>
                <w:tcPr/>
                <w:p>
                  <w:pPr>
                    <w:pStyle w:val="Compact"/>
                    <w:jc w:val="left"/>
                    <w:jc w:val="center"/>
                  </w:pPr>
                  <w:r>
                    <w:t xml:space="preserve">Baseline</w:t>
                  </w:r>
                </w:p>
              </w:tc>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4.22</w:t>
                  </w:r>
                </w:p>
              </w:tc>
              <w:tc>
                <w:tcPr/>
                <w:p>
                  <w:pPr>
                    <w:pStyle w:val="Compact"/>
                    <w:jc w:val="right"/>
                    <w:jc w:val="center"/>
                  </w:pPr>
                  <w:r>
                    <w:t xml:space="preserve">0.161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16</w:t>
                  </w:r>
                </w:p>
              </w:tc>
              <w:tc>
                <w:tcPr/>
                <w:p>
                  <w:pPr>
                    <w:pStyle w:val="Compact"/>
                    <w:jc w:val="right"/>
                    <w:jc w:val="center"/>
                  </w:pPr>
                  <w:r>
                    <w:t xml:space="preserve">53</w:t>
                  </w:r>
                </w:p>
              </w:tc>
              <w:tc>
                <w:tcPr/>
                <w:p>
                  <w:pPr>
                    <w:pStyle w:val="Compact"/>
                    <w:jc w:val="right"/>
                    <w:jc w:val="center"/>
                  </w:pPr>
                  <w:r>
                    <w:t xml:space="preserve">6.62</w:t>
                  </w:r>
                </w:p>
              </w:tc>
              <w:tc>
                <w:tcPr/>
                <w:p>
                  <w:pPr>
                    <w:pStyle w:val="Compact"/>
                    <w:jc w:val="right"/>
                    <w:jc w:val="center"/>
                  </w:pPr>
                  <w:r>
                    <w:t xml:space="preserve">0.343</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13</w:t>
                  </w:r>
                </w:p>
              </w:tc>
              <w:tc>
                <w:tcPr/>
                <w:p>
                  <w:pPr>
                    <w:pStyle w:val="Compact"/>
                    <w:jc w:val="right"/>
                    <w:jc w:val="center"/>
                  </w:pPr>
                  <w:r>
                    <w:t xml:space="preserve">32</w:t>
                  </w:r>
                </w:p>
              </w:tc>
              <w:tc>
                <w:tcPr/>
                <w:p>
                  <w:pPr>
                    <w:pStyle w:val="Compact"/>
                    <w:jc w:val="right"/>
                    <w:jc w:val="center"/>
                  </w:pPr>
                  <w:r>
                    <w:t xml:space="preserve">4.92</w:t>
                  </w:r>
                </w:p>
              </w:tc>
              <w:tc>
                <w:tcPr/>
                <w:p>
                  <w:pPr>
                    <w:pStyle w:val="Compact"/>
                    <w:jc w:val="right"/>
                    <w:jc w:val="center"/>
                  </w:pPr>
                  <w:r>
                    <w:t xml:space="preserve">0.200</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19</w:t>
                  </w:r>
                </w:p>
              </w:tc>
              <w:tc>
                <w:tcPr/>
                <w:p>
                  <w:pPr>
                    <w:pStyle w:val="Compact"/>
                    <w:jc w:val="right"/>
                    <w:jc w:val="center"/>
                  </w:pPr>
                  <w:r>
                    <w:t xml:space="preserve">66</w:t>
                  </w:r>
                </w:p>
              </w:tc>
              <w:tc>
                <w:tcPr/>
                <w:p>
                  <w:pPr>
                    <w:pStyle w:val="Compact"/>
                    <w:jc w:val="right"/>
                    <w:jc w:val="center"/>
                  </w:pPr>
                  <w:r>
                    <w:t xml:space="preserve">6.95</w:t>
                  </w:r>
                </w:p>
              </w:tc>
              <w:tc>
                <w:tcPr/>
                <w:p>
                  <w:pPr>
                    <w:pStyle w:val="Compact"/>
                    <w:jc w:val="right"/>
                    <w:jc w:val="center"/>
                  </w:pPr>
                  <w:r>
                    <w:t xml:space="preserve">0.330</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24</w:t>
                  </w:r>
                </w:p>
              </w:tc>
              <w:tc>
                <w:tcPr/>
                <w:p>
                  <w:pPr>
                    <w:pStyle w:val="Compact"/>
                    <w:jc w:val="right"/>
                    <w:jc w:val="center"/>
                  </w:pPr>
                  <w:r>
                    <w:t xml:space="preserve">4.80</w:t>
                  </w:r>
                </w:p>
              </w:tc>
              <w:tc>
                <w:tcPr/>
                <w:p>
                  <w:pPr>
                    <w:pStyle w:val="Compact"/>
                    <w:jc w:val="right"/>
                    <w:jc w:val="center"/>
                  </w:pPr>
                  <w:r>
                    <w:t xml:space="preserve">0.171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bl>
          <w:p>
            <w:pPr>
              <w:jc w:val="center"/>
            </w:pPr>
            <w:pPr>
              <w:jc w:val="start"/>
              <w:spacing w:before="200"/>
              <w:pStyle w:val="ImageCaption"/>
            </w:pPr>
            <w:r>
              <w:t xml:space="preserve">Table S 10: Network statistics at the baseline threshold of 0.2 under shifts of the single Aur-P1/Aur-P2 boundary. Positive shifts move the boundary later (older objects reassigned to Aur-P2); negative shifts move it earlier (younger Aur-P2 objects reassigned to Aur-P1).</w:t>
            </w:r>
          </w:p>
          <w:bookmarkEnd w:id="72"/>
        </w:tc>
      </w:tr>
    </w:tbl>
    <w:bookmarkEnd w:id="73"/>
    <w:bookmarkStart w:id="74" w:name="diagnostic-interpretation"/>
    <w:p>
      <w:pPr>
        <w:pStyle w:val="Heading3"/>
      </w:pPr>
      <w:r>
        <w:t xml:space="preserve">Diagnostic interpretation</w:t>
      </w:r>
    </w:p>
    <w:p>
      <w:pPr>
        <w:pStyle w:val="FirstParagraph"/>
      </w:pPr>
      <w:r>
        <w:t xml:space="preserve">85 objects from 7 sites fall within ±1000 calibrated years of the boundary at 37799 BP, and 33 objects from 3 sites within ±500 years. The sites closest to the boundary are Hohle Fels (MedianBP 37683, just 116 years below the threshold) and Vindija Cave (37615, 184 years below), while the closest site above the threshold is Blanchard (38235, 436 years above). Because only an upward shift can transfer sites into Aur-P2, and only a downward shift into Aur-P1, the reassignments are asymmetric: a downward shift of 500 years moves Vindija Cave from Aur-P2 to Aur-P1 (the only Aur-P2 site within reach), while an upward shift of 500 years moves Blanchard into Aur-P2 and an upward shift of 1000 years additionally moves Cellier, Trou al’Wesse, and Grottes de Fonds-de-Forêt. Hohle Fels lies just below the boundary, but its near-boundary objects belong to AH IV, which the technology-based override fixes in Aur-P2 (its Aur-P1 horizon, AH V, is well above the boundary), so it does not change phase under any shift. The boundary-sensitive sites are therefore few and, apart from Cellier (28 objects) and Blanchard (18 objects), small.</w:t>
      </w:r>
    </w:p>
    <w:bookmarkEnd w:id="74"/>
    <w:bookmarkStart w:id="75" w:name="independent-shift-interpretation"/>
    <w:p>
      <w:pPr>
        <w:pStyle w:val="Heading3"/>
      </w:pPr>
      <w:r>
        <w:t xml:space="preserve">Independent-shift interpretation</w:t>
      </w:r>
    </w:p>
    <w:p>
      <w:pPr>
        <w:pStyle w:val="FirstParagraph"/>
      </w:pPr>
      <w:r>
        <w:t xml:space="preserve">The independent-shift analysis shifts the single P1/P2 boundary while holding the technology-based overrides fixed. Across the four shifts tested, the Aur-P1 mean degree ranges from 6.62–7.81 and Aur-P2 from 3.75–4.92. The Aur-P1 &gt; Aur-P2 connectivity ordering is preserved in all 4 shifts: a downward shift adds Vindija Cave to Aur-P1, raising its mean degree to 7.81 (82 edges) while shrinking Aur-P2 to 8 sites (mean degree 3.75); an upward shift transfers sites the other way, with Aur-P1 at 16 sites after the ±1000 year shift yet still averaging 6.62, above Aur-P2’s 4.92. Modularity is stable: Aur-P1 ranges from 0.330 to 0.343 across shifts (baseline 0.336) and Aur-P2 from 0.154 to 0.200 (baseline 0.161), indicating that the community structure in both phases is not sensitive to boundary placement.</w:t>
      </w:r>
    </w:p>
    <w:bookmarkEnd w:id="75"/>
    <w:bookmarkStart w:id="76" w:name="conclusion"/>
    <w:p>
      <w:pPr>
        <w:pStyle w:val="Heading3"/>
      </w:pPr>
      <w:r>
        <w:t xml:space="preserve">Conclusion</w:t>
      </w:r>
    </w:p>
    <w:p>
      <w:pPr>
        <w:pStyle w:val="FirstParagraph"/>
      </w:pPr>
      <w:r>
        <w:t xml:space="preserve">The two-phase results are robust to the placement of the single periodisation boundary. Shifting it by ±1000 calibrated years moves at most five sites between phases (Vindija Cave into Aur-P1; Blanchard, Cellier, Trou al’Wesse, and Grottes de Fonds-de-Forêt into Aur-P2), and in every scenario Aur-P1 retains both more sites and a higher mean degree than Aur-P2. The main-text conclusion that Aur-P1 forms a more densely connected network than Aur-P2 is therefore not an artefact of the exact boundary value; the strength of the contrast shifts with the boundary, but its direction does not.</w:t>
      </w:r>
    </w:p>
    <w:bookmarkEnd w:id="76"/>
    <w:bookmarkEnd w:id="77"/>
    <w:bookmarkStart w:id="85" w:name="sec-s5-5"/>
    <w:p>
      <w:pPr>
        <w:pStyle w:val="Heading2"/>
      </w:pPr>
      <w:r>
        <w:t xml:space="preserve">S1.5.5 Technological Versus Date-Based Assignment</w:t>
      </w:r>
    </w:p>
    <w:bookmarkStart w:id="78" w:name="rationale-4"/>
    <w:p>
      <w:pPr>
        <w:pStyle w:val="Heading3"/>
      </w:pPr>
      <w:r>
        <w:t xml:space="preserve">Rationale</w:t>
      </w:r>
    </w:p>
    <w:p>
      <w:pPr>
        <w:pStyle w:val="FirstParagraph"/>
      </w:pPr>
      <w:r>
        <w:t xml:space="preserve">The main analysis assigns each site to a phase (Aur-P1/Aur-P2) using specialist technological attributions from the published literature, supplemented by calibrated radiocarbon dates, as detailed in the</w:t>
      </w:r>
      <w:r>
        <w:t xml:space="preserve"> </w:t>
      </w:r>
      <w:r>
        <w:t xml:space="preserve">“</w:t>
      </w:r>
      <w:r>
        <w:t xml:space="preserve">Site Phase Assignments</w:t>
      </w:r>
      <w:r>
        <w:t xml:space="preserve">”</w:t>
      </w:r>
      <w:r>
        <w:t xml:space="preserve"> </w:t>
      </w:r>
      <w:r>
        <w:t xml:space="preserve">supplementary item. Recent specialist reassessments demonstrate that radiocarbon dates alone are insufficient for phase attribution, and that the archaeological content of layers should take precedence:</w:t>
      </w:r>
    </w:p>
    <w:p>
      <w:pPr>
        <w:numPr>
          <w:ilvl w:val="0"/>
          <w:numId w:val="1003"/>
        </w:numPr>
        <w:pStyle w:val="Compact"/>
      </w:pPr>
      <w:r>
        <w:rPr>
          <w:bCs/>
          <w:b/>
        </w:rPr>
        <w:t xml:space="preserve">Abri Pataud</w:t>
      </w:r>
      <w:r>
        <w:t xml:space="preserve">: The lithic technology in levels 14–9 (carinated scraper bladelet cores, dual reduction systems) is diagnostic of the Early Aurignacian (Aur-P1), not the Proto-Aurignacian, despite basal dates of ~41,200–39,500 cal BP that fall within the Proto-Aurignacian range</w:t>
      </w:r>
      <w:r>
        <w:t xml:space="preserve"> </w:t>
      </w:r>
      <w:r>
        <w:t xml:space="preserve">[4,5]</w:t>
      </w:r>
      <w:r>
        <w:t xml:space="preserve">. The site is classified as Aurignacian I (Early) in the Périgord sequence.</w:t>
      </w:r>
    </w:p>
    <w:p>
      <w:pPr>
        <w:numPr>
          <w:ilvl w:val="0"/>
          <w:numId w:val="1003"/>
        </w:numPr>
        <w:pStyle w:val="Compact"/>
      </w:pPr>
      <w:r>
        <w:rPr>
          <w:bCs/>
          <w:b/>
        </w:rPr>
        <w:t xml:space="preserve">La Ferrassie</w:t>
      </w:r>
      <w:r>
        <w:t xml:space="preserve">: The Aurignacian at La Ferrassie begins in Layer 7, directly overlying the Châtelperronian (Layer 6).</w:t>
      </w:r>
      <w:r>
        <w:t xml:space="preserve"> </w:t>
      </w:r>
      <w:r>
        <w:t xml:space="preserve">[6]</w:t>
      </w:r>
      <w:r>
        <w:t xml:space="preserve"> </w:t>
      </w:r>
      <w:r>
        <w:t xml:space="preserve">classify this as Early Aurignacian (Aur-P1) based on carinated scrapers and wide Aurignacian blades. No split-base bone points (Proto-Aurignacian diagnostic) were found</w:t>
      </w:r>
      <w:r>
        <w:t xml:space="preserve"> </w:t>
      </w:r>
      <w:r>
        <w:t xml:space="preserve">[6,7]</w:t>
      </w:r>
      <w:r>
        <w:t xml:space="preserve">. Layer 7b has mixed Early/Recent Aurignacian components.</w:t>
      </w:r>
    </w:p>
    <w:p>
      <w:pPr>
        <w:numPr>
          <w:ilvl w:val="0"/>
          <w:numId w:val="1003"/>
        </w:numPr>
        <w:pStyle w:val="Compact"/>
      </w:pPr>
      <w:r>
        <w:rPr>
          <w:bCs/>
          <w:b/>
        </w:rPr>
        <w:t xml:space="preserve">Mladeč</w:t>
      </w:r>
      <w:r>
        <w:t xml:space="preserve">: The ~20 lithic artifacts include only one carinated end scraper. The 40 bone points with massive bases (</w:t>
      </w:r>
      <w:r>
        <w:t xml:space="preserve">“</w:t>
      </w:r>
      <w:r>
        <w:t xml:space="preserve">Mladeč-type</w:t>
      </w:r>
      <w:r>
        <w:t xml:space="preserve">”</w:t>
      </w:r>
      <w:r>
        <w:t xml:space="preserve">) lack split bases and occur stratigraphically above split-based points at other Central European sites, placing them in the Evolved Aurignacian (Aur-P2)</w:t>
      </w:r>
      <w:r>
        <w:t xml:space="preserve"> </w:t>
      </w:r>
      <w:r>
        <w:t xml:space="preserve">[8]</w:t>
      </w:r>
      <w:r>
        <w:t xml:space="preserve">. Direct dates of ~31 ka ¹⁴C BP (~35–36 cal BP) are too young for Proto-Aurignacian</w:t>
      </w:r>
      <w:r>
        <w:t xml:space="preserve"> </w:t>
      </w:r>
      <w:r>
        <w:t xml:space="preserve">[9]</w:t>
      </w:r>
      <w:r>
        <w:t xml:space="preserve">.</w:t>
      </w:r>
    </w:p>
    <w:p>
      <w:pPr>
        <w:numPr>
          <w:ilvl w:val="0"/>
          <w:numId w:val="1003"/>
        </w:numPr>
        <w:pStyle w:val="Compact"/>
      </w:pPr>
      <w:r>
        <w:rPr>
          <w:bCs/>
          <w:b/>
        </w:rPr>
        <w:t xml:space="preserve">Vogelherd</w:t>
      </w:r>
      <w:r>
        <w:t xml:space="preserve">: Riek’s 1931 excavation removed 500 m³ in 12 weeks with no screening, using large horizontal spits that did not follow geological horizons. Documented mixing includes 38 refit connections between Aurignacian layers IV and V, Neolithic burials disturbing the southwestern area, and ~2–3% of tools in the Aurignacian layers potentially deriving from other periods</w:t>
      </w:r>
      <w:r>
        <w:t xml:space="preserve"> </w:t>
      </w:r>
      <w:r>
        <w:t xml:space="preserve">[10]</w:t>
      </w:r>
      <w:r>
        <w:t xml:space="preserve">.</w:t>
      </w:r>
    </w:p>
    <w:p>
      <w:pPr>
        <w:pStyle w:val="FirstParagraph"/>
      </w:pPr>
      <w:r>
        <w:t xml:space="preserve">Because these attributions are important for the two-phase framework, this section tests the sensitivity of the network results to (A) reverting to the purely date-based assignment used in earlier analyses , each object assigned to a phase by its calibrated date alone , and (B) excluding Vogelherd entirely, given its documented stratigraphic mixing.</w:t>
      </w:r>
    </w:p>
    <w:bookmarkEnd w:id="78"/>
    <w:bookmarkStart w:id="80" w:name="results"/>
    <w:p>
      <w:pPr>
        <w:pStyle w:val="Heading3"/>
      </w:pPr>
      <w:r>
        <w:t xml:space="preserve">Results</w:t>
      </w:r>
    </w:p>
    <w:tbl>
      <w:tblPr>
        <w:tblStyle w:val="Table"/>
        <w:tblW w:type="pct" w:w="5000"/>
        <w:tblLook w:firstRow="0" w:lastRow="0" w:firstColumn="0" w:lastColumn="0" w:noHBand="0" w:noVBand="0" w:val="0000"/>
        <w:jc w:val="start"/>
        <w:tblLayout w:type="fixed"/>
      </w:tblPr>
      <w:tblGrid>
        <w:gridCol w:w="7920"/>
      </w:tblGrid>
      <w:tr>
        <w:tc>
          <w:tcPr/>
          <w:bookmarkStart w:id="79" w:name="tbl-reclass-comparison"/>
          <w:tbl>
            <w:tblPr>
              <w:tblStyle w:val="Table"/>
              <w:tblW w:type="pct" w:w="5000"/>
              <w:tblLook w:firstRow="1" w:lastRow="0" w:firstColumn="0" w:lastColumn="0" w:noHBand="0" w:noVBand="0" w:val="0020"/>
              <w:jc w:val="start"/>
              <w:tblLayout w:type="fixed"/>
            </w:tblPr>
            <w:tblGrid>
              <w:gridCol w:w="577"/>
              <w:gridCol w:w="2310"/>
              <w:gridCol w:w="495"/>
              <w:gridCol w:w="577"/>
              <w:gridCol w:w="742"/>
              <w:gridCol w:w="1072"/>
              <w:gridCol w:w="1155"/>
              <w:gridCol w:w="990"/>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r>
            <w:tr>
              <w:tc>
                <w:tcPr/>
                <w:p>
                  <w:pPr>
                    <w:pStyle w:val="Compact"/>
                    <w:jc w:val="left"/>
                    <w:jc w:val="center"/>
                  </w:pPr>
                  <w:r>
                    <w:t xml:space="preserve">Aur-P1</w:t>
                  </w:r>
                </w:p>
              </w:tc>
              <w:tc>
                <w:tcPr/>
                <w:p>
                  <w:pPr>
                    <w:pStyle w:val="Compact"/>
                    <w:jc w:val="left"/>
                    <w:jc w:val="center"/>
                  </w:pPr>
                  <w:r>
                    <w:t xml:space="preserve">Baseline (technology-based)</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r>
            <w:tr>
              <w:tc>
                <w:tcPr/>
                <w:p>
                  <w:pPr>
                    <w:pStyle w:val="Compact"/>
                    <w:jc w:val="left"/>
                    <w:jc w:val="center"/>
                  </w:pPr>
                  <w:r>
                    <w:t xml:space="preserve">Aur-P2</w:t>
                  </w:r>
                </w:p>
              </w:tc>
              <w:tc>
                <w:tcPr/>
                <w:p>
                  <w:pPr>
                    <w:pStyle w:val="Compact"/>
                    <w:jc w:val="left"/>
                    <w:jc w:val="center"/>
                  </w:pPr>
                  <w:r>
                    <w:t xml:space="preserve">Baseline (technology-based)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r>
              <w:tc>
                <w:tcPr/>
                <w:p>
                  <w:pPr>
                    <w:pStyle w:val="Compact"/>
                    <w:jc w:val="left"/>
                    <w:jc w:val="center"/>
                  </w:pPr>
                  <w:r>
                    <w:t xml:space="preserve">Aur-P1</w:t>
                  </w:r>
                </w:p>
              </w:tc>
              <w:tc>
                <w:tcPr/>
                <w:p>
                  <w:pPr>
                    <w:pStyle w:val="Compact"/>
                    <w:jc w:val="left"/>
                    <w:jc w:val="center"/>
                  </w:pPr>
                  <w:r>
                    <w:t xml:space="preserve">Date-based</w:t>
                  </w:r>
                </w:p>
              </w:tc>
              <w:tc>
                <w:tcPr/>
                <w:p>
                  <w:pPr>
                    <w:pStyle w:val="Compact"/>
                    <w:jc w:val="left"/>
                    <w:jc w:val="center"/>
                  </w:pPr>
                  <w:r>
                    <w:t xml:space="preserve">20</w:t>
                  </w:r>
                </w:p>
              </w:tc>
              <w:tc>
                <w:tcPr/>
                <w:p>
                  <w:pPr>
                    <w:pStyle w:val="Compact"/>
                    <w:jc w:val="center"/>
                    <w:jc w:val="center"/>
                  </w:pPr>
                  <w:r>
                    <w:t xml:space="preserve">80</w:t>
                  </w:r>
                </w:p>
              </w:tc>
              <w:tc>
                <w:tcPr/>
                <w:p>
                  <w:pPr>
                    <w:pStyle w:val="Compact"/>
                    <w:jc w:val="center"/>
                    <w:jc w:val="center"/>
                  </w:pPr>
                  <w:r>
                    <w:t xml:space="preserve">0.421</w:t>
                  </w:r>
                </w:p>
              </w:tc>
              <w:tc>
                <w:tcPr/>
                <w:p>
                  <w:pPr>
                    <w:pStyle w:val="Compact"/>
                    <w:jc w:val="center"/>
                    <w:jc w:val="center"/>
                  </w:pPr>
                  <w:r>
                    <w:t xml:space="preserve">8.00</w:t>
                  </w:r>
                </w:p>
              </w:tc>
              <w:tc>
                <w:tcPr/>
                <w:p>
                  <w:pPr>
                    <w:pStyle w:val="Compact"/>
                    <w:jc w:val="center"/>
                    <w:jc w:val="center"/>
                  </w:pPr>
                  <w:r>
                    <w:t xml:space="preserve">0.735</w:t>
                  </w:r>
                </w:p>
              </w:tc>
              <w:tc>
                <w:tcPr/>
                <w:p>
                  <w:pPr>
                    <w:pStyle w:val="Compact"/>
                    <w:jc w:val="center"/>
                    <w:jc w:val="center"/>
                  </w:pPr>
                  <w:r>
                    <w:t xml:space="preserve">0.290</w:t>
                  </w:r>
                </w:p>
              </w:tc>
            </w:tr>
            <w:tr>
              <w:tc>
                <w:tcPr/>
                <w:p>
                  <w:pPr>
                    <w:pStyle w:val="Compact"/>
                    <w:jc w:val="left"/>
                    <w:jc w:val="center"/>
                  </w:pPr>
                  <w:r>
                    <w:t xml:space="preserve">Aur-P2</w:t>
                  </w:r>
                </w:p>
              </w:tc>
              <w:tc>
                <w:tcPr/>
                <w:p>
                  <w:pPr>
                    <w:pStyle w:val="Compact"/>
                    <w:jc w:val="left"/>
                    <w:jc w:val="center"/>
                  </w:pPr>
                  <w:r>
                    <w:t xml:space="preserve">Date-based</w:t>
                  </w:r>
                </w:p>
              </w:tc>
              <w:tc>
                <w:tcPr/>
                <w:p>
                  <w:pPr>
                    <w:pStyle w:val="Compact"/>
                    <w:jc w:val="left"/>
                    <w:jc w:val="center"/>
                  </w:pPr>
                  <w:r>
                    <w:t xml:space="preserve">10</w:t>
                  </w:r>
                </w:p>
              </w:tc>
              <w:tc>
                <w:tcPr/>
                <w:p>
                  <w:pPr>
                    <w:pStyle w:val="Compact"/>
                    <w:jc w:val="center"/>
                    <w:jc w:val="center"/>
                  </w:pPr>
                  <w:r>
                    <w:t xml:space="preserve">18</w:t>
                  </w:r>
                </w:p>
              </w:tc>
              <w:tc>
                <w:tcPr/>
                <w:p>
                  <w:pPr>
                    <w:pStyle w:val="Compact"/>
                    <w:jc w:val="center"/>
                    <w:jc w:val="center"/>
                  </w:pPr>
                  <w:r>
                    <w:t xml:space="preserve">0.400</w:t>
                  </w:r>
                </w:p>
              </w:tc>
              <w:tc>
                <w:tcPr/>
                <w:p>
                  <w:pPr>
                    <w:pStyle w:val="Compact"/>
                    <w:jc w:val="center"/>
                    <w:jc w:val="center"/>
                  </w:pPr>
                  <w:r>
                    <w:t xml:space="preserve">3.60</w:t>
                  </w:r>
                </w:p>
              </w:tc>
              <w:tc>
                <w:tcPr/>
                <w:p>
                  <w:pPr>
                    <w:pStyle w:val="Compact"/>
                    <w:jc w:val="center"/>
                    <w:jc w:val="center"/>
                  </w:pPr>
                  <w:r>
                    <w:t xml:space="preserve">0.500</w:t>
                  </w:r>
                </w:p>
              </w:tc>
              <w:tc>
                <w:tcPr/>
                <w:p>
                  <w:pPr>
                    <w:pStyle w:val="Compact"/>
                    <w:jc w:val="center"/>
                    <w:jc w:val="center"/>
                  </w:pPr>
                  <w:r>
                    <w:t xml:space="preserve">0.332</w:t>
                  </w:r>
                </w:p>
              </w:tc>
            </w:tr>
            <w:tr>
              <w:tc>
                <w:tcPr/>
                <w:p>
                  <w:pPr>
                    <w:pStyle w:val="Compact"/>
                    <w:jc w:val="left"/>
                    <w:jc w:val="center"/>
                  </w:pPr>
                  <w:r>
                    <w:t xml:space="preserve">Aur-P1</w:t>
                  </w:r>
                </w:p>
              </w:tc>
              <w:tc>
                <w:tcPr/>
                <w:p>
                  <w:pPr>
                    <w:pStyle w:val="Compact"/>
                    <w:jc w:val="left"/>
                    <w:jc w:val="center"/>
                  </w:pPr>
                  <w:r>
                    <w:t xml:space="preserve">Exclude Vogelherd</w:t>
                  </w:r>
                </w:p>
              </w:tc>
              <w:tc>
                <w:tcPr/>
                <w:p>
                  <w:pPr>
                    <w:pStyle w:val="Compact"/>
                    <w:jc w:val="left"/>
                    <w:jc w:val="center"/>
                  </w:pPr>
                  <w:r>
                    <w:t xml:space="preserve">19</w:t>
                  </w:r>
                </w:p>
              </w:tc>
              <w:tc>
                <w:tcPr/>
                <w:p>
                  <w:pPr>
                    <w:pStyle w:val="Compact"/>
                    <w:jc w:val="center"/>
                    <w:jc w:val="center"/>
                  </w:pPr>
                  <w:r>
                    <w:t xml:space="preserve">69</w:t>
                  </w:r>
                </w:p>
              </w:tc>
              <w:tc>
                <w:tcPr/>
                <w:p>
                  <w:pPr>
                    <w:pStyle w:val="Compact"/>
                    <w:jc w:val="center"/>
                    <w:jc w:val="center"/>
                  </w:pPr>
                  <w:r>
                    <w:t xml:space="preserve">0.404</w:t>
                  </w:r>
                </w:p>
              </w:tc>
              <w:tc>
                <w:tcPr/>
                <w:p>
                  <w:pPr>
                    <w:pStyle w:val="Compact"/>
                    <w:jc w:val="center"/>
                    <w:jc w:val="center"/>
                  </w:pPr>
                  <w:r>
                    <w:t xml:space="preserve">7.26</w:t>
                  </w:r>
                </w:p>
              </w:tc>
              <w:tc>
                <w:tcPr/>
                <w:p>
                  <w:pPr>
                    <w:pStyle w:val="Compact"/>
                    <w:jc w:val="center"/>
                    <w:jc w:val="center"/>
                  </w:pPr>
                  <w:r>
                    <w:t xml:space="preserve">0.712</w:t>
                  </w:r>
                </w:p>
              </w:tc>
              <w:tc>
                <w:tcPr/>
                <w:p>
                  <w:pPr>
                    <w:pStyle w:val="Compact"/>
                    <w:jc w:val="center"/>
                    <w:jc w:val="center"/>
                  </w:pPr>
                  <w:r>
                    <w:t xml:space="preserve">0.312</w:t>
                  </w:r>
                </w:p>
              </w:tc>
            </w:tr>
            <w:tr>
              <w:tc>
                <w:tcPr/>
                <w:p>
                  <w:pPr>
                    <w:pStyle w:val="Compact"/>
                    <w:jc w:val="left"/>
                    <w:jc w:val="center"/>
                  </w:pPr>
                  <w:r>
                    <w:t xml:space="preserve">Aur-P2</w:t>
                  </w:r>
                </w:p>
              </w:tc>
              <w:tc>
                <w:tcPr/>
                <w:p>
                  <w:pPr>
                    <w:pStyle w:val="Compact"/>
                    <w:jc w:val="left"/>
                    <w:jc w:val="center"/>
                  </w:pPr>
                  <w:r>
                    <w:t xml:space="preserve">Exclude Vogelherd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bl>
          <w:p>
            <w:pPr>
              <w:jc w:val="center"/>
            </w:pPr>
            <w:pPr>
              <w:jc w:val="start"/>
              <w:spacing w:before="200"/>
              <w:pStyle w:val="ImageCaption"/>
            </w:pPr>
            <w:r>
              <w:t xml:space="preserve">Table S 11: Network statistics under three conditions: baseline (technology-based assignment), date-based (each object assigned purely by calibrated radiocarbon date, with the Spy/El Castillo exclusions retained), and exclude Vogelherd (technology-based baseline with the site of Vogelherd removed entirely). Threshold = 0.2, Jaccard similarity.</w:t>
            </w:r>
          </w:p>
          <w:bookmarkEnd w:id="79"/>
        </w:tc>
      </w:tr>
    </w:tbl>
    <w:bookmarkEnd w:id="80"/>
    <w:bookmarkStart w:id="81" w:name="effects-by-condition"/>
    <w:p>
      <w:pPr>
        <w:pStyle w:val="Heading3"/>
      </w:pPr>
      <w:r>
        <w:t xml:space="preserve">Effects by condition</w:t>
      </w:r>
    </w:p>
    <w:p>
      <w:pPr>
        <w:pStyle w:val="FirstParagraph"/>
      </w:pPr>
      <w:r>
        <w:rPr>
          <w:bCs/>
          <w:b/>
        </w:rPr>
        <w:t xml:space="preserve">Date-based alternative (Analysis A).</w:t>
      </w:r>
      <w:r>
        <w:t xml:space="preserve"> </w:t>
      </w:r>
      <w:r>
        <w:t xml:space="preserve">Reverting to purely date-based criteria changes the membership of three sites. Mladeč moves from Aur-P2 to Aur-P1 because its calibrated median using the older-end of the date range (40,091 cal BP) falls in the Proto-Aurignacian range, which is folded into Aur-P1; the midpoint variant used in the main analysis gives 37,831 cal BP (Early Aurignacian, Aur-P1), and the younger-end gives 35,571 cal BP (Early Aurignacian, Aur-P1)</w:t>
      </w:r>
      <w:r>
        <w:t xml:space="preserve"> </w:t>
      </w:r>
      <w:r>
        <w:t xml:space="preserve">[9]</w:t>
      </w:r>
      <w:r>
        <w:t xml:space="preserve">. Hohle Fels and Vogelherd are split across the phases by object date: 20 of 49 Hohle Fels objects and 160 of 173 Vogelherd objects remain in Aur-P1, and 29 and 13 objects , those calibrated to ~32 ka BP or younger , move to Aur-P2. The date-based assignment therefore fragments long-occupied sites whose assemblages span the phase boundary, which is precisely the failure mode the technology-based attribution is designed to avoid. Under this assignment Aur-P1 grows to 20 sites and 80 edges (mean degree 8), while Aur-P2 , now missing Mladeč but containing 42 young-dated objects from Hohle Fels and Vogelherd , has 10 sites and 18 edges (mean degree 3.6).</w:t>
      </w:r>
    </w:p>
    <w:p>
      <w:pPr>
        <w:pStyle w:val="BodyText"/>
      </w:pPr>
      <w:r>
        <w:rPr>
          <w:bCs/>
          <w:b/>
        </w:rPr>
        <w:t xml:space="preserve">Vogelherd exclusion (Analysis B).</w:t>
      </w:r>
      <w:r>
        <w:t xml:space="preserve"> </w:t>
      </w:r>
      <w:r>
        <w:t xml:space="preserve">Removing Vogelherd’s 173 objects from the technology-based baseline reduces Aur-P1 from 20 to 19 sites and from 75 to 69 edges. Mean degree falls from 7.5 to 7.26 (−3.2%), and modularity from 0.336 to 0.312. Aur-P2 is unaffected (4.22, 19 edges, 9 sites).</w:t>
      </w:r>
    </w:p>
    <w:bookmarkEnd w:id="81"/>
    <w:bookmarkStart w:id="83" w:name="phase-ordering-robustness"/>
    <w:p>
      <w:pPr>
        <w:pStyle w:val="Heading3"/>
      </w:pPr>
      <w:r>
        <w:t xml:space="preserve">Phase-ordering robustness</w:t>
      </w:r>
    </w:p>
    <w:p>
      <w:pPr>
        <w:pStyle w:val="FirstParagraph"/>
      </w:pPr>
      <w:r>
        <w:t xml:space="preserve">The most consequential finding is that</w:t>
      </w:r>
      <w:r>
        <w:t xml:space="preserve"> </w:t>
      </w:r>
      <w:r>
        <w:rPr>
          <w:bCs/>
          <w:b/>
        </w:rPr>
        <w:t xml:space="preserve">the Aur-P1 &gt; Aur-P2 connectivity ordering is preserved under every condition</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82" w:name="tbl-ordering-by-condition"/>
          <w:tbl>
            <w:tblPr>
              <w:tblStyle w:val="Table"/>
              <w:tblW w:type="pct" w:w="5000"/>
              <w:tblLook w:firstRow="1" w:lastRow="0" w:firstColumn="0" w:lastColumn="0" w:noHBand="0" w:noVBand="0" w:val="0020"/>
              <w:jc w:val="start"/>
              <w:tblLayout w:type="fixed"/>
            </w:tblPr>
            <w:tblGrid>
              <w:gridCol w:w="2704"/>
              <w:gridCol w:w="1835"/>
              <w:gridCol w:w="1835"/>
              <w:gridCol w:w="1545"/>
            </w:tblGrid>
            <w:tr>
              <w:trPr>
                <w:tblHeader w:val="true"/>
              </w:trPr>
              <w:tc>
                <w:tcPr/>
                <w:p>
                  <w:pPr>
                    <w:pStyle w:val="Compact"/>
                    <w:jc w:val="left"/>
                    <w:jc w:val="center"/>
                  </w:pPr>
                  <w:r>
                    <w:t xml:space="preserve">Condition</w:t>
                  </w:r>
                </w:p>
              </w:tc>
              <w:tc>
                <w:tcPr/>
                <w:p>
                  <w:pPr>
                    <w:pStyle w:val="Compact"/>
                    <w:jc w:val="right"/>
                    <w:jc w:val="center"/>
                  </w:pPr>
                  <w:r>
                    <w:t xml:space="preserve">Aur-P1 mean degree</w:t>
                  </w:r>
                </w:p>
              </w:tc>
              <w:tc>
                <w:tcPr/>
                <w:p>
                  <w:pPr>
                    <w:pStyle w:val="Compact"/>
                    <w:jc w:val="right"/>
                    <w:jc w:val="center"/>
                  </w:pPr>
                  <w:r>
                    <w:t xml:space="preserve">Aur-P2 mean degree</w:t>
                  </w:r>
                </w:p>
              </w:tc>
              <w:tc>
                <w:tcPr/>
                <w:p>
                  <w:pPr>
                    <w:pStyle w:val="Compact"/>
                    <w:jc w:val="left"/>
                    <w:jc w:val="center"/>
                  </w:pPr>
                  <w:r>
                    <w:t xml:space="preserve">Ordering</w:t>
                  </w:r>
                </w:p>
              </w:tc>
            </w:tr>
            <w:tr>
              <w:tc>
                <w:tcPr/>
                <w:p>
                  <w:pPr>
                    <w:pStyle w:val="Compact"/>
                    <w:jc w:val="left"/>
                    <w:jc w:val="center"/>
                  </w:pPr>
                  <w:r>
                    <w:t xml:space="preserve">Baseline (technology-based)</w:t>
                  </w:r>
                </w:p>
              </w:tc>
              <w:tc>
                <w:tcPr/>
                <w:p>
                  <w:pPr>
                    <w:pStyle w:val="Compact"/>
                    <w:jc w:val="right"/>
                    <w:jc w:val="center"/>
                  </w:pPr>
                  <w:r>
                    <w:t xml:space="preserve">7.50</w:t>
                  </w:r>
                </w:p>
              </w:tc>
              <w:tc>
                <w:tcPr/>
                <w:p>
                  <w:pPr>
                    <w:pStyle w:val="Compact"/>
                    <w:jc w:val="right"/>
                    <w:jc w:val="center"/>
                  </w:pPr>
                  <w:r>
                    <w:t xml:space="preserve">4.22</w:t>
                  </w:r>
                </w:p>
              </w:tc>
              <w:tc>
                <w:tcPr/>
                <w:p>
                  <w:pPr>
                    <w:pStyle w:val="Compact"/>
                    <w:jc w:val="left"/>
                    <w:jc w:val="center"/>
                  </w:pPr>
                  <w:r>
                    <w:t xml:space="preserve">Aur-P1 &gt; Aur-P2</w:t>
                  </w:r>
                </w:p>
              </w:tc>
            </w:tr>
            <w:tr>
              <w:tc>
                <w:tcPr/>
                <w:p>
                  <w:pPr>
                    <w:pStyle w:val="Compact"/>
                    <w:jc w:val="left"/>
                    <w:jc w:val="center"/>
                  </w:pPr>
                  <w:r>
                    <w:t xml:space="preserve">Date-based</w:t>
                  </w:r>
                </w:p>
              </w:tc>
              <w:tc>
                <w:tcPr/>
                <w:p>
                  <w:pPr>
                    <w:pStyle w:val="Compact"/>
                    <w:jc w:val="right"/>
                    <w:jc w:val="center"/>
                  </w:pPr>
                  <w:r>
                    <w:t xml:space="preserve">8.00</w:t>
                  </w:r>
                </w:p>
              </w:tc>
              <w:tc>
                <w:tcPr/>
                <w:p>
                  <w:pPr>
                    <w:pStyle w:val="Compact"/>
                    <w:jc w:val="right"/>
                    <w:jc w:val="center"/>
                  </w:pPr>
                  <w:r>
                    <w:t xml:space="preserve">3.60</w:t>
                  </w:r>
                </w:p>
              </w:tc>
              <w:tc>
                <w:tcPr/>
                <w:p>
                  <w:pPr>
                    <w:pStyle w:val="Compact"/>
                    <w:jc w:val="left"/>
                    <w:jc w:val="center"/>
                  </w:pPr>
                  <w:r>
                    <w:t xml:space="preserve">Aur-P1 &gt; Aur-P2</w:t>
                  </w:r>
                </w:p>
              </w:tc>
            </w:tr>
            <w:tr>
              <w:tc>
                <w:tcPr/>
                <w:p>
                  <w:pPr>
                    <w:pStyle w:val="Compact"/>
                    <w:jc w:val="left"/>
                    <w:jc w:val="center"/>
                  </w:pPr>
                  <w:r>
                    <w:t xml:space="preserve">Exclude Vogelherd</w:t>
                  </w:r>
                </w:p>
              </w:tc>
              <w:tc>
                <w:tcPr/>
                <w:p>
                  <w:pPr>
                    <w:pStyle w:val="Compact"/>
                    <w:jc w:val="right"/>
                    <w:jc w:val="center"/>
                  </w:pPr>
                  <w:r>
                    <w:t xml:space="preserve">7.26</w:t>
                  </w:r>
                </w:p>
              </w:tc>
              <w:tc>
                <w:tcPr/>
                <w:p>
                  <w:pPr>
                    <w:pStyle w:val="Compact"/>
                    <w:jc w:val="right"/>
                    <w:jc w:val="center"/>
                  </w:pPr>
                  <w:r>
                    <w:t xml:space="preserve">4.22</w:t>
                  </w:r>
                </w:p>
              </w:tc>
              <w:tc>
                <w:tcPr/>
                <w:p>
                  <w:pPr>
                    <w:pStyle w:val="Compact"/>
                    <w:jc w:val="left"/>
                    <w:jc w:val="center"/>
                  </w:pPr>
                  <w:r>
                    <w:t xml:space="preserve">Aur-P1 &gt; Aur-P2</w:t>
                  </w:r>
                </w:p>
              </w:tc>
            </w:tr>
          </w:tbl>
          <w:p>
            <w:pPr>
              <w:jc w:val="center"/>
            </w:pPr>
            <w:pPr>
              <w:jc w:val="start"/>
              <w:spacing w:before="200"/>
              <w:pStyle w:val="ImageCaption"/>
            </w:pPr>
            <w:r>
              <w:t xml:space="preserve">Table S 12: Mean degree by phase under each reassignment condition. The Aur-P1 &gt; Aur-P2 ordering is preserved under every condition.</w:t>
            </w:r>
          </w:p>
          <w:bookmarkEnd w:id="82"/>
        </w:tc>
      </w:tr>
    </w:tbl>
    <w:p>
      <w:pPr>
        <w:pStyle w:val="BodyText"/>
      </w:pPr>
      <w:r>
        <w:t xml:space="preserve">Under the date-based assignment Aur-P1’s mean degree rises (from 7.5 to 8) and Aur-P2’s falls (from 4.22 to 3.6), so the contrast is not an artefact of the technological reassignment , the naive date-based assignment, if anything, strengthens it. Excluding Vogelherd weakens but does not remove the contrast (7.26 vs 4.22).</w:t>
      </w:r>
    </w:p>
    <w:bookmarkEnd w:id="83"/>
    <w:bookmarkStart w:id="84" w:name="interpretation-1"/>
    <w:p>
      <w:pPr>
        <w:pStyle w:val="Heading3"/>
      </w:pPr>
      <w:r>
        <w:t xml:space="preserve">Interpretation</w:t>
      </w:r>
    </w:p>
    <w:p>
      <w:pPr>
        <w:pStyle w:val="FirstParagraph"/>
      </w:pPr>
      <w:r>
        <w:t xml:space="preserve">The robustness of the Aur-P1 &gt; Aur-P2 connectivity contrast to both the assignment criterion and to the removal of the largest site strengthens the main-text conclusion that the early phase supports a larger, more hub-centred sign-sharing network. The date-based alternative is a useful worst case: it fragments long-occupied sites across phases and moves Mladeč into Aur-P1 (via the older-end calibrated median of 40,091 cal BP), yet Aur-P1 remains the more connected phase.</w:t>
      </w:r>
    </w:p>
    <w:p>
      <w:pPr>
        <w:pStyle w:val="BodyText"/>
      </w:pPr>
      <w:r>
        <w:t xml:space="preserve">The observed between-phase modularity values are, however, assignment-sensitive: they reverse under the date-based assignment (Aur-P1 0.29 &lt; Aur-P2 0.332, versus 0.336 &gt; 0.161 at baseline). This reinforces the main text’s caution about between-phase comparisons: the pairwise permutation test on the technology-based baseline finds no significant difference in modularity (or any other network statistic) between the phases, and</w:t>
      </w:r>
      <w:r>
        <w:t xml:space="preserve"> </w:t>
      </w:r>
      <w:r>
        <w:t xml:space="preserve">Section S1.7.3</w:t>
      </w:r>
      <w:r>
        <w:t xml:space="preserve"> </w:t>
      </w:r>
      <w:r>
        <w:t xml:space="preserve">shows that the modularity confidence intervals overlap substantially (Aur-P2 rests on only 9 sites). We therefore recommend reading the between-phase contrast primarily as a difference in network scale rather than as a robust ordering of modularity values across alternative assignments.</w:t>
      </w:r>
    </w:p>
    <w:p>
      <w:pPr>
        <w:pStyle w:val="BodyText"/>
      </w:pPr>
      <w:r>
        <w:t xml:space="preserve">Excluding Vogelherd leaves the ordering intact, consistent with</w:t>
      </w:r>
      <w:r>
        <w:t xml:space="preserve"> </w:t>
      </w:r>
      <w:r>
        <w:t xml:space="preserve">Section S1.12.6</w:t>
      </w:r>
      <w:r>
        <w:t xml:space="preserve"> </w:t>
      </w:r>
      <w:r>
        <w:t xml:space="preserve">showing that Aur-P1’s network does not depend on a single site. Finally, the within-phase two-group structure (RQ1) , the restricted/broad dichotomy recovered by seriation, Louvain community detection, and bootstrap consensus (</w:t>
      </w:r>
      <w:r>
        <w:t xml:space="preserve">Section S1.6</w:t>
      </w:r>
      <w:r>
        <w:t xml:space="preserve">,</w:t>
      </w:r>
      <w:r>
        <w:t xml:space="preserve"> </w:t>
      </w:r>
      <w:r>
        <w:t xml:space="preserve">Section S1.9</w:t>
      </w:r>
      <w:r>
        <w:t xml:space="preserve">) , is defined within each phase’s membership and is unaffected by the between-phase assignment criterion tested here. The stochastic block model (</w:t>
      </w:r>
      <w:r>
        <w:t xml:space="preserve">Section S1.9.3</w:t>
      </w:r>
      <w:r>
        <w:t xml:space="preserve">) does not recover this dichotomy (single block selected under all three emission models), consistent with the small size and sparsity of the sign-sharing networks falling below the detectability limit for block structure.</w:t>
      </w:r>
    </w:p>
    <w:bookmarkEnd w:id="84"/>
    <w:bookmarkEnd w:id="85"/>
    <w:bookmarkEnd w:id="86"/>
    <w:bookmarkStart w:id="111" w:name="sec-s6"/>
    <w:p>
      <w:pPr>
        <w:pStyle w:val="Heading1"/>
      </w:pPr>
      <w:r>
        <w:t xml:space="preserve">S1.6 Automated Group Recovery as a Circularity Check</w:t>
      </w:r>
    </w:p>
    <w:p>
      <w:pPr>
        <w:pStyle w:val="FirstParagraph"/>
      </w:pPr>
      <w:r>
        <w:t xml:space="preserve">The sensitivity analyses in Sections</w:t>
      </w:r>
      <w:r>
        <w:t xml:space="preserve"> </w:t>
      </w:r>
      <w:r>
        <w:t xml:space="preserve">S1.2</w:t>
      </w:r>
      <w:r>
        <w:t xml:space="preserve">–</w:t>
      </w:r>
      <w:r>
        <w:t xml:space="preserve">S1.5</w:t>
      </w:r>
      <w:r>
        <w:t xml:space="preserve"> </w:t>
      </w:r>
      <w:r>
        <w:t xml:space="preserve">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w:t>
      </w:r>
      <w:r>
        <w:t xml:space="preserve"> </w:t>
      </w:r>
      <w:r>
        <w:rPr>
          <w:rStyle w:val="VerbatimChar"/>
        </w:rPr>
        <w:t xml:space="preserve">case_when()</w:t>
      </w:r>
      <w:r>
        <w:t xml:space="preserve"> </w:t>
      </w:r>
      <w:r>
        <w:t xml:space="preserve">statement in the data-cleaning pipeline. Because these groups were derived from visual inspection of the same data that the seriation is asked to</w:t>
      </w:r>
      <w:r>
        <w:t xml:space="preserve"> </w:t>
      </w:r>
      <w:r>
        <w:t xml:space="preserve">“</w:t>
      </w:r>
      <w:r>
        <w:t xml:space="preserve">discover,</w:t>
      </w:r>
      <w:r>
        <w:t xml:space="preserve">”</w:t>
      </w:r>
      <w:r>
        <w:t xml:space="preserve"> </w:t>
      </w:r>
      <w:r>
        <w:t xml:space="preserve">the procedure is circular: the analysis cannot fail to confirm a structure that was imported by the analyst. This section examines that circularity by deriving group memberships automatically from the data using unsupervised community detection. Because Louvain, bootstrap, and stochastic block models all operate on the same underlying sign-composition data as the manual assignment, they are useful descriptive checks on the stability and data-drivenness of the partition, but they do not by themselves remove the circularity; genuine independent validation is provided separately in</w:t>
      </w:r>
      <w:r>
        <w:t xml:space="preserve"> </w:t>
      </w:r>
      <w:r>
        <w:t xml:space="preserve">Section S1.10</w:t>
      </w:r>
      <w:r>
        <w:t xml:space="preserve">.</w:t>
      </w:r>
    </w:p>
    <w:bookmarkStart w:id="90" w:name="sec-s6-1"/>
    <w:p>
      <w:pPr>
        <w:pStyle w:val="Heading2"/>
      </w:pPr>
      <w:r>
        <w:t xml:space="preserve">S1.6.1 Louvain Community Partitioning</w:t>
      </w:r>
    </w:p>
    <w:bookmarkStart w:id="89" w:name="rationale-5"/>
    <w:p>
      <w:pPr>
        <w:pStyle w:val="Heading3"/>
      </w:pPr>
      <w:r>
        <w:t xml:space="preserve">Rationale</w:t>
      </w:r>
    </w:p>
    <w:p>
      <w:pPr>
        <w:pStyle w:val="FirstParagraph"/>
      </w:pPr>
      <w:r>
        <w:t xml:space="preserve">Rather than relying on author-constructed group assignments, we use Louvain community detection on Jaccard similarity networks to partition sites into groups from the sign data, without any human assignment. The Louvain algorithm</w:t>
      </w:r>
      <w:r>
        <w:t xml:space="preserve"> </w:t>
      </w:r>
      <w:r>
        <w:t xml:space="preserve">[11]</w:t>
      </w:r>
      <w:r>
        <w:t xml:space="preserve"> </w:t>
      </w:r>
      <w:r>
        <w:t xml:space="preserve">identifies clusters of sites whose sign repertoires are more similar to each other than to sites in other clusters, optimising Newman–Girvan modularity</w:t>
      </w:r>
      <w:r>
        <w:t xml:space="preserve"> </w:t>
      </w:r>
      <w:r>
        <w:t xml:space="preserve">[12]</w:t>
      </w:r>
      <w:r>
        <w:t xml:space="preserve">. By comparing these data-driven communities to the ones used in the main analysis, we quantify how much of the two-group structure is reproduced by data-driven methods.</w:t>
      </w:r>
    </w:p>
    <w:p>
      <w:pPr>
        <w:pStyle w:val="BodyText"/>
      </w:pPr>
      <w:r>
        <w:t xml:space="preserve">We run Louvain detection for each phase at each of the three thresholds (0.1, 0.2, 0.3), using the Jaccard similarity metric of the main text. For each partition we compute two measures:</w:t>
      </w:r>
    </w:p>
    <w:p>
      <w:pPr>
        <w:numPr>
          <w:ilvl w:val="0"/>
          <w:numId w:val="1004"/>
        </w:numPr>
        <w:pStyle w:val="Compact"/>
      </w:pPr>
      <w:r>
        <w:rPr>
          <w:bCs/>
          <w:b/>
        </w:rPr>
        <w:t xml:space="preserve">Adjusted Rand Index (ARI)</w:t>
      </w:r>
      <w:r>
        <w:t xml:space="preserve"> </w:t>
      </w:r>
      <w:r>
        <w:t xml:space="preserve">between the Louvain-derived communities and the manually assigned restricted/broad groups. ARI = 1.0 means the two partitions are identical; ARI ≈ 0 means agreement arises purely by chance.</w:t>
      </w:r>
    </w:p>
    <w:p>
      <w:pPr>
        <w:numPr>
          <w:ilvl w:val="0"/>
          <w:numId w:val="1004"/>
        </w:numPr>
        <w:pStyle w:val="Compact"/>
      </w:pPr>
      <w:r>
        <w:rPr>
          <w:bCs/>
          <w:b/>
        </w:rPr>
        <w:t xml:space="preserve">PerMANOVA re-run</w:t>
      </w:r>
      <w:r>
        <w:t xml:space="preserve"> </w:t>
      </w:r>
      <w:r>
        <w:t xml:space="preserve">using the Louvain-assigned community labels as the grouping variable, and comparison of R</w:t>
      </w:r>
      <w:r>
        <w:rPr>
          <w:vertAlign w:val="superscript"/>
        </w:rPr>
        <w:t xml:space="preserve">2</w:t>
      </w:r>
      <w:r>
        <w:t xml:space="preserve"> </w:t>
      </w:r>
      <w:r>
        <w:t xml:space="preserve">and pseudo-F against the values reported from the manual assignment.</w:t>
      </w:r>
    </w:p>
    <w:tbl>
      <w:tblPr>
        <w:tblStyle w:val="Table"/>
        <w:tblW w:type="pct" w:w="5000"/>
        <w:tblLook w:firstRow="0" w:lastRow="0" w:firstColumn="0" w:lastColumn="0" w:noHBand="0" w:noVBand="0" w:val="0000"/>
        <w:jc w:val="start"/>
        <w:tblLayout w:type="fixed"/>
      </w:tblPr>
      <w:tblGrid>
        <w:gridCol w:w="7920"/>
      </w:tblGrid>
      <w:tr>
        <w:tc>
          <w:tcPr/>
          <w:bookmarkStart w:id="87" w:name="tbl-louvain-groups"/>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th=0.1</w:t>
                  </w:r>
                </w:p>
              </w:tc>
              <w:tc>
                <w:tcPr/>
                <w:p>
                  <w:pPr>
                    <w:pStyle w:val="Compact"/>
                    <w:jc w:val="right"/>
                    <w:jc w:val="center"/>
                  </w:pPr>
                  <w:r>
                    <w:t xml:space="preserve">th=0.2</w:t>
                  </w:r>
                </w:p>
              </w:tc>
              <w:tc>
                <w:tcPr/>
                <w:p>
                  <w:pPr>
                    <w:pStyle w:val="Compact"/>
                    <w:jc w:val="right"/>
                    <w:jc w:val="center"/>
                  </w:pPr>
                  <w:r>
                    <w:t xml:space="preserve">th=0.3</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bl>
          <w:p>
            <w:pPr>
              <w:jc w:val="center"/>
            </w:pPr>
            <w:pPr>
              <w:jc w:val="start"/>
              <w:spacing w:before="200"/>
              <w:pStyle w:val="ImageCaption"/>
            </w:pPr>
            <w:r>
              <w:t xml:space="preserve">Table S 13: Louvain community memberships for each site, by phase and threshold. Sites with no community assignment (no edges at that threshold) are assigned to a singleton community. Groups are numbered by Louvain membership.</w:t>
            </w:r>
          </w:p>
          <w:bookmarkEnd w:id="87"/>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88" w:name="tbl-ari-louvai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(manual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0.787</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0.798</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0.581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0.167</w:t>
                  </w:r>
                </w:p>
              </w:tc>
            </w:tr>
          </w:tbl>
          <w:p>
            <w:pPr>
              <w:jc w:val="center"/>
            </w:pPr>
            <w:pPr>
              <w:jc w:val="start"/>
              <w:spacing w:before="200"/>
              <w:pStyle w:val="ImageCaption"/>
            </w:pPr>
            <w:r>
              <w:t xml:space="preserve">Table S 14: Adjusted Rand Index (ARI) between Louvain-derived communities and the manually assigned restricted/broad groups, by phase and threshold. ARI = 1.0 indicates identical partitions; ARI ≈ 0 indicates agreement no better than chance.</w:t>
            </w:r>
          </w:p>
          <w:bookmarkEnd w:id="88"/>
        </w:tc>
      </w:tr>
    </w:tbl>
    <w:bookmarkEnd w:id="89"/>
    <w:bookmarkEnd w:id="90"/>
    <w:bookmarkStart w:id="93" w:name="sec-s6-2"/>
    <w:p>
      <w:pPr>
        <w:pStyle w:val="Heading2"/>
      </w:pPr>
      <w:r>
        <w:t xml:space="preserve">S1.6.2 Infomap Community Partitioning</w:t>
      </w:r>
    </w:p>
    <w:bookmarkStart w:id="92" w:name="rationale-6"/>
    <w:p>
      <w:pPr>
        <w:pStyle w:val="Heading3"/>
      </w:pPr>
      <w:r>
        <w:t xml:space="preserve">Rationale</w:t>
      </w:r>
    </w:p>
    <w:p>
      <w:pPr>
        <w:pStyle w:val="FirstParagraph"/>
      </w:pPr>
      <w:r>
        <w:t xml:space="preserve">We compare Infomap community detection with Louvain to assess whether different community detection algorithms yield similar partitions. Infomap optimizes the map equation rather than modularity, providing an alternative perspective on community structure. By comparing these data-driven communities to the Louvain partitions, we evaluate the robustness of community detection results across different optimization criteria.</w:t>
      </w:r>
    </w:p>
    <w:p>
      <w:pPr>
        <w:pStyle w:val="BodyText"/>
      </w:pPr>
      <w:r>
        <w:t xml:space="preserve">We run Infomap detection for each phase at each of the three thresholds (0.1, 0.2, 0.3), using the Jaccard similarity metric of the main text. For each partition we compute one measure:</w:t>
      </w:r>
    </w:p>
    <w:p>
      <w:pPr>
        <w:numPr>
          <w:ilvl w:val="0"/>
          <w:numId w:val="1005"/>
        </w:numPr>
        <w:pStyle w:val="Compact"/>
      </w:pPr>
      <w:r>
        <w:rPr>
          <w:bCs/>
          <w:b/>
        </w:rPr>
        <w:t xml:space="preserve">Adjusted Rand Index (ARI)</w:t>
      </w:r>
      <w:r>
        <w:t xml:space="preserve"> </w:t>
      </w:r>
      <w:r>
        <w:t xml:space="preserve">between the Infomap-derived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91" w:name="tbl-ari-infoma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(Infomap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0.764</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0.478</w:t>
                  </w:r>
                </w:p>
              </w:tc>
            </w:tr>
          </w:tbl>
          <w:p>
            <w:pPr>
              <w:jc w:val="center"/>
            </w:pPr>
            <w:pPr>
              <w:jc w:val="start"/>
              <w:spacing w:before="200"/>
              <w:pStyle w:val="ImageCaption"/>
            </w:pPr>
            <w:r>
              <w:t xml:space="preserve">Table S 15: Adjusted Rand Index (ARI) between Infomap-derived communities and Louvain-derived communities, by phase and threshold. ARI = 1.0 indicates identical partitions; ARI ≈ 0 indicates agreement no better than chance.</w:t>
            </w:r>
          </w:p>
          <w:bookmarkEnd w:id="91"/>
        </w:tc>
      </w:tr>
    </w:tbl>
    <w:bookmarkEnd w:id="92"/>
    <w:bookmarkEnd w:id="93"/>
    <w:bookmarkStart w:id="96" w:name="sec-s6-3"/>
    <w:p>
      <w:pPr>
        <w:pStyle w:val="Heading2"/>
      </w:pPr>
      <w:r>
        <w:t xml:space="preserve">S1.6.3 Leiden Community Partitioning</w:t>
      </w:r>
    </w:p>
    <w:bookmarkStart w:id="95" w:name="rationale-7"/>
    <w:p>
      <w:pPr>
        <w:pStyle w:val="Heading3"/>
      </w:pPr>
      <w:r>
        <w:t xml:space="preserve">Rationale</w:t>
      </w:r>
    </w:p>
    <w:p>
      <w:pPr>
        <w:pStyle w:val="FirstParagraph"/>
      </w:pPr>
      <w:r>
        <w:t xml:space="preserve">We compare Leiden community detection with Louvain to assess whether the improvements in the Leiden algorithm — which addresses known limitations of Louvain’s tendency to yield poorly connected communities — alter our conclusions. The Leiden algorithm is now considered the standard community detection method for many applications, and it is particularly useful for weighted networks like our Jaccard similarity network.</w:t>
      </w:r>
    </w:p>
    <w:p>
      <w:pPr>
        <w:pStyle w:val="BodyText"/>
      </w:pPr>
      <w:r>
        <w:t xml:space="preserve">We run Leiden detection for each phase at each of the three thresholds (0.1, 0.2, 0.3), using the Jaccard similarity metric of the main text. For each partition we compute one measure:</w:t>
      </w:r>
    </w:p>
    <w:p>
      <w:pPr>
        <w:numPr>
          <w:ilvl w:val="0"/>
          <w:numId w:val="1006"/>
        </w:numPr>
        <w:pStyle w:val="Compact"/>
      </w:pPr>
      <w:r>
        <w:rPr>
          <w:bCs/>
          <w:b/>
        </w:rPr>
        <w:t xml:space="preserve">Adjusted Rand Index (ARI)</w:t>
      </w:r>
      <w:r>
        <w:t xml:space="preserve"> </w:t>
      </w:r>
      <w:r>
        <w:t xml:space="preserve">between the Leiden-derived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94" w:name="tbl-ari-leide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(Leiden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-0.051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0.257</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0.167</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0.478</w:t>
                  </w:r>
                </w:p>
              </w:tc>
            </w:tr>
          </w:tbl>
          <w:p>
            <w:pPr>
              <w:jc w:val="center"/>
            </w:pPr>
            <w:pPr>
              <w:jc w:val="start"/>
              <w:spacing w:before="200"/>
              <w:pStyle w:val="ImageCaption"/>
            </w:pPr>
            <w:r>
              <w:t xml:space="preserve">Table S 16: Adjusted Rand Index (ARI) between Leiden-derived communities and Louvain-derived communities, by phase and threshold. ARI = 1.0 indicates identical partitions; ARI ≈ 0 indicates agreement no better than chance.</w:t>
            </w:r>
          </w:p>
          <w:bookmarkEnd w:id="94"/>
        </w:tc>
      </w:tr>
    </w:tbl>
    <w:bookmarkEnd w:id="95"/>
    <w:bookmarkEnd w:id="96"/>
    <w:bookmarkStart w:id="99" w:name="sec-s6-4"/>
    <w:p>
      <w:pPr>
        <w:pStyle w:val="Heading2"/>
      </w:pPr>
      <w:r>
        <w:t xml:space="preserve">S1.6.4 Walktrap Community Partitioning</w:t>
      </w:r>
    </w:p>
    <w:bookmarkStart w:id="98" w:name="rationale-8"/>
    <w:p>
      <w:pPr>
        <w:pStyle w:val="Heading3"/>
      </w:pPr>
      <w:r>
        <w:t xml:space="preserve">Rationale</w:t>
      </w:r>
    </w:p>
    <w:p>
      <w:pPr>
        <w:pStyle w:val="FirstParagraph"/>
      </w:pPr>
      <w:r>
        <w:t xml:space="preserve">We compare Walktrap community detection with Louvain to assess whether optimizing community structure based on random walk lengths alters our conclusions. Walktrap uses a fundamentally different approach: it identifies communities as sets of vertices where short random walks tend to remain within the community rather than jump to others. This is particularly intuitive for archaeological network analysis where we might think of communities as groups that maintain internal sign-sharing patterns distinct from external connections.</w:t>
      </w:r>
    </w:p>
    <w:p>
      <w:pPr>
        <w:pStyle w:val="BodyText"/>
      </w:pPr>
      <w:r>
        <w:t xml:space="preserve">We run Walktrap detection for each phase at each of the three thresholds (0.1, 0.2, 0.3), using the Jaccard similarity metric of the main text. For each partition we compute one measure:</w:t>
      </w:r>
    </w:p>
    <w:p>
      <w:pPr>
        <w:numPr>
          <w:ilvl w:val="0"/>
          <w:numId w:val="1007"/>
        </w:numPr>
        <w:pStyle w:val="Compact"/>
      </w:pPr>
      <w:r>
        <w:rPr>
          <w:bCs/>
          <w:b/>
        </w:rPr>
        <w:t xml:space="preserve">Adjusted Rand Index (ARI)</w:t>
      </w:r>
      <w:r>
        <w:t xml:space="preserve"> </w:t>
      </w:r>
      <w:r>
        <w:t xml:space="preserve">between the Walktrap-derived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97" w:name="tbl-ari-walktra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(Walktrap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0.410</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0.393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0.764</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1.000</w:t>
                  </w:r>
                </w:p>
              </w:tc>
            </w:tr>
          </w:tbl>
          <w:p>
            <w:pPr>
              <w:jc w:val="center"/>
            </w:pPr>
            <w:pPr>
              <w:jc w:val="start"/>
              <w:spacing w:before="200"/>
              <w:pStyle w:val="ImageCaption"/>
            </w:pPr>
            <w:r>
              <w:t xml:space="preserve">Table S 17: Adjusted Rand Index (ARI) between Walktrap-derived communities and Louvain-derived communities, by phase and threshold. ARI = 1.0 indicates identical partitions; ARI ≈ 0 indicates agreement no better than chance.</w:t>
            </w:r>
          </w:p>
          <w:bookmarkEnd w:id="97"/>
        </w:tc>
      </w:tr>
    </w:tbl>
    <w:bookmarkEnd w:id="98"/>
    <w:bookmarkEnd w:id="99"/>
    <w:bookmarkStart w:id="102" w:name="sec-s6-5"/>
    <w:p>
      <w:pPr>
        <w:pStyle w:val="Heading2"/>
      </w:pPr>
      <w:r>
        <w:t xml:space="preserve">S1.6.5 PerMANOVA Comparison</w:t>
      </w:r>
    </w:p>
    <w:bookmarkStart w:id="101" w:name="rationale-9"/>
    <w:p>
      <w:pPr>
        <w:pStyle w:val="Heading3"/>
      </w:pPr>
      <w:r>
        <w:t xml:space="preserve">Rationale</w:t>
      </w:r>
    </w:p>
    <w:p>
      <w:pPr>
        <w:pStyle w:val="FirstParagraph"/>
      </w:pPr>
      <w:r>
        <w:t xml:space="preserve">To further evaluate how algorithmically detected communities compare to the manual restricted/broad grouping, we run PerMANOVA tests using the group assignments from each community detection algorithm. This provides insight into whether the structure identified by different algorithms explains significant variance in sign composition, similar to the existing Louvain-based PerMANOVA comparison.</w:t>
      </w:r>
    </w:p>
    <w:p>
      <w:pPr>
        <w:pStyle w:val="BodyText"/>
      </w:pPr>
      <w:r>
        <w:t xml:space="preserve">We compute PerMANOVA R² and p-values for each algorithm at each threshold, comparing them to the values from the manual grouping.</w:t>
      </w:r>
    </w:p>
    <w:tbl>
      <w:tblPr>
        <w:tblStyle w:val="Table"/>
        <w:tblW w:type="pct" w:w="5000"/>
        <w:tblLook w:firstRow="0" w:lastRow="0" w:firstColumn="0" w:lastColumn="0" w:noHBand="0" w:noVBand="0" w:val="0000"/>
        <w:jc w:val="start"/>
        <w:tblLayout w:type="fixed"/>
      </w:tblPr>
      <w:tblGrid>
        <w:gridCol w:w="7920"/>
      </w:tblGrid>
      <w:tr>
        <w:tc>
          <w:tcPr/>
          <w:bookmarkStart w:id="100" w:name="tbl-permanova-comparison"/>
          <w:tbl>
            <w:tblPr>
              <w:tblStyle w:val="Table"/>
              <w:tblW w:type="pct" w:w="5000"/>
              <w:tblLook w:firstRow="1" w:lastRow="0" w:firstColumn="0" w:lastColumn="0" w:noHBand="0" w:noVBand="0" w:val="0020"/>
              <w:jc w:val="start"/>
              <w:tblLayout w:type="fixed"/>
            </w:tblPr>
            <w:tblGrid>
              <w:gridCol w:w="602"/>
              <w:gridCol w:w="860"/>
              <w:gridCol w:w="860"/>
              <w:gridCol w:w="860"/>
              <w:gridCol w:w="1119"/>
              <w:gridCol w:w="774"/>
              <w:gridCol w:w="1033"/>
              <w:gridCol w:w="774"/>
              <w:gridCol w:w="1033"/>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left"/>
                    <w:jc w:val="center"/>
                  </w:pPr>
                  <w:r>
                    <w:t xml:space="preserve">Algorithm</w:t>
                  </w:r>
                </w:p>
              </w:tc>
              <w:tc>
                <w:tcPr/>
                <w:p>
                  <w:pPr>
                    <w:pStyle w:val="Compact"/>
                    <w:jc w:val="right"/>
                    <w:jc w:val="center"/>
                  </w:pPr>
                  <w:r>
                    <w:t xml:space="preserve">Manual R²</w:t>
                  </w:r>
                </w:p>
              </w:tc>
              <w:tc>
                <w:tcPr/>
                <w:p>
                  <w:pPr>
                    <w:pStyle w:val="Compact"/>
                    <w:jc w:val="right"/>
                    <w:jc w:val="center"/>
                  </w:pPr>
                  <w:r>
                    <w:t xml:space="preserve">Algorithm R²</w:t>
                  </w:r>
                </w:p>
              </w:tc>
              <w:tc>
                <w:tcPr/>
                <w:p>
                  <w:pPr>
                    <w:pStyle w:val="Compact"/>
                    <w:jc w:val="right"/>
                    <w:jc w:val="center"/>
                  </w:pPr>
                  <w:r>
                    <w:t xml:space="preserve">Manual F</w:t>
                  </w:r>
                </w:p>
              </w:tc>
              <w:tc>
                <w:tcPr/>
                <w:p>
                  <w:pPr>
                    <w:pStyle w:val="Compact"/>
                    <w:jc w:val="right"/>
                    <w:jc w:val="center"/>
                  </w:pPr>
                  <w:r>
                    <w:t xml:space="preserve">Algorithm F</w:t>
                  </w:r>
                </w:p>
              </w:tc>
              <w:tc>
                <w:tcPr/>
                <w:p>
                  <w:pPr>
                    <w:pStyle w:val="Compact"/>
                    <w:jc w:val="right"/>
                    <w:jc w:val="center"/>
                  </w:pPr>
                  <w:r>
                    <w:t xml:space="preserve">Manual p</w:t>
                  </w:r>
                </w:p>
              </w:tc>
              <w:tc>
                <w:tcPr/>
                <w:p>
                  <w:pPr>
                    <w:pStyle w:val="Compact"/>
                    <w:jc w:val="right"/>
                    <w:jc w:val="center"/>
                  </w:pPr>
                  <w:r>
                    <w:t xml:space="preserve">Algorithm p</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0.335</w:t>
                  </w:r>
                </w:p>
              </w:tc>
              <w:tc>
                <w:tcPr/>
                <w:p>
                  <w:pPr>
                    <w:pStyle w:val="Compact"/>
                    <w:jc w:val="right"/>
                    <w:jc w:val="center"/>
                  </w:pPr>
                  <w:r>
                    <w:t xml:space="preserve">NA</w:t>
                  </w:r>
                </w:p>
              </w:tc>
              <w:tc>
                <w:tcPr/>
                <w:p>
                  <w:pPr>
                    <w:pStyle w:val="Compact"/>
                    <w:jc w:val="right"/>
                    <w:jc w:val="center"/>
                  </w:pPr>
                  <w:r>
                    <w:t xml:space="preserve">4.279</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0.082</w:t>
                  </w:r>
                </w:p>
              </w:tc>
              <w:tc>
                <w:tcPr/>
                <w:p>
                  <w:pPr>
                    <w:pStyle w:val="Compact"/>
                    <w:jc w:val="right"/>
                    <w:jc w:val="center"/>
                  </w:pPr>
                  <w:r>
                    <w:t xml:space="preserve">NA</w:t>
                  </w:r>
                </w:p>
              </w:tc>
              <w:tc>
                <w:tcPr/>
                <w:p>
                  <w:pPr>
                    <w:pStyle w:val="Compact"/>
                    <w:jc w:val="right"/>
                    <w:jc w:val="center"/>
                  </w:pPr>
                  <w:r>
                    <w:t xml:space="preserve">1.611</w:t>
                  </w:r>
                </w:p>
              </w:tc>
              <w:tc>
                <w:tcPr/>
                <w:p>
                  <w:pPr>
                    <w:pStyle w:val="Compact"/>
                    <w:jc w:val="right"/>
                    <w:jc w:val="center"/>
                  </w:pPr>
                  <w:r>
                    <w:t xml:space="preserve">NA</w:t>
                  </w:r>
                </w:p>
              </w:tc>
              <w:tc>
                <w:tcPr/>
                <w:p>
                  <w:pPr>
                    <w:pStyle w:val="Compact"/>
                    <w:jc w:val="right"/>
                    <w:jc w:val="center"/>
                  </w:pPr>
                  <w:r>
                    <w:t xml:space="preserve">0.043</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0.369</w:t>
                  </w:r>
                </w:p>
              </w:tc>
              <w:tc>
                <w:tcPr/>
                <w:p>
                  <w:pPr>
                    <w:pStyle w:val="Compact"/>
                    <w:jc w:val="right"/>
                    <w:jc w:val="center"/>
                  </w:pPr>
                  <w:r>
                    <w:t xml:space="preserve">NA</w:t>
                  </w:r>
                </w:p>
              </w:tc>
              <w:tc>
                <w:tcPr/>
                <w:p>
                  <w:pPr>
                    <w:pStyle w:val="Compact"/>
                    <w:jc w:val="right"/>
                    <w:jc w:val="center"/>
                  </w:pPr>
                  <w:r>
                    <w:t xml:space="preserve">3.114</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0.494</w:t>
                  </w:r>
                </w:p>
              </w:tc>
              <w:tc>
                <w:tcPr/>
                <w:p>
                  <w:pPr>
                    <w:pStyle w:val="Compact"/>
                    <w:jc w:val="right"/>
                    <w:jc w:val="center"/>
                  </w:pPr>
                  <w:r>
                    <w:t xml:space="preserve">NA</w:t>
                  </w:r>
                </w:p>
              </w:tc>
              <w:tc>
                <w:tcPr/>
                <w:p>
                  <w:pPr>
                    <w:pStyle w:val="Compact"/>
                    <w:jc w:val="right"/>
                    <w:jc w:val="center"/>
                  </w:pPr>
                  <w:r>
                    <w:t xml:space="preserve">2.923</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0.279</w:t>
                  </w:r>
                </w:p>
              </w:tc>
              <w:tc>
                <w:tcPr/>
                <w:p>
                  <w:pPr>
                    <w:pStyle w:val="Compact"/>
                    <w:jc w:val="right"/>
                    <w:jc w:val="center"/>
                  </w:pPr>
                  <w:r>
                    <w:t xml:space="preserve">NA</w:t>
                  </w:r>
                </w:p>
              </w:tc>
              <w:tc>
                <w:tcPr/>
                <w:p>
                  <w:pPr>
                    <w:pStyle w:val="Compact"/>
                    <w:jc w:val="right"/>
                    <w:jc w:val="center"/>
                  </w:pPr>
                  <w:r>
                    <w:t xml:space="preserve">2.703</w:t>
                  </w:r>
                </w:p>
              </w:tc>
              <w:tc>
                <w:tcPr/>
                <w:p>
                  <w:pPr>
                    <w:pStyle w:val="Compact"/>
                    <w:jc w:val="right"/>
                    <w:jc w:val="center"/>
                  </w:pPr>
                  <w:r>
                    <w:t xml:space="preserve">NA</w:t>
                  </w:r>
                </w:p>
              </w:tc>
              <w:tc>
                <w:tcPr/>
                <w:p>
                  <w:pPr>
                    <w:pStyle w:val="Compact"/>
                    <w:jc w:val="right"/>
                    <w:jc w:val="center"/>
                  </w:pPr>
                  <w:r>
                    <w:t xml:space="preserve">0.021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louvain</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infomap</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leiden</w:t>
                  </w:r>
                </w:p>
              </w:tc>
              <w:tc>
                <w:tcPr/>
                <w:p>
                  <w:pPr>
                    <w:pStyle w:val="Compact"/>
                    <w:jc w:val="right"/>
                    <w:jc w:val="center"/>
                  </w:pPr>
                  <w:r>
                    <w:t xml:space="preserve">0.196</w:t>
                  </w:r>
                </w:p>
              </w:tc>
              <w:tc>
                <w:tcPr/>
                <w:p>
                  <w:pPr>
                    <w:pStyle w:val="Compact"/>
                    <w:jc w:val="right"/>
                    <w:jc w:val="center"/>
                  </w:pPr>
                  <w:r>
                    <w:t xml:space="preserve">0.164</w:t>
                  </w:r>
                </w:p>
              </w:tc>
              <w:tc>
                <w:tcPr/>
                <w:p>
                  <w:pPr>
                    <w:pStyle w:val="Compact"/>
                    <w:jc w:val="right"/>
                    <w:jc w:val="center"/>
                  </w:pPr>
                  <w:r>
                    <w:t xml:space="preserve">4.382</w:t>
                  </w:r>
                </w:p>
              </w:tc>
              <w:tc>
                <w:tcPr/>
                <w:p>
                  <w:pPr>
                    <w:pStyle w:val="Compact"/>
                    <w:jc w:val="right"/>
                    <w:jc w:val="center"/>
                  </w:pPr>
                  <w:r>
                    <w:t xml:space="preserve">1.662</w:t>
                  </w:r>
                </w:p>
              </w:tc>
              <w:tc>
                <w:tcPr/>
                <w:p>
                  <w:pPr>
                    <w:pStyle w:val="Compact"/>
                    <w:jc w:val="right"/>
                    <w:jc w:val="center"/>
                  </w:pPr>
                  <w:r>
                    <w:t xml:space="preserve">0.001</w:t>
                  </w:r>
                </w:p>
              </w:tc>
              <w:tc>
                <w:tcPr/>
                <w:p>
                  <w:pPr>
                    <w:pStyle w:val="Compact"/>
                    <w:jc w:val="right"/>
                    <w:jc w:val="center"/>
                  </w:pPr>
                  <w:r>
                    <w:t xml:space="preserve">0.006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walktrap</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louvain</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infomap</w:t>
                  </w:r>
                </w:p>
              </w:tc>
              <w:tc>
                <w:tcPr/>
                <w:p>
                  <w:pPr>
                    <w:pStyle w:val="Compact"/>
                    <w:jc w:val="right"/>
                    <w:jc w:val="center"/>
                  </w:pPr>
                  <w:r>
                    <w:t xml:space="preserve">0.223</w:t>
                  </w:r>
                </w:p>
              </w:tc>
              <w:tc>
                <w:tcPr/>
                <w:p>
                  <w:pPr>
                    <w:pStyle w:val="Compact"/>
                    <w:jc w:val="right"/>
                    <w:jc w:val="center"/>
                  </w:pPr>
                  <w:r>
                    <w:t xml:space="preserve">NA</w:t>
                  </w:r>
                </w:p>
              </w:tc>
              <w:tc>
                <w:tcPr/>
                <w:p>
                  <w:pPr>
                    <w:pStyle w:val="Compact"/>
                    <w:jc w:val="right"/>
                    <w:jc w:val="center"/>
                  </w:pPr>
                  <w:r>
                    <w:t xml:space="preserve">2.008</w:t>
                  </w:r>
                </w:p>
              </w:tc>
              <w:tc>
                <w:tcPr/>
                <w:p>
                  <w:pPr>
                    <w:pStyle w:val="Compact"/>
                    <w:jc w:val="right"/>
                    <w:jc w:val="center"/>
                  </w:pPr>
                  <w:r>
                    <w:t xml:space="preserve">NA</w:t>
                  </w:r>
                </w:p>
              </w:tc>
              <w:tc>
                <w:tcPr/>
                <w:p>
                  <w:pPr>
                    <w:pStyle w:val="Compact"/>
                    <w:jc w:val="right"/>
                    <w:jc w:val="center"/>
                  </w:pPr>
                  <w:r>
                    <w:t xml:space="preserve">0.076</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leiden</w:t>
                  </w:r>
                </w:p>
              </w:tc>
              <w:tc>
                <w:tcPr/>
                <w:p>
                  <w:pPr>
                    <w:pStyle w:val="Compact"/>
                    <w:jc w:val="right"/>
                    <w:jc w:val="center"/>
                  </w:pPr>
                  <w:r>
                    <w:t xml:space="preserve">0.223</w:t>
                  </w:r>
                </w:p>
              </w:tc>
              <w:tc>
                <w:tcPr/>
                <w:p>
                  <w:pPr>
                    <w:pStyle w:val="Compact"/>
                    <w:jc w:val="right"/>
                    <w:jc w:val="center"/>
                  </w:pPr>
                  <w:r>
                    <w:t xml:space="preserve">NA</w:t>
                  </w:r>
                </w:p>
              </w:tc>
              <w:tc>
                <w:tcPr/>
                <w:p>
                  <w:pPr>
                    <w:pStyle w:val="Compact"/>
                    <w:jc w:val="right"/>
                    <w:jc w:val="center"/>
                  </w:pPr>
                  <w:r>
                    <w:t xml:space="preserve">2.008</w:t>
                  </w:r>
                </w:p>
              </w:tc>
              <w:tc>
                <w:tcPr/>
                <w:p>
                  <w:pPr>
                    <w:pStyle w:val="Compact"/>
                    <w:jc w:val="right"/>
                    <w:jc w:val="center"/>
                  </w:pPr>
                  <w:r>
                    <w:t xml:space="preserve">NA</w:t>
                  </w:r>
                </w:p>
              </w:tc>
              <w:tc>
                <w:tcPr/>
                <w:p>
                  <w:pPr>
                    <w:pStyle w:val="Compact"/>
                    <w:jc w:val="right"/>
                    <w:jc w:val="center"/>
                  </w:pPr>
                  <w:r>
                    <w:t xml:space="preserve">0.076</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walktrap</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0.495</w:t>
                  </w:r>
                </w:p>
              </w:tc>
              <w:tc>
                <w:tcPr/>
                <w:p>
                  <w:pPr>
                    <w:pStyle w:val="Compact"/>
                    <w:jc w:val="right"/>
                    <w:jc w:val="center"/>
                  </w:pPr>
                  <w:r>
                    <w:t xml:space="preserve">NA</w:t>
                  </w:r>
                </w:p>
              </w:tc>
              <w:tc>
                <w:tcPr/>
                <w:p>
                  <w:pPr>
                    <w:pStyle w:val="Compact"/>
                    <w:jc w:val="right"/>
                    <w:jc w:val="center"/>
                  </w:pPr>
                  <w:r>
                    <w:t xml:space="preserve">3.673</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0.356</w:t>
                  </w:r>
                </w:p>
              </w:tc>
              <w:tc>
                <w:tcPr/>
                <w:p>
                  <w:pPr>
                    <w:pStyle w:val="Compact"/>
                    <w:jc w:val="right"/>
                    <w:jc w:val="center"/>
                  </w:pPr>
                  <w:r>
                    <w:t xml:space="preserve">NA</w:t>
                  </w:r>
                </w:p>
              </w:tc>
              <w:tc>
                <w:tcPr/>
                <w:p>
                  <w:pPr>
                    <w:pStyle w:val="Compact"/>
                    <w:jc w:val="right"/>
                    <w:jc w:val="center"/>
                  </w:pPr>
                  <w:r>
                    <w:t xml:space="preserve">2.945</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0.164</w:t>
                  </w:r>
                </w:p>
              </w:tc>
              <w:tc>
                <w:tcPr/>
                <w:p>
                  <w:pPr>
                    <w:pStyle w:val="Compact"/>
                    <w:jc w:val="right"/>
                    <w:jc w:val="center"/>
                  </w:pPr>
                  <w:r>
                    <w:t xml:space="preserve">NA</w:t>
                  </w:r>
                </w:p>
              </w:tc>
              <w:tc>
                <w:tcPr/>
                <w:p>
                  <w:pPr>
                    <w:pStyle w:val="Compact"/>
                    <w:jc w:val="right"/>
                    <w:jc w:val="center"/>
                  </w:pPr>
                  <w:r>
                    <w:t xml:space="preserve">1.662</w:t>
                  </w:r>
                </w:p>
              </w:tc>
              <w:tc>
                <w:tcPr/>
                <w:p>
                  <w:pPr>
                    <w:pStyle w:val="Compact"/>
                    <w:jc w:val="right"/>
                    <w:jc w:val="center"/>
                  </w:pPr>
                  <w:r>
                    <w:t xml:space="preserve">NA</w:t>
                  </w:r>
                </w:p>
              </w:tc>
              <w:tc>
                <w:tcPr/>
                <w:p>
                  <w:pPr>
                    <w:pStyle w:val="Compact"/>
                    <w:jc w:val="right"/>
                    <w:jc w:val="center"/>
                  </w:pPr>
                  <w:r>
                    <w:t xml:space="preserve">0.006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0.356</w:t>
                  </w:r>
                </w:p>
              </w:tc>
              <w:tc>
                <w:tcPr/>
                <w:p>
                  <w:pPr>
                    <w:pStyle w:val="Compact"/>
                    <w:jc w:val="right"/>
                    <w:jc w:val="center"/>
                  </w:pPr>
                  <w:r>
                    <w:t xml:space="preserve">NA</w:t>
                  </w:r>
                </w:p>
              </w:tc>
              <w:tc>
                <w:tcPr/>
                <w:p>
                  <w:pPr>
                    <w:pStyle w:val="Compact"/>
                    <w:jc w:val="right"/>
                    <w:jc w:val="center"/>
                  </w:pPr>
                  <w:r>
                    <w:t xml:space="preserve">2.945</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0.599</w:t>
                  </w:r>
                </w:p>
              </w:tc>
              <w:tc>
                <w:tcPr/>
                <w:p>
                  <w:pPr>
                    <w:pStyle w:val="Compact"/>
                    <w:jc w:val="right"/>
                    <w:jc w:val="center"/>
                  </w:pPr>
                  <w:r>
                    <w:t xml:space="preserve">NA</w:t>
                  </w:r>
                </w:p>
              </w:tc>
              <w:tc>
                <w:tcPr/>
                <w:p>
                  <w:pPr>
                    <w:pStyle w:val="Compact"/>
                    <w:jc w:val="right"/>
                    <w:jc w:val="center"/>
                  </w:pPr>
                  <w:r>
                    <w:t xml:space="preserve">2.485</w:t>
                  </w:r>
                </w:p>
              </w:tc>
              <w:tc>
                <w:tcPr/>
                <w:p>
                  <w:pPr>
                    <w:pStyle w:val="Compact"/>
                    <w:jc w:val="right"/>
                    <w:jc w:val="center"/>
                  </w:pPr>
                  <w:r>
                    <w:t xml:space="preserve">NA</w:t>
                  </w:r>
                </w:p>
              </w:tc>
              <w:tc>
                <w:tcPr/>
                <w:p>
                  <w:pPr>
                    <w:pStyle w:val="Compact"/>
                    <w:jc w:val="right"/>
                    <w:jc w:val="center"/>
                  </w:pPr>
                  <w:r>
                    <w:t xml:space="preserve">0.003</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0.329</w:t>
                  </w:r>
                </w:p>
              </w:tc>
              <w:tc>
                <w:tcPr/>
                <w:p>
                  <w:pPr>
                    <w:pStyle w:val="Compact"/>
                    <w:jc w:val="right"/>
                    <w:jc w:val="center"/>
                  </w:pPr>
                  <w:r>
                    <w:t xml:space="preserve">NA</w:t>
                  </w:r>
                </w:p>
              </w:tc>
              <w:tc>
                <w:tcPr/>
                <w:p>
                  <w:pPr>
                    <w:pStyle w:val="Compact"/>
                    <w:jc w:val="right"/>
                    <w:jc w:val="center"/>
                  </w:pPr>
                  <w:r>
                    <w:t xml:space="preserve">1.468</w:t>
                  </w:r>
                </w:p>
              </w:tc>
              <w:tc>
                <w:tcPr/>
                <w:p>
                  <w:pPr>
                    <w:pStyle w:val="Compact"/>
                    <w:jc w:val="right"/>
                    <w:jc w:val="center"/>
                  </w:pPr>
                  <w:r>
                    <w:t xml:space="preserve">NA</w:t>
                  </w:r>
                </w:p>
              </w:tc>
              <w:tc>
                <w:tcPr/>
                <w:p>
                  <w:pPr>
                    <w:pStyle w:val="Compact"/>
                    <w:jc w:val="right"/>
                    <w:jc w:val="center"/>
                  </w:pPr>
                  <w:r>
                    <w:t xml:space="preserve">0.036</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0.329</w:t>
                  </w:r>
                </w:p>
              </w:tc>
              <w:tc>
                <w:tcPr/>
                <w:p>
                  <w:pPr>
                    <w:pStyle w:val="Compact"/>
                    <w:jc w:val="right"/>
                    <w:jc w:val="center"/>
                  </w:pPr>
                  <w:r>
                    <w:t xml:space="preserve">NA</w:t>
                  </w:r>
                </w:p>
              </w:tc>
              <w:tc>
                <w:tcPr/>
                <w:p>
                  <w:pPr>
                    <w:pStyle w:val="Compact"/>
                    <w:jc w:val="right"/>
                    <w:jc w:val="center"/>
                  </w:pPr>
                  <w:r>
                    <w:t xml:space="preserve">1.468</w:t>
                  </w:r>
                </w:p>
              </w:tc>
              <w:tc>
                <w:tcPr/>
                <w:p>
                  <w:pPr>
                    <w:pStyle w:val="Compact"/>
                    <w:jc w:val="right"/>
                    <w:jc w:val="center"/>
                  </w:pPr>
                  <w:r>
                    <w:t xml:space="preserve">NA</w:t>
                  </w:r>
                </w:p>
              </w:tc>
              <w:tc>
                <w:tcPr/>
                <w:p>
                  <w:pPr>
                    <w:pStyle w:val="Compact"/>
                    <w:jc w:val="right"/>
                    <w:jc w:val="center"/>
                  </w:pPr>
                  <w:r>
                    <w:t xml:space="preserve">0.036</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0.599</w:t>
                  </w:r>
                </w:p>
              </w:tc>
              <w:tc>
                <w:tcPr/>
                <w:p>
                  <w:pPr>
                    <w:pStyle w:val="Compact"/>
                    <w:jc w:val="right"/>
                    <w:jc w:val="center"/>
                  </w:pPr>
                  <w:r>
                    <w:t xml:space="preserve">NA</w:t>
                  </w:r>
                </w:p>
              </w:tc>
              <w:tc>
                <w:tcPr/>
                <w:p>
                  <w:pPr>
                    <w:pStyle w:val="Compact"/>
                    <w:jc w:val="right"/>
                    <w:jc w:val="center"/>
                  </w:pPr>
                  <w:r>
                    <w:t xml:space="preserve">2.485</w:t>
                  </w:r>
                </w:p>
              </w:tc>
              <w:tc>
                <w:tcPr/>
                <w:p>
                  <w:pPr>
                    <w:pStyle w:val="Compact"/>
                    <w:jc w:val="right"/>
                    <w:jc w:val="center"/>
                  </w:pPr>
                  <w:r>
                    <w:t xml:space="preserve">NA</w:t>
                  </w:r>
                </w:p>
              </w:tc>
              <w:tc>
                <w:tcPr/>
                <w:p>
                  <w:pPr>
                    <w:pStyle w:val="Compact"/>
                    <w:jc w:val="right"/>
                    <w:jc w:val="center"/>
                  </w:pPr>
                  <w:r>
                    <w:t xml:space="preserve">0.003</w:t>
                  </w:r>
                </w:p>
              </w:tc>
            </w:tr>
          </w:tbl>
          <w:p>
            <w:pPr>
              <w:jc w:val="center"/>
            </w:pPr>
            <w:pPr>
              <w:jc w:val="start"/>
              <w:spacing w:before="200"/>
              <w:pStyle w:val="ImageCaption"/>
            </w:pPr>
            <w:r>
              <w:t xml:space="preserve">Table S 18: PerMANOVA comparison: manual (restricted/broad) grouping versus algorithmically derived groupings. R² and pseudo-F for each phase, threshold, and community detection algorithm.</w:t>
            </w:r>
          </w:p>
          <w:bookmarkEnd w:id="100"/>
        </w:tc>
      </w:tr>
    </w:tbl>
    <w:bookmarkEnd w:id="101"/>
    <w:bookmarkEnd w:id="102"/>
    <w:bookmarkStart w:id="105" w:name="sec-s6-6"/>
    <w:p>
      <w:pPr>
        <w:pStyle w:val="Heading2"/>
      </w:pPr>
      <w:r>
        <w:t xml:space="preserve">S1.6.6 Cross-Algorithm Comparison</w:t>
      </w:r>
    </w:p>
    <w:p>
      <w:pPr>
        <w:pStyle w:val="FirstParagraph"/>
      </w:pPr>
      <w:r>
        <w:t xml:space="preserve">Community counts and cross-algorithm agreement are reported in the generated tables above (</w:t>
      </w:r>
      <w:hyperlink w:anchor="tbl-louvain-groups">
        <w:r>
          <w:rPr>
            <w:rStyle w:val="Hyperlink"/>
          </w:rPr>
          <w:t xml:space="preserve">Table S 13</w:t>
        </w:r>
      </w:hyperlink>
      <w:r>
        <w:t xml:space="preserve">,</w:t>
      </w:r>
      <w:r>
        <w:t xml:space="preserve"> </w:t>
      </w:r>
      <w:hyperlink w:anchor="tbl-ari-louvain">
        <w:r>
          <w:rPr>
            <w:rStyle w:val="Hyperlink"/>
          </w:rPr>
          <w:t xml:space="preserve">Table S 14</w:t>
        </w:r>
      </w:hyperlink>
      <w:r>
        <w:t xml:space="preserve">,</w:t>
      </w:r>
      <w:r>
        <w:t xml:space="preserve"> </w:t>
      </w:r>
      <w:hyperlink w:anchor="tbl-ari-infomap">
        <w:r>
          <w:rPr>
            <w:rStyle w:val="Hyperlink"/>
          </w:rPr>
          <w:t xml:space="preserve">Table S 15</w:t>
        </w:r>
      </w:hyperlink>
      <w:r>
        <w:t xml:space="preserve">,</w:t>
      </w:r>
      <w:r>
        <w:t xml:space="preserve"> </w:t>
      </w:r>
      <w:hyperlink w:anchor="tbl-ari-leiden">
        <w:r>
          <w:rPr>
            <w:rStyle w:val="Hyperlink"/>
          </w:rPr>
          <w:t xml:space="preserve">Table S 16</w:t>
        </w:r>
      </w:hyperlink>
      <w:r>
        <w:t xml:space="preserve">,</w:t>
      </w:r>
      <w:r>
        <w:t xml:space="preserve"> </w:t>
      </w:r>
      <w:hyperlink w:anchor="tbl-ari-walktrap">
        <w:r>
          <w:rPr>
            <w:rStyle w:val="Hyperlink"/>
          </w:rPr>
          <w:t xml:space="preserve">Table S 17</w:t>
        </w:r>
      </w:hyperlink>
      <w:r>
        <w:t xml:space="preserve">,</w:t>
      </w:r>
      <w:r>
        <w:t xml:space="preserve"> </w:t>
      </w:r>
      <w:hyperlink w:anchor="tbl-permanova-comparison">
        <w:r>
          <w:rPr>
            <w:rStyle w:val="Hyperlink"/>
          </w:rPr>
          <w:t xml:space="preserve">Table S 18</w:t>
        </w:r>
      </w:hyperlink>
      <w:r>
        <w:t xml:space="preserve">). Counts below are read from those tables at render time, not hardcoded, so the text cannot drift from the computation.</w:t>
      </w:r>
    </w:p>
    <w:bookmarkStart w:id="103" w:name="X476baf9f10e0f49802cc91d92480ab0b2880e1b"/>
    <w:p>
      <w:pPr>
        <w:pStyle w:val="Heading3"/>
      </w:pPr>
      <w:r>
        <w:t xml:space="preserve">Interpretation of Cross-Algorithm Comparisons</w:t>
      </w:r>
    </w:p>
    <w:p>
      <w:pPr>
        <w:pStyle w:val="FirstParagraph"/>
      </w:pPr>
      <w:r>
        <w:t xml:space="preserve">The results reveal distinct patterns of agreement and divergence among the four community detection algorithms:</w:t>
      </w:r>
    </w:p>
    <w:p>
      <w:pPr>
        <w:pStyle w:val="BodyText"/>
      </w:pPr>
      <w:r>
        <w:rPr>
          <w:bCs/>
          <w:b/>
        </w:rPr>
        <w:t xml:space="preserve">Algorithm Divergence:</w:t>
      </w:r>
      <w:r>
        <w:t xml:space="preserve"> </w:t>
      </w:r>
      <w:r>
        <w:t xml:space="preserve">-</w:t>
      </w:r>
      <w:r>
        <w:t xml:space="preserve"> </w:t>
      </w:r>
      <w:r>
        <w:rPr>
          <w:bCs/>
          <w:b/>
        </w:rPr>
        <w:t xml:space="preserve">Infomap</w:t>
      </w:r>
      <w:r>
        <w:t xml:space="preserve"> </w:t>
      </w:r>
      <w:r>
        <w:t xml:space="preserve">produces the most conservative results, often collapsing networks into fewer communities than Louvain, especially in the sparser Aur-P2 phase.</w:t>
      </w:r>
      <w:r>
        <w:t xml:space="preserve"> </w:t>
      </w:r>
      <w:r>
        <w:t xml:space="preserve">-</w:t>
      </w:r>
      <w:r>
        <w:t xml:space="preserve"> </w:t>
      </w:r>
      <w:r>
        <w:rPr>
          <w:bCs/>
          <w:b/>
        </w:rPr>
        <w:t xml:space="preserve">Leiden</w:t>
      </w:r>
      <w:r>
        <w:t xml:space="preserve"> </w:t>
      </w:r>
      <w:r>
        <w:t xml:space="preserve">addresses Louvain’s known limitations but still differs from Louvain in key cases, particularly at threshold 0.2 in Aur-P2 where Leiden finds 1 community vs. Louvain’s 3.</w:t>
      </w:r>
      <w:r>
        <w:t xml:space="preserve"> </w:t>
      </w:r>
      <w:r>
        <w:t xml:space="preserve">-</w:t>
      </w:r>
      <w:r>
        <w:t xml:space="preserve"> </w:t>
      </w:r>
      <w:r>
        <w:rPr>
          <w:bCs/>
          <w:b/>
        </w:rPr>
        <w:t xml:space="preserve">Walktrap</w:t>
      </w:r>
      <w:r>
        <w:t xml:space="preserve"> </w:t>
      </w:r>
      <w:r>
        <w:t xml:space="preserve">shows variable behavior: at threshold 0.2 it perfectly matches Louvain (ARI=1.000) in both phases, but differs at other thresholds.</w:t>
      </w:r>
    </w:p>
    <w:p>
      <w:pPr>
        <w:pStyle w:val="BodyText"/>
      </w:pPr>
      <w:r>
        <w:rPr>
          <w:bCs/>
          <w:b/>
        </w:rPr>
        <w:t xml:space="preserve">Phase Differences:</w:t>
      </w:r>
      <w:r>
        <w:t xml:space="preserve"> </w:t>
      </w:r>
      <w:r>
        <w:t xml:space="preserve">-</w:t>
      </w:r>
      <w:r>
        <w:t xml:space="preserve"> </w:t>
      </w:r>
      <w:r>
        <w:rPr>
          <w:bCs/>
          <w:b/>
        </w:rPr>
        <w:t xml:space="preserve">Aur-P1 (well-sampled):</w:t>
      </w:r>
      <w:r>
        <w:t xml:space="preserve"> </w:t>
      </w:r>
      <w:r>
        <w:t xml:space="preserve">More algorithmic convergence, suggesting the restricted/broad structure is robust across different optimization criteria.</w:t>
      </w:r>
      <w:r>
        <w:t xml:space="preserve"> </w:t>
      </w:r>
      <w:r>
        <w:t xml:space="preserve">-</w:t>
      </w:r>
      <w:r>
        <w:t xml:space="preserve"> </w:t>
      </w:r>
      <w:r>
        <w:rPr>
          <w:bCs/>
          <w:b/>
        </w:rPr>
        <w:t xml:space="preserve">Aur-P2 (small sample):</w:t>
      </w:r>
      <w:r>
        <w:t xml:space="preserve"> </w:t>
      </w:r>
      <w:r>
        <w:t xml:space="preserve">Substantial algorithm divergence, indicating that conclusions about community structure in this phase are highly sensitive to the chosen algorithm.</w:t>
      </w:r>
    </w:p>
    <w:p>
      <w:pPr>
        <w:pStyle w:val="BodyText"/>
      </w:pPr>
      <w:r>
        <w:rPr>
          <w:bCs/>
          <w:b/>
        </w:rPr>
        <w:t xml:space="preserve">Threshold Sensitivity:</w:t>
      </w:r>
      <w:r>
        <w:t xml:space="preserve"> </w:t>
      </w:r>
      <w:r>
        <w:t xml:space="preserve">The choice of threshold interacts strongly with algorithm performance. At the main-text threshold (0.2), algorithms either converge (Infomap vs Louvain in Aur-P1, Walktrap vs Louvain in both phases) or diverge substantially (Leiden vs all others in Aur-P2).</w:t>
      </w:r>
    </w:p>
    <w:bookmarkEnd w:id="103"/>
    <w:bookmarkStart w:id="104" w:name="implications-for-the-main-analysis"/>
    <w:p>
      <w:pPr>
        <w:pStyle w:val="Heading3"/>
      </w:pPr>
      <w:r>
        <w:t xml:space="preserve">Implications for the Main Analysis</w:t>
      </w:r>
    </w:p>
    <w:p>
      <w:pPr>
        <w:pStyle w:val="FirstParagraph"/>
      </w:pPr>
      <w:r>
        <w:t xml:space="preserve">These results have important implications for interpreting the manual restricted/broad grouping:</w:t>
      </w:r>
    </w:p>
    <w:p>
      <w:pPr>
        <w:numPr>
          <w:ilvl w:val="0"/>
          <w:numId w:val="1008"/>
        </w:numPr>
      </w:pPr>
      <w:r>
        <w:rPr>
          <w:bCs/>
          <w:b/>
        </w:rPr>
        <w:t xml:space="preserve">Algorithm choice matters for small, sparse networks.</w:t>
      </w:r>
      <w:r>
        <w:t xml:space="preserve"> </w:t>
      </w:r>
      <w:r>
        <w:t xml:space="preserve">In Aur-P2’s small sample (9 sites), the algorithm choice fundamentally alters conclusions about community structure.</w:t>
      </w:r>
    </w:p>
    <w:p>
      <w:pPr>
        <w:numPr>
          <w:ilvl w:val="0"/>
          <w:numId w:val="1008"/>
        </w:numPr>
      </w:pPr>
      <w:r>
        <w:rPr>
          <w:bCs/>
          <w:b/>
        </w:rPr>
        <w:t xml:space="preserve">The manual two-group split is not universally recovered.</w:t>
      </w:r>
      <w:r>
        <w:t xml:space="preserve"> </w:t>
      </w:r>
      <w:r>
        <w:t xml:space="preserve">While Louvain and Walktrap at threshold 0.2 in Aur-P1 largely recover the manual split, no single algorithm consistently identifies exactly the same partition across all phases.</w:t>
      </w:r>
    </w:p>
    <w:p>
      <w:pPr>
        <w:numPr>
          <w:ilvl w:val="0"/>
          <w:numId w:val="1008"/>
        </w:numPr>
      </w:pPr>
      <w:r>
        <w:rPr>
          <w:bCs/>
          <w:b/>
        </w:rPr>
        <w:t xml:space="preserve">Robustness vs. sensitivity.</w:t>
      </w:r>
      <w:r>
        <w:t xml:space="preserve"> </w:t>
      </w:r>
      <w:r>
        <w:t xml:space="preserve">Some algorithms (particularly Infomap) are more robust but may miss potentially meaningful structure (e.g., in Aur-P2), while others (particularly Walktrap at threshold 0.2) may show strong agreement with Louvain.</w:t>
      </w:r>
    </w:p>
    <w:p>
      <w:pPr>
        <w:numPr>
          <w:ilvl w:val="0"/>
          <w:numId w:val="1008"/>
        </w:numPr>
      </w:pPr>
      <w:r>
        <w:rPr>
          <w:bCs/>
          <w:b/>
        </w:rPr>
        <w:t xml:space="preserve">Complementary insights.</w:t>
      </w:r>
      <w:r>
        <w:t xml:space="preserve"> </w:t>
      </w:r>
      <w:r>
        <w:t xml:space="preserve">Using multiple algorithms provides a more comprehensive view: the convergence across algorithms where found suggests stronger evidence for genuine structure, while algorithm disagreement signals caution about over-interpreting small-sample results.</w:t>
      </w:r>
    </w:p>
    <w:p>
      <w:pPr>
        <w:pStyle w:val="FirstParagraph"/>
      </w:pPr>
      <w:r>
        <w:t xml:space="preserve">These findings suggest that while the restricted/broad dichotomy in Aur-P1 is robust across multiple community detection approaches, the community structure in Aur-P2 is highly algorithm-dependent. This reinforces the main text’s caution about interpreting community structure in small, sparse archaeological networks.</w:t>
      </w:r>
    </w:p>
    <w:bookmarkEnd w:id="104"/>
    <w:bookmarkEnd w:id="105"/>
    <w:bookmarkStart w:id="110" w:name="sec-s6-7"/>
    <w:p>
      <w:pPr>
        <w:pStyle w:val="Heading2"/>
      </w:pPr>
      <w:r>
        <w:t xml:space="preserve">S1.6.7 Interpretation</w:t>
      </w:r>
    </w:p>
    <w:bookmarkStart w:id="106" w:name="X311ce6e9326946e4b76d3509d092d220bd8ae32"/>
    <w:p>
      <w:pPr>
        <w:pStyle w:val="Heading3"/>
      </w:pPr>
      <w:r>
        <w:t xml:space="preserve">Community structure is richer than a binary split</w:t>
      </w:r>
    </w:p>
    <w:p>
      <w:pPr>
        <w:pStyle w:val="FirstParagraph"/>
      </w:pPr>
      <w:r>
        <w:t xml:space="preserve">The Louvain algorithm consistently identifies multiple communities within each phase, never collapsing the data into the binary restricted/broad partition imposed by the manual assignment (</w:t>
      </w:r>
      <w:hyperlink w:anchor="tbl-louvain-groups">
        <w:r>
          <w:rPr>
            <w:rStyle w:val="Hyperlink"/>
          </w:rPr>
          <w:t xml:space="preserve">Table S 13</w:t>
        </w:r>
      </w:hyperlink>
      <w:r>
        <w:t xml:space="preserve">). At the main-text threshold of 0.2, Aur-P1 splits into 4 communities (Group 1 (Abri Pataud, Fumane, Gatzarria, Grotte de la Verpillière I, Grottes de Fonds-de-Forêt, Hohlenstein-Stadel, Labeko Koba, Pod Hradem, Riparo Bombrini); Group 2 (Blanchard, Castanet, Cellier, Geissenklösterle, Grotte du Renne, Hohle Fels, La Ferrassie, Solutré, Vogelherd); Group 3 (Les Cottés); Group 4 (Trou al’Wesse)). The two largest of these map almost exactly onto the manual restricted/broad assignment: the first comprises the nine restricted-range sites and the second nine of the eleven broader-range sites, with Les Cottés and Trou al’Wesse separating as singletons. At threshold 0.1, Aur-P1 collapses to 3 communities, with the broader-range group intact at eleven sites and the restricted-range group divided into two subgroups; at 0.3 the network fragments into 5 communities as weak cross-group edges are lost. Aur-P2 produces 3, 3, and 4 communities at thresholds 0.1, 0.2, and 0.3. The detection of additional structure beyond a binary split is expected: community detection maximises modularity without constraint on the number of groups, so it will partition whenever within-group similarity exceeds between-group similarity by a sufficient margin. The key question is not whether Louvain finds more groups, but whether the manual two-group split captures the dominant axis of variation.</w:t>
      </w:r>
    </w:p>
    <w:bookmarkEnd w:id="106"/>
    <w:bookmarkStart w:id="107" w:name="Xb6eb1a96c2aac37f014aa8a9cc193dd565e4eb4"/>
    <w:p>
      <w:pPr>
        <w:pStyle w:val="Heading3"/>
      </w:pPr>
      <w:r>
        <w:t xml:space="preserve">Manual groups partially reproduce data-driven communities</w:t>
      </w:r>
    </w:p>
    <w:p>
      <w:pPr>
        <w:pStyle w:val="FirstParagraph"/>
      </w:pPr>
      <w:r>
        <w:t xml:space="preserve">The Adjusted Rand Index quantifies agreement between the Louvain partitions and the manual restricted/broad assignment (</w:t>
      </w:r>
      <w:hyperlink w:anchor="tbl-ari-louvain">
        <w:r>
          <w:rPr>
            <w:rStyle w:val="Hyperlink"/>
          </w:rPr>
          <w:t xml:space="preserve">Table S 14</w:t>
        </w:r>
      </w:hyperlink>
      <w:r>
        <w:t xml:space="preserve">). At the main-text threshold of 0.2, ARI values are 0.798 for Aur-P1 and 0.556 for Aur-P2. The Aur-P1 value indicates strong concordance: the manual assignment closely recovers the dominant community structure identified algorithmically, because the two leading Louvain communities coincide almost exactly with the restricted and broad groups. The Aur-P2 value indicates moderate agreement: Louvain’s leading community at 0.2 recovers the broad-range group exactly (Trou Magrite, Bockstein-Törle, and Hohle Fels), while the restricted-range sites are split across two smaller communities (Gargas, Les Rois, Mladeč, and Vindija Cave; La Viña and Sirgenstein Cave). Across thresholds, ARI for Aur-P1 is highest at 0.2 (0.798), remains high at 0.1 (0.787), and drops at 0.3 (0.581) as the network fragments into five communities; for Aur-P2 it is positive but modest (0.556, 0.556, and 0.167). These results indicate that the manual assignment captures a genuine and strong signal in the well-sampled Aur-P1 phase, and that in the small Aur-P2 sample it agrees best with the data-driven structure precisely where the broad-range sites are concerned.</w:t>
      </w:r>
    </w:p>
    <w:bookmarkEnd w:id="107"/>
    <w:bookmarkStart w:id="108" w:name="X36e5bb3c2c8f2c633aabca945bf18b53434c4bf"/>
    <w:p>
      <w:pPr>
        <w:pStyle w:val="Heading3"/>
      </w:pPr>
      <w:r>
        <w:t xml:space="preserve">Louvain-derived groups explain more variance than manual groups</w:t>
      </w:r>
    </w:p>
    <w:p>
      <w:pPr>
        <w:pStyle w:val="FirstParagraph"/>
      </w:pPr>
      <w:r>
        <w:t xml:space="preserve">The PerMANOVA comparison provides the most direct test of whether the main-text results are circular (</w:t>
      </w:r>
      <w:hyperlink w:anchor="tbl-permanova-comparison">
        <w:r>
          <w:rPr>
            <w:rStyle w:val="Hyperlink"/>
          </w:rPr>
          <w:t xml:space="preserve">Table S 18</w:t>
        </w:r>
      </w:hyperlink>
      <w:r>
        <w:t xml:space="preserve">). At the main-text threshold of 0.2, the Louvain-derived grouping yields R² values of 0.356 (Aur-P1) and 0.494 (Aur-P2), compared with the manual-group R² values of 0.196 and 0.223 respectively. In both phases the Louvain grouping explains more of the intersite dissimilarity in sign composition than the manual grouping does , in Aur-P1 R² rises from 0.196 to 0.356 (a factor of 1.82), and in Aur-P2 from 0.223 to 0.494. This pattern holds across thresholds: at 0.1 the Louvain R² values are 0.335 and 0.494; at 0.3 they rise to 0.495 and 0.599 as only the strongest, most structured edges survive. Every Louvain-derived p-value is at or below 0.05 (maximum NA), so the algorithmically detected structure is statistically significant in both phases , including Aur-P2, where the manual-group PerMANOVA is non-significant (p = 0.076). The community structure detected by the algorithm is therefore at least as well differentiated as, and typically better differentiated than, the structure implied by the manual assignment.</w:t>
      </w:r>
    </w:p>
    <w:bookmarkEnd w:id="108"/>
    <w:bookmarkStart w:id="109" w:name="X2a7ab5b6ddbc111f037a228ac48d865d9d2fb2d"/>
    <w:p>
      <w:pPr>
        <w:pStyle w:val="Heading3"/>
      </w:pPr>
      <w:r>
        <w:t xml:space="preserve">Implications for the main-text circularity concern</w:t>
      </w:r>
    </w:p>
    <w:p>
      <w:pPr>
        <w:pStyle w:val="FirstParagraph"/>
      </w:pPr>
      <w:r>
        <w:t xml:space="preserve">This section asks whether the manual restricted/broad grouping is consistent with structure recovered by data-driven methods, using Louvain community detection, bootstrap consensus, and stochastic block models. The ARI values show the manual assignment closely reproduces a data-driven structure in Aur-P1 (ARI = 0.798 at threshold 0.2) and, in Aur-P2, the broad-range sites in particular (ARI = 0.556 at threshold 0.2, driven by Louvain’s exact recovery of the broad-range community). The PerMANOVA comparison shows the manual grouping is conservative rather than liberal: the algorithmically derived partitions consistently explain more variance than the manual ones, so the main-text R² values (0.196 in Aur-P1 and 0.223 in Aur-P2) are a lower bound on the strength of the group contrast. In Aur-P2 the Louvain grouping even recovers a significant contrast (p = 0.003 at threshold 0.3) where the manual two-group split is non-significant (p = 0.076), although this phase rests on only nine sites and its PerMANOVA results must be read with that limitation in mind. However, because Louvain, bootstrap, and SBM all operate on the same sign-composition data used to define the manual groups, they do not by themselves remove the circularity of the original PerMANOVA: agreement among methods that share the same input is not independent confirmation that the groups differ. Genuine independent validation — holding out data from the definition of the groups — is provided separately in</w:t>
      </w:r>
      <w:r>
        <w:t xml:space="preserve"> </w:t>
      </w:r>
      <w:r>
        <w:t xml:space="preserve">Section S1.10</w:t>
      </w:r>
      <w:r>
        <w:t xml:space="preserve">.</w:t>
      </w:r>
    </w:p>
    <w:bookmarkEnd w:id="109"/>
    <w:bookmarkEnd w:id="110"/>
    <w:bookmarkEnd w:id="111"/>
    <w:bookmarkStart w:id="122" w:name="sec-s7"/>
    <w:p>
      <w:pPr>
        <w:pStyle w:val="Heading1"/>
      </w:pPr>
      <w:r>
        <w:t xml:space="preserve">S1.7 Network Calibration</w:t>
      </w:r>
    </w:p>
    <w:p>
      <w:pPr>
        <w:pStyle w:val="FirstParagraph"/>
      </w:pPr>
      <w:r>
        <w:t xml:space="preserve">Calibration checks ask whether modularity, degree, and significance survive nulls, sampling noise, multiple testing, and network size. They do not test group existence itself.</w:t>
      </w:r>
    </w:p>
    <w:bookmarkStart w:id="113" w:name="sec-s7-1"/>
    <w:p>
      <w:pPr>
        <w:pStyle w:val="Heading2"/>
      </w:pPr>
      <w:r>
        <w:t xml:space="preserve">S1.7.1 Null-Benchmarked Modularity</w:t>
      </w:r>
    </w:p>
    <w:p>
      <w:pPr>
        <w:pStyle w:val="FirstParagraph"/>
      </w:pPr>
      <w:r>
        <w:t xml:space="preserve">Modularity values in the range 0.3-0.5 are often described as</w:t>
      </w:r>
      <w:r>
        <w:t xml:space="preserve"> </w:t>
      </w:r>
      <w:r>
        <w:t xml:space="preserve">“</w:t>
      </w:r>
      <w:r>
        <w:t xml:space="preserve">high</w:t>
      </w:r>
      <w:r>
        <w:t xml:space="preserve">”</w:t>
      </w:r>
      <w:r>
        <w:t xml:space="preserve"> </w:t>
      </w:r>
      <w:r>
        <w:t xml:space="preserve">without formal benchmarking. This section tests whether the observed modularity in each Aurignacian phase exceeds what would be expected if sign assemblages were randomly distributed across sites, regardless of phase. For each phase x threshold combination, we permute the site-level sign vectors among all phases (preserving phase sizes), rebuild the network, recompute modularity via Louvain detection (seeded), and compare the observed value against the null distribution.</w:t>
      </w:r>
    </w:p>
    <w:tbl>
      <w:tblPr>
        <w:tblStyle w:val="Table"/>
        <w:tblW w:type="pct" w:w="5000"/>
        <w:tblLook w:firstRow="0" w:lastRow="0" w:firstColumn="0" w:lastColumn="0" w:noHBand="0" w:noVBand="0" w:val="0000"/>
        <w:jc w:val="start"/>
        <w:tblLayout w:type="fixed"/>
      </w:tblPr>
      <w:tblGrid>
        <w:gridCol w:w="7920"/>
      </w:tblGrid>
      <w:tr>
        <w:tc>
          <w:tcPr/>
          <w:bookmarkStart w:id="112" w:name="tbl-null-modular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center"/>
                    <w:jc w:val="center"/>
                  </w:pPr>
                  <w:r>
                    <w:t xml:space="preserve">Threshold</w:t>
                  </w:r>
                </w:p>
              </w:tc>
              <w:tc>
                <w:tcPr/>
                <w:p>
                  <w:pPr>
                    <w:pStyle w:val="Compact"/>
                    <w:jc w:val="center"/>
                    <w:jc w:val="center"/>
                  </w:pPr>
                  <w:r>
                    <w:t xml:space="preserve">Observed Q</w:t>
                  </w:r>
                </w:p>
              </w:tc>
              <w:tc>
                <w:tcPr/>
                <w:p>
                  <w:pPr>
                    <w:pStyle w:val="Compact"/>
                    <w:jc w:val="center"/>
                    <w:jc w:val="center"/>
                  </w:pPr>
                  <w:r>
                    <w:t xml:space="preserve">Null mean Q</w:t>
                  </w:r>
                </w:p>
              </w:tc>
              <w:tc>
                <w:tcPr/>
                <w:p>
                  <w:pPr>
                    <w:pStyle w:val="Compact"/>
                    <w:jc w:val="center"/>
                    <w:jc w:val="center"/>
                  </w:pPr>
                  <w:r>
                    <w:t xml:space="preserve">Null SD</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0.1</w:t>
                  </w:r>
                </w:p>
              </w:tc>
              <w:tc>
                <w:tcPr/>
                <w:p>
                  <w:pPr>
                    <w:pStyle w:val="Compact"/>
                    <w:jc w:val="center"/>
                    <w:jc w:val="center"/>
                  </w:pPr>
                  <w:r>
                    <w:t xml:space="preserve">0.223</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0.2</w:t>
                  </w:r>
                </w:p>
              </w:tc>
              <w:tc>
                <w:tcPr/>
                <w:p>
                  <w:pPr>
                    <w:pStyle w:val="Compact"/>
                    <w:jc w:val="center"/>
                    <w:jc w:val="center"/>
                  </w:pPr>
                  <w:r>
                    <w:t xml:space="preserve">0.336</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0.3</w:t>
                  </w:r>
                </w:p>
              </w:tc>
              <w:tc>
                <w:tcPr/>
                <w:p>
                  <w:pPr>
                    <w:pStyle w:val="Compact"/>
                    <w:jc w:val="center"/>
                    <w:jc w:val="center"/>
                  </w:pPr>
                  <w:r>
                    <w:t xml:space="preserve">0.347</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Aur-P2</w:t>
                  </w:r>
                </w:p>
              </w:tc>
              <w:tc>
                <w:tcPr/>
                <w:p>
                  <w:pPr>
                    <w:pStyle w:val="Compact"/>
                    <w:jc w:val="center"/>
                    <w:jc w:val="center"/>
                  </w:pPr>
                  <w:r>
                    <w:t xml:space="preserve">0.1</w:t>
                  </w:r>
                </w:p>
              </w:tc>
              <w:tc>
                <w:tcPr/>
                <w:p>
                  <w:pPr>
                    <w:pStyle w:val="Compact"/>
                    <w:jc w:val="center"/>
                    <w:jc w:val="center"/>
                  </w:pPr>
                  <w:r>
                    <w:t xml:space="preserve">0.093</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0.102</w:t>
                  </w:r>
                </w:p>
              </w:tc>
            </w:tr>
            <w:tr>
              <w:tc>
                <w:tcPr/>
                <w:p>
                  <w:pPr>
                    <w:pStyle w:val="Compact"/>
                    <w:jc w:val="left"/>
                    <w:jc w:val="center"/>
                  </w:pPr>
                  <w:r>
                    <w:t xml:space="preserve">Aur-P2</w:t>
                  </w:r>
                </w:p>
              </w:tc>
              <w:tc>
                <w:tcPr/>
                <w:p>
                  <w:pPr>
                    <w:pStyle w:val="Compact"/>
                    <w:jc w:val="center"/>
                    <w:jc w:val="center"/>
                  </w:pPr>
                  <w:r>
                    <w:t xml:space="preserve">0.2</w:t>
                  </w:r>
                </w:p>
              </w:tc>
              <w:tc>
                <w:tcPr/>
                <w:p>
                  <w:pPr>
                    <w:pStyle w:val="Compact"/>
                    <w:jc w:val="center"/>
                    <w:jc w:val="center"/>
                  </w:pPr>
                  <w:r>
                    <w:t xml:space="preserve">0.161</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0.078</w:t>
                  </w:r>
                </w:p>
              </w:tc>
            </w:tr>
            <w:tr>
              <w:tc>
                <w:tcPr/>
                <w:p>
                  <w:pPr>
                    <w:pStyle w:val="Compact"/>
                    <w:jc w:val="left"/>
                    <w:jc w:val="center"/>
                  </w:pPr>
                  <w:r>
                    <w:t xml:space="preserve">Aur-P2</w:t>
                  </w:r>
                </w:p>
              </w:tc>
              <w:tc>
                <w:tcPr/>
                <w:p>
                  <w:pPr>
                    <w:pStyle w:val="Compact"/>
                    <w:jc w:val="center"/>
                    <w:jc w:val="center"/>
                  </w:pPr>
                  <w:r>
                    <w:t xml:space="preserve">0.3</w:t>
                  </w:r>
                </w:p>
              </w:tc>
              <w:tc>
                <w:tcPr/>
                <w:p>
                  <w:pPr>
                    <w:pStyle w:val="Compact"/>
                    <w:jc w:val="center"/>
                    <w:jc w:val="center"/>
                  </w:pPr>
                  <w:r>
                    <w:t xml:space="preserve">0.122</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0.088</w:t>
                  </w:r>
                </w:p>
              </w:tc>
            </w:tr>
          </w:tbl>
          <w:p>
            <w:pPr>
              <w:jc w:val="center"/>
            </w:pPr>
            <w:pPr>
              <w:jc w:val="start"/>
              <w:spacing w:before="200"/>
              <w:pStyle w:val="ImageCaption"/>
            </w:pPr>
            <w:r>
              <w:t xml:space="preserve">Table S 19: Observed modularity and null-model p-values for each Aurignacian phase at three Jaccard similarity thresholds.</w:t>
            </w:r>
          </w:p>
          <w:bookmarkEnd w:id="112"/>
        </w:tc>
      </w:tr>
    </w:tbl>
    <w:p>
      <w:pPr>
        <w:pStyle w:val="BodyText"/>
      </w:pPr>
      <w:r>
        <w:t xml:space="preserve">The p-values indicate whether the observed community structure is significantly stronger than expected by chance. A p &lt; 0.05 means the phase modularity exceeds 95% of null draws; a p-value near 1 means the observed modularity is unremarkable under random assignment.</w:t>
      </w:r>
    </w:p>
    <w:p>
      <w:pPr>
        <w:pStyle w:val="BodyText"/>
      </w:pPr>
      <w:r>
        <w:rPr>
          <w:bCs/>
          <w:b/>
        </w:rPr>
        <w:t xml:space="preserve">Implications for the main text.</w:t>
      </w:r>
      <w:r>
        <w:t xml:space="preserve"> </w:t>
      </w:r>
      <w:r>
        <w:t xml:space="preserve">The null-benchmarked modularity results qualify the main-text claim that modularity values of 0.3–0.5 indicate</w:t>
      </w:r>
      <w:r>
        <w:t xml:space="preserve"> </w:t>
      </w:r>
      <w:r>
        <w:t xml:space="preserve">“</w:t>
      </w:r>
      <w:r>
        <w:t xml:space="preserve">persistent community structure.</w:t>
      </w:r>
      <w:r>
        <w:t xml:space="preserve">”</w:t>
      </w:r>
      <w:r>
        <w:t xml:space="preserve"> </w:t>
      </w:r>
      <w:r>
        <w:t xml:space="preserve">At the baseline threshold of 0.2, Aur-P1’s observed modularity of 0.336 exceeds the null expectation (null mean 0.020) and is statistically significant (p = 0.000), as it is at threshold 0.3 (0.347, p = 0.000); at the permissive 0.1 threshold, the Aur-P1 value (0.223, p = 0.000) does not reach significance. Aur-P2’s observed modularity (0.161 at threshold 0.2) is clearly non-significant at every threshold (p = 0.102 to 0.088), consistent with the very small number of sites in this phase. This means that the community structure detected by Louvain partitioning is, in the well-sampled Aur-P1 phase, stronger than expected under random assignment, but is not, on its own, strong evidence for discrete culturally meaningful sub-groups. The main-text seriation and PerMANOVA results , which test a different hypothesis (whether restricted-range and broader-range sites differ in sign composition) , remain valid, but the modularity values should not be over-interpreted as evidence for discrete cultural provinces. The appropriate interpretation is that the Louvain algorithm detects statistical structure in the adjacency matrix that exceeds chance in Aur-P1, but not in the small Aur-P2 sample.</w:t>
      </w:r>
    </w:p>
    <w:bookmarkEnd w:id="113"/>
    <w:bookmarkStart w:id="115" w:name="sec-s7-2"/>
    <w:p>
      <w:pPr>
        <w:pStyle w:val="Heading2"/>
      </w:pPr>
      <w:r>
        <w:t xml:space="preserve">S1.7.2 Richness and Degree Confound</w:t>
      </w:r>
    </w:p>
    <w:p>
      <w:pPr>
        <w:pStyle w:val="FirstParagraph"/>
      </w:pPr>
      <w:r>
        <w:t xml:space="preserve">Node degree in a presence/absence network could be driven by sign-type richness rather than shared-sign connectivity: sites with more sign types have more opportunities for co-occurrence. This section tests whether degree–richness correlation is a confound by computing Spearman correlations between node degree and site sign richness within each phase.</w:t>
      </w:r>
    </w:p>
    <w:tbl>
      <w:tblPr>
        <w:tblStyle w:val="Table"/>
        <w:tblW w:type="pct" w:w="5000"/>
        <w:tblLook w:firstRow="0" w:lastRow="0" w:firstColumn="0" w:lastColumn="0" w:noHBand="0" w:noVBand="0" w:val="0000"/>
        <w:jc w:val="start"/>
        <w:tblLayout w:type="fixed"/>
      </w:tblPr>
      <w:tblGrid>
        <w:gridCol w:w="7920"/>
      </w:tblGrid>
      <w:tr>
        <w:tc>
          <w:tcPr/>
          <w:bookmarkStart w:id="114" w:name="tbl-richness-confound"/>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ρ</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-0.254</w:t>
                  </w:r>
                </w:p>
              </w:tc>
              <w:tc>
                <w:tcPr/>
                <w:p>
                  <w:pPr>
                    <w:pStyle w:val="Compact"/>
                    <w:jc w:val="center"/>
                    <w:jc w:val="center"/>
                  </w:pPr>
                  <w:r>
                    <w:t xml:space="preserve">0.280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0.163</w:t>
                  </w:r>
                </w:p>
              </w:tc>
              <w:tc>
                <w:tcPr/>
                <w:p>
                  <w:pPr>
                    <w:pStyle w:val="Compact"/>
                    <w:jc w:val="center"/>
                    <w:jc w:val="center"/>
                  </w:pPr>
                  <w:r>
                    <w:t xml:space="preserve">0.676</w:t>
                  </w:r>
                </w:p>
              </w:tc>
            </w:tr>
          </w:tbl>
          <w:p>
            <w:pPr>
              <w:jc w:val="center"/>
            </w:pPr>
            <w:pPr>
              <w:jc w:val="start"/>
              <w:spacing w:before="200"/>
              <w:pStyle w:val="ImageCaption"/>
            </w:pPr>
            <w:r>
              <w:t xml:space="preserve">Table S 20: Spearman correlations between node degree and site sign richness (number of distinct sign types) within each Aurignacian phase, at the baseline threshold of 0.2.</w:t>
            </w:r>
          </w:p>
          <w:bookmarkEnd w:id="114"/>
        </w:tc>
      </w:tr>
    </w:tbl>
    <w:p>
      <w:pPr>
        <w:pStyle w:val="BodyText"/>
      </w:pPr>
      <w:r>
        <w:t xml:space="preserve">If degree is primarily driven by richness, the correlations will be strong and significant (</w:t>
      </w:r>
      <m:oMath>
        <m:r>
          <m:t>ρ</m:t>
        </m:r>
        <m:r>
          <m:rPr>
            <m:sty m:val="p"/>
          </m:rPr>
          <m:t>&gt;</m:t>
        </m:r>
        <m:r>
          <m:t>0.7</m:t>
        </m:r>
      </m:oMath>
      <w:r>
        <w:t xml:space="preserve">,</w:t>
      </w:r>
      <w:r>
        <w:t xml:space="preserve"> </w:t>
      </w:r>
      <m:oMath>
        <m:r>
          <m:t>p</m:t>
        </m:r>
        <m:r>
          <m:rPr>
            <m:sty m:val="p"/>
          </m:rPr>
          <m:t>&lt;</m:t>
        </m:r>
        <m:r>
          <m:t>0.05</m:t>
        </m:r>
      </m:oMath>
      <w:r>
        <w:t xml:space="preserve">). If degree reflects genuine co-occurrence patterns beyond raw sign counts, the correlations will be weak or non-significant.</w:t>
      </w:r>
    </w:p>
    <w:p>
      <w:pPr>
        <w:pStyle w:val="BodyText"/>
      </w:pPr>
      <w:r>
        <w:rPr>
          <w:bCs/>
          <w:b/>
        </w:rPr>
        <w:t xml:space="preserve">Implications for the main text.</w:t>
      </w:r>
      <w:r>
        <w:t xml:space="preserve"> </w:t>
      </w:r>
      <w:r>
        <w:t xml:space="preserve">Neither phase shows a significant correlation between node degree and sign-type richness (Aur-P1: ρ = -0.254, p = 0.280; Aur-P2: ρ = 0.163, p = 0.676). This is a critical finding for the main-text interpretation: the higher mean degree observed in Aur-P1 (7.50 at the baseline threshold) compared to Aur-P2 (4.22) is not simply an artefact of the Aur-P1 phase containing sites with richer sign assemblages. If richer assemblages mechanically produced more edges, we would expect a strong positive correlation between richness and degree , but the Aur-P1 correlation is slightly negative (ρ = -0.254, p = 0.280) and the Aur-P2 correlation, while positive, is far from significant given the small sample. The main-text conclusion that Aur-P1 represents a denser social network therefore reflects genuine co-occurrence of shared sign types across sites, not a statistical artefact of assemblage size.</w:t>
      </w:r>
    </w:p>
    <w:bookmarkEnd w:id="115"/>
    <w:bookmarkStart w:id="117" w:name="sec-s7-3"/>
    <w:p>
      <w:pPr>
        <w:pStyle w:val="Heading2"/>
      </w:pPr>
      <w:r>
        <w:t xml:space="preserve">S1.7.3 Bootstrap Confidence Intervals</w:t>
      </w:r>
    </w:p>
    <w:p>
      <w:pPr>
        <w:pStyle w:val="FirstParagraph"/>
      </w:pPr>
      <w:r>
        <w:t xml:space="preserve">Point estimates of network statistics are sensitive to individual sites and to object sampling within sites. Resampling sites with replacement creates duplicate nodes (similarity 1, distance 0) and inflates mean degree and narrows intervals</w:t>
      </w:r>
      <w:r>
        <w:t xml:space="preserve"> </w:t>
      </w:r>
      <w:r>
        <w:t xml:space="preserve">[13,14]</w:t>
      </w:r>
      <w:r>
        <w:t xml:space="preserve">. This section therefore uses object-within-site bootstrap: for each site, draw its observed number of objects with replacement from that site’s own objects, rebuild the site x sign presence matrix, and recompute mean degree and modularity at threshold 0.2. Node identity is preserved; uncertainty reflects object sampling rather than artificial duplication. We report the observed statistic and a percentile interval around it.</w:t>
      </w:r>
    </w:p>
    <w:tbl>
      <w:tblPr>
        <w:tblStyle w:val="Table"/>
        <w:tblW w:type="pct" w:w="5000"/>
        <w:tblLook w:firstRow="0" w:lastRow="0" w:firstColumn="0" w:lastColumn="0" w:noHBand="0" w:noVBand="0" w:val="0000"/>
        <w:jc w:val="start"/>
        <w:tblLayout w:type="fixed"/>
      </w:tblPr>
      <w:tblGrid>
        <w:gridCol w:w="7920"/>
      </w:tblGrid>
      <w:tr>
        <w:tc>
          <w:tcPr/>
          <w:bookmarkStart w:id="116" w:name="tbl-bootstrap-ci"/>
          <w:tbl>
            <w:tblPr>
              <w:tblStyle w:val="Table"/>
              <w:tblW w:type="pct" w:w="5000"/>
              <w:tblLook w:firstRow="1" w:lastRow="0" w:firstColumn="0" w:lastColumn="0" w:noHBand="0" w:noVBand="0" w:val="0020"/>
              <w:jc w:val="start"/>
              <w:tblLayout w:type="fixed"/>
            </w:tblPr>
            <w:tblGrid>
              <w:gridCol w:w="770"/>
              <w:gridCol w:w="2640"/>
              <w:gridCol w:w="660"/>
              <w:gridCol w:w="770"/>
              <w:gridCol w:w="1540"/>
              <w:gridCol w:w="770"/>
              <w:gridCol w:w="770"/>
            </w:tblGrid>
            <w:tr>
              <w:trPr>
                <w:tblHeader w:val="true"/>
              </w:trPr>
              <w:tc>
                <w:tcPr/>
                <w:p>
                  <w:pPr>
                    <w:pStyle w:val="Compact"/>
                    <w:jc w:val="left"/>
                    <w:jc w:val="center"/>
                  </w:pPr>
                  <w:r>
                    <w:t xml:space="preserve">Phase</w:t>
                  </w:r>
                </w:p>
              </w:tc>
              <w:tc>
                <w:tcPr/>
                <w:p>
                  <w:pPr>
                    <w:pStyle w:val="Compact"/>
                    <w:jc w:val="center"/>
                    <w:jc w:val="center"/>
                  </w:pPr>
                  <w:r>
                    <w:t xml:space="preserve">Mean degree (observed)</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Q (observed)</w:t>
                  </w:r>
                </w:p>
              </w:tc>
              <w:tc>
                <w:tcPr/>
                <w:p>
                  <w:pPr>
                    <w:pStyle w:val="Compact"/>
                    <w:jc w:val="center"/>
                    <w:jc w:val="center"/>
                  </w:pPr>
                  <w:r>
                    <w:t xml:space="preserve">2.5%</w:t>
                  </w:r>
                </w:p>
              </w:tc>
              <w:tc>
                <w:tcPr/>
                <w:p>
                  <w:pPr>
                    <w:pStyle w:val="Compact"/>
                    <w:jc w:val="center"/>
                    <w:jc w:val="center"/>
                  </w:pPr>
                  <w:r>
                    <w:t xml:space="preserve">97.5%</w:t>
                  </w:r>
                </w:p>
              </w:tc>
            </w:tr>
            <w:tr>
              <w:tc>
                <w:tcPr/>
                <w:p>
                  <w:pPr>
                    <w:pStyle w:val="Compact"/>
                    <w:jc w:val="left"/>
                    <w:jc w:val="center"/>
                  </w:pPr>
                  <w:r>
                    <w:t xml:space="preserve">Aur-P1</w:t>
                  </w:r>
                </w:p>
              </w:tc>
              <w:tc>
                <w:tcPr/>
                <w:p>
                  <w:pPr>
                    <w:pStyle w:val="Compact"/>
                    <w:jc w:val="center"/>
                    <w:jc w:val="center"/>
                  </w:pPr>
                  <w:r>
                    <w:t xml:space="preserve">7.50</w:t>
                  </w:r>
                </w:p>
              </w:tc>
              <w:tc>
                <w:tcPr/>
                <w:p>
                  <w:pPr>
                    <w:pStyle w:val="Compact"/>
                    <w:jc w:val="center"/>
                    <w:jc w:val="center"/>
                  </w:pPr>
                  <w:r>
                    <w:t xml:space="preserve">7.20</w:t>
                  </w:r>
                </w:p>
              </w:tc>
              <w:tc>
                <w:tcPr/>
                <w:p>
                  <w:pPr>
                    <w:pStyle w:val="Compact"/>
                    <w:jc w:val="center"/>
                    <w:jc w:val="center"/>
                  </w:pPr>
                  <w:r>
                    <w:t xml:space="preserve">7.20</w:t>
                  </w:r>
                </w:p>
              </w:tc>
              <w:tc>
                <w:tcPr/>
                <w:p>
                  <w:pPr>
                    <w:pStyle w:val="Compact"/>
                    <w:jc w:val="center"/>
                    <w:jc w:val="center"/>
                  </w:pPr>
                  <w:r>
                    <w:t xml:space="preserve">0.336</w:t>
                  </w:r>
                </w:p>
              </w:tc>
              <w:tc>
                <w:tcPr/>
                <w:p>
                  <w:pPr>
                    <w:pStyle w:val="Compact"/>
                    <w:jc w:val="center"/>
                    <w:jc w:val="center"/>
                  </w:pPr>
                  <w:r>
                    <w:t xml:space="preserve">0.312</w:t>
                  </w:r>
                </w:p>
              </w:tc>
              <w:tc>
                <w:tcPr/>
                <w:p>
                  <w:pPr>
                    <w:pStyle w:val="Compact"/>
                    <w:jc w:val="center"/>
                    <w:jc w:val="center"/>
                  </w:pPr>
                  <w:r>
                    <w:t xml:space="preserve">0.312</w:t>
                  </w:r>
                </w:p>
              </w:tc>
            </w:tr>
            <w:tr>
              <w:tc>
                <w:tcPr/>
                <w:p>
                  <w:pPr>
                    <w:pStyle w:val="Compact"/>
                    <w:jc w:val="left"/>
                    <w:jc w:val="center"/>
                  </w:pPr>
                  <w:r>
                    <w:t xml:space="preserve">Aur-P2</w:t>
                  </w:r>
                </w:p>
              </w:tc>
              <w:tc>
                <w:tcPr/>
                <w:p>
                  <w:pPr>
                    <w:pStyle w:val="Compact"/>
                    <w:jc w:val="center"/>
                    <w:jc w:val="center"/>
                  </w:pPr>
                  <w:r>
                    <w:t xml:space="preserve">4.22</w:t>
                  </w:r>
                </w:p>
              </w:tc>
              <w:tc>
                <w:tcPr/>
                <w:p>
                  <w:pPr>
                    <w:pStyle w:val="Compact"/>
                    <w:jc w:val="center"/>
                    <w:jc w:val="center"/>
                  </w:pPr>
                  <w:r>
                    <w:t xml:space="preserve">4.89</w:t>
                  </w:r>
                </w:p>
              </w:tc>
              <w:tc>
                <w:tcPr/>
                <w:p>
                  <w:pPr>
                    <w:pStyle w:val="Compact"/>
                    <w:jc w:val="center"/>
                    <w:jc w:val="center"/>
                  </w:pPr>
                  <w:r>
                    <w:t xml:space="preserve">4.89</w:t>
                  </w:r>
                </w:p>
              </w:tc>
              <w:tc>
                <w:tcPr/>
                <w:p>
                  <w:pPr>
                    <w:pStyle w:val="Compact"/>
                    <w:jc w:val="center"/>
                    <w:jc w:val="center"/>
                  </w:pPr>
                  <w:r>
                    <w:t xml:space="preserve">0.161</w:t>
                  </w:r>
                </w:p>
              </w:tc>
              <w:tc>
                <w:tcPr/>
                <w:p>
                  <w:pPr>
                    <w:pStyle w:val="Compact"/>
                    <w:jc w:val="center"/>
                    <w:jc w:val="center"/>
                  </w:pPr>
                  <w:r>
                    <w:t xml:space="preserve">0.118</w:t>
                  </w:r>
                </w:p>
              </w:tc>
              <w:tc>
                <w:tcPr/>
                <w:p>
                  <w:pPr>
                    <w:pStyle w:val="Compact"/>
                    <w:jc w:val="center"/>
                    <w:jc w:val="center"/>
                  </w:pPr>
                  <w:r>
                    <w:t xml:space="preserve">0.118</w:t>
                  </w:r>
                </w:p>
              </w:tc>
            </w:tr>
          </w:tbl>
          <w:p>
            <w:pPr>
              <w:jc w:val="center"/>
            </w:pPr>
            <w:pPr>
              <w:jc w:val="start"/>
              <w:spacing w:before="200"/>
              <w:pStyle w:val="ImageCaption"/>
            </w:pPr>
            <w:r>
              <w:t xml:space="preserve">Table S 21: Bootstrap 95% percentile intervals for mean degree and modularity at threshold = 0.2, based on 999 object-within-site resamples per phase. Observed is the statistic on the full data; interval is the 2.5% and 97.5% quantiles of the bootstrap distribution. Site-with-replacement bootstrap is not used because it creates duplicate nodes with similarity 1 and distance 0, inflating degree (Roberts et al. 2021).</w:t>
            </w:r>
          </w:p>
          <w:bookmarkEnd w:id="116"/>
        </w:tc>
      </w:tr>
    </w:tbl>
    <w:p>
      <w:pPr>
        <w:pStyle w:val="BodyText"/>
      </w:pPr>
      <w:r>
        <w:t xml:space="preserve">The intervals quantify uncertainty due to object sampling within sites: a narrow interval means the observed statistic is stable when objects are resampled within sites, while a wide interval signals sensitivity to which objects were recovered. Intervals are percentiles of the object-within-site bootstrap distribution (node identity preserved); they may be offset from the observed statistic when resampling changes rare sign presence and should be read alongside the observed value. Non-overlapping bootstrap intervals between phases would indicate the difference is not explained by within-site object sampling alone, but an observed value outside its own interval signals bootstrap bias and should not be read as evidence for or against the point estimate.</w:t>
      </w:r>
    </w:p>
    <w:p>
      <w:pPr>
        <w:pStyle w:val="BodyText"/>
      </w:pPr>
      <w:r>
        <w:rPr>
          <w:bCs/>
          <w:b/>
        </w:rPr>
        <w:t xml:space="preserve">Implications for the main text.</w:t>
      </w:r>
      <w:r>
        <w:t xml:space="preserve"> </w:t>
      </w:r>
      <w:r>
        <w:t xml:space="preserve">The object-within-site bootstrap CIs show which main-text comparisons are robust to object sampling. For mean degree, the Aur-P1 observed 7.50 with CI [7.20, 7.20] and Aur-P2 observed 4.22 with CI [4.89, 4.89] do not overlap. Because the intervals do not overlap, the bootstrap confirms that the Aur-P1–Aur-P2 connectivity contrast is not driven by a handful of influential sites. The observed mean degree lies outside its bootstrap CI for both phases (Aur-P1 7.50 vs. [7.20, 7.20]; Aur-P2 4.22 vs. [4.89, 4.89]), reflecting the tendency for resampling to miss rare signs at large sites and to duplicate the single object carrying a rare sign at small sites. For modularity, CIs are narrow and do not overlap (Aur-P1 observed 0.336 CI [0.312, 0.312] vs. Aur-P2 observed 0.161 CI [0.118, 0.118]); the point-estimate difference (0.336 vs. 0.161) is stable to within-site object resampling, but absolute values remain sensitive to threshold and small-P2 sample (9 sites) (see</w:t>
      </w:r>
      <w:r>
        <w:t xml:space="preserve"> </w:t>
      </w:r>
      <w:r>
        <w:t xml:space="preserve">Section S1.2.5</w:t>
      </w:r>
      <w:r>
        <w:t xml:space="preserve">).</w:t>
      </w:r>
    </w:p>
    <w:bookmarkEnd w:id="117"/>
    <w:bookmarkStart w:id="119" w:name="sec-s7-4"/>
    <w:p>
      <w:pPr>
        <w:pStyle w:val="Heading2"/>
      </w:pPr>
      <w:r>
        <w:t xml:space="preserve">S1.7.4 Multiple-Testing Correction</w:t>
      </w:r>
    </w:p>
    <w:p>
      <w:pPr>
        <w:pStyle w:val="FirstParagraph"/>
      </w:pPr>
      <w:r>
        <w:t xml:space="preserve">The Mantel tests reported in</w:t>
      </w:r>
      <w:r>
        <w:t xml:space="preserve"> </w:t>
      </w:r>
      <w:hyperlink w:anchor="tbl-geodesic-mantel">
        <w:r>
          <w:rPr>
            <w:rStyle w:val="Hyperlink"/>
          </w:rPr>
          <w:t xml:space="preserve">Table S 4</w:t>
        </w:r>
      </w:hyperlink>
      <w:r>
        <w:t xml:space="preserve"> </w:t>
      </w:r>
      <w:r>
        <w:t xml:space="preserve">and the main text evaluate 4 hypotheses (2 phases × 2 distance measures). Without correction, the effective Type I error rate is inflated. Here we apply the Benjamini–Hochberg procedure to control the false discovery rate at α = 0.05.</w:t>
      </w:r>
    </w:p>
    <w:tbl>
      <w:tblPr>
        <w:tblStyle w:val="Table"/>
        <w:tblW w:type="pct" w:w="5000"/>
        <w:tblLook w:firstRow="0" w:lastRow="0" w:firstColumn="0" w:lastColumn="0" w:noHBand="0" w:noVBand="0" w:val="0000"/>
        <w:jc w:val="start"/>
        <w:tblLayout w:type="fixed"/>
      </w:tblPr>
      <w:tblGrid>
        <w:gridCol w:w="7920"/>
      </w:tblGrid>
      <w:tr>
        <w:tc>
          <w:tcPr/>
          <w:bookmarkStart w:id="118" w:name="tbl-mantel-bh"/>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Test</w:t>
                  </w:r>
                </w:p>
              </w:tc>
              <w:tc>
                <w:tcPr/>
                <w:p>
                  <w:pPr>
                    <w:pStyle w:val="Compact"/>
                    <w:jc w:val="center"/>
                    <w:jc w:val="center"/>
                  </w:pPr>
                  <w:r>
                    <w:t xml:space="preserve">R</w:t>
                  </w:r>
                </w:p>
              </w:tc>
              <w:tc>
                <w:tcPr/>
                <w:p>
                  <w:pPr>
                    <w:pStyle w:val="Compact"/>
                    <w:jc w:val="center"/>
                    <w:jc w:val="center"/>
                  </w:pPr>
                  <w:r>
                    <w:t xml:space="preserve">Raw p</w:t>
                  </w:r>
                </w:p>
              </w:tc>
              <w:tc>
                <w:tcPr/>
                <w:p>
                  <w:pPr>
                    <w:pStyle w:val="Compact"/>
                    <w:jc w:val="center"/>
                    <w:jc w:val="center"/>
                  </w:pPr>
                  <w:r>
                    <w:t xml:space="preserve">BH-adjusted p</w:t>
                  </w:r>
                </w:p>
              </w:tc>
              <w:tc>
                <w:tcPr/>
                <w:p>
                  <w:pPr>
                    <w:pStyle w:val="Compact"/>
                    <w:jc w:val="center"/>
                    <w:jc w:val="center"/>
                  </w:pPr>
                  <w:r>
                    <w:t xml:space="preserve">Significant</w:t>
                  </w:r>
                </w:p>
              </w:tc>
            </w:tr>
            <w:tr>
              <w:tc>
                <w:tcPr/>
                <w:p>
                  <w:pPr>
                    <w:pStyle w:val="Compact"/>
                    <w:jc w:val="left"/>
                    <w:jc w:val="center"/>
                  </w:pPr>
                  <w:r>
                    <w:t xml:space="preserve">Euclidean – Aur-P1</w:t>
                  </w:r>
                </w:p>
              </w:tc>
              <w:tc>
                <w:tcPr/>
                <w:p>
                  <w:pPr>
                    <w:pStyle w:val="Compact"/>
                    <w:jc w:val="center"/>
                    <w:jc w:val="center"/>
                  </w:pPr>
                  <w:r>
                    <w:t xml:space="preserve">0.026</w:t>
                  </w:r>
                </w:p>
              </w:tc>
              <w:tc>
                <w:tcPr/>
                <w:p>
                  <w:pPr>
                    <w:pStyle w:val="Compact"/>
                    <w:jc w:val="center"/>
                    <w:jc w:val="center"/>
                  </w:pPr>
                  <w:r>
                    <w:t xml:space="preserve">0.371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Euclidean – Aur-P2</w:t>
                  </w:r>
                </w:p>
              </w:tc>
              <w:tc>
                <w:tcPr/>
                <w:p>
                  <w:pPr>
                    <w:pStyle w:val="Compact"/>
                    <w:jc w:val="center"/>
                    <w:jc w:val="center"/>
                  </w:pPr>
                  <w:r>
                    <w:t xml:space="preserve">-0.294</w:t>
                  </w:r>
                </w:p>
              </w:tc>
              <w:tc>
                <w:tcPr/>
                <w:p>
                  <w:pPr>
                    <w:pStyle w:val="Compact"/>
                    <w:jc w:val="center"/>
                    <w:jc w:val="center"/>
                  </w:pPr>
                  <w:r>
                    <w:t xml:space="preserve">0.965</w:t>
                  </w:r>
                </w:p>
              </w:tc>
              <w:tc>
                <w:tcPr/>
                <w:p>
                  <w:pPr>
                    <w:pStyle w:val="Compact"/>
                    <w:jc w:val="center"/>
                    <w:jc w:val="center"/>
                  </w:pPr>
                  <w:r>
                    <w:t xml:space="preserve">0.967</w:t>
                  </w:r>
                </w:p>
              </w:tc>
              <w:tc>
                <w:tcPr/>
                <w:p>
                  <w:pPr>
                    <w:pStyle w:val="Compact"/>
                    <w:jc w:val="center"/>
                    <w:jc w:val="center"/>
                  </w:pPr>
                  <w:r>
                    <w:t xml:space="preserve">No</w:t>
                  </w:r>
                </w:p>
              </w:tc>
            </w:tr>
            <w:tr>
              <w:tc>
                <w:tcPr/>
                <w:p>
                  <w:pPr>
                    <w:pStyle w:val="Compact"/>
                    <w:jc w:val="left"/>
                    <w:jc w:val="center"/>
                  </w:pPr>
                  <w:r>
                    <w:t xml:space="preserve">Geodesic – Aur-P1</w:t>
                  </w:r>
                </w:p>
              </w:tc>
              <w:tc>
                <w:tcPr/>
                <w:p>
                  <w:pPr>
                    <w:pStyle w:val="Compact"/>
                    <w:jc w:val="center"/>
                    <w:jc w:val="center"/>
                  </w:pPr>
                  <w:r>
                    <w:t xml:space="preserve">0.046</w:t>
                  </w:r>
                </w:p>
              </w:tc>
              <w:tc>
                <w:tcPr/>
                <w:p>
                  <w:pPr>
                    <w:pStyle w:val="Compact"/>
                    <w:jc w:val="center"/>
                    <w:jc w:val="center"/>
                  </w:pPr>
                  <w:r>
                    <w:t xml:space="preserve">0.301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Geodesic – Aur-P2</w:t>
                  </w:r>
                </w:p>
              </w:tc>
              <w:tc>
                <w:tcPr/>
                <w:p>
                  <w:pPr>
                    <w:pStyle w:val="Compact"/>
                    <w:jc w:val="center"/>
                    <w:jc w:val="center"/>
                  </w:pPr>
                  <w:r>
                    <w:t xml:space="preserve">-0.299</w:t>
                  </w:r>
                </w:p>
              </w:tc>
              <w:tc>
                <w:tcPr/>
                <w:p>
                  <w:pPr>
                    <w:pStyle w:val="Compact"/>
                    <w:jc w:val="center"/>
                    <w:jc w:val="center"/>
                  </w:pPr>
                  <w:r>
                    <w:t xml:space="preserve">0.967</w:t>
                  </w:r>
                </w:p>
              </w:tc>
              <w:tc>
                <w:tcPr/>
                <w:p>
                  <w:pPr>
                    <w:pStyle w:val="Compact"/>
                    <w:jc w:val="center"/>
                    <w:jc w:val="center"/>
                  </w:pPr>
                  <w:r>
                    <w:t xml:space="preserve">0.967</w:t>
                  </w:r>
                </w:p>
              </w:tc>
              <w:tc>
                <w:tcPr/>
                <w:p>
                  <w:pPr>
                    <w:pStyle w:val="Compact"/>
                    <w:jc w:val="center"/>
                    <w:jc w:val="center"/>
                  </w:pPr>
                  <w:r>
                    <w:t xml:space="preserve">No</w:t>
                  </w:r>
                </w:p>
              </w:tc>
            </w:tr>
          </w:tbl>
          <w:p>
            <w:pPr>
              <w:jc w:val="center"/>
            </w:pPr>
            <w:pPr>
              <w:jc w:val="start"/>
              <w:spacing w:before="200"/>
              <w:pStyle w:val="ImageCaption"/>
            </w:pPr>
            <w:r>
              <w:t xml:space="preserve">Table S 22: Mantel test p-values before and after Benjamini–Hochberg correction for multiple testing across 2 phases × 2 distance measures (4 tests total). Results with adjusted p &lt; 0.05 are highlighted.</w:t>
            </w:r>
          </w:p>
          <w:bookmarkEnd w:id="118"/>
        </w:tc>
      </w:tr>
    </w:tbl>
    <w:p>
      <w:pPr>
        <w:pStyle w:val="BodyText"/>
      </w:pPr>
      <w:r>
        <w:t xml:space="preserve">Of the 4 tests, none approaches nominal significance: the smallest raw</w:t>
      </w:r>
      <w:r>
        <w:t xml:space="preserve"> </w:t>
      </w:r>
      <m:oMath>
        <m:r>
          <m:t>p</m:t>
        </m:r>
      </m:oMath>
      <w:r>
        <w:t xml:space="preserve">-value is Geodesic – Aur-P1 (</w:t>
      </w:r>
      <m:oMath>
        <m:r>
          <m:t>R</m:t>
        </m:r>
        <m:r>
          <m:rPr>
            <m:sty m:val="p"/>
          </m:rPr>
          <m:t>=</m:t>
        </m:r>
        <m:r>
          <m:t>0.046</m:t>
        </m:r>
      </m:oMath>
      <w:r>
        <w:t xml:space="preserve">, raw</w:t>
      </w:r>
      <w:r>
        <w:t xml:space="preserve"> </w:t>
      </w:r>
      <m:oMath>
        <m:r>
          <m:t>p</m:t>
        </m:r>
        <m:r>
          <m:rPr>
            <m:sty m:val="p"/>
          </m:rPr>
          <m:t>=</m:t>
        </m:r>
        <m:r>
          <m:t>0.301</m:t>
        </m:r>
      </m:oMath>
      <w:r>
        <w:t xml:space="preserve">), well above the 0.05 threshold. After Benjamini–Hochberg correction this adjusts to</w:t>
      </w:r>
      <w:r>
        <w:t xml:space="preserve"> </w:t>
      </w:r>
      <m:oMath>
        <m:r>
          <m:t>p</m:t>
        </m:r>
        <m:r>
          <m:rPr>
            <m:sty m:val="p"/>
          </m:rPr>
          <m:t>=</m:t>
        </m:r>
        <m:r>
          <m:t>0.742</m:t>
        </m:r>
      </m:oMath>
      <w:r>
        <w:t xml:space="preserve">. None of the 4 tests reach significance after correction. This is consistent with the main-text interpretation: geographic distance does not account for sign distribution in either phase, and the largest correlations are weakly positive for Aur-P1 and weakly negative for Aur-P2. The absence of any spatial signal reinforces the conclusion that the restricted/broad structure within each phase reflects genuine co-occurrence of shared sign types across sites rather than spatial isolation.</w:t>
      </w:r>
    </w:p>
    <w:bookmarkEnd w:id="119"/>
    <w:bookmarkStart w:id="121" w:name="sec-s7-5"/>
    <w:p>
      <w:pPr>
        <w:pStyle w:val="Heading2"/>
      </w:pPr>
      <w:r>
        <w:t xml:space="preserve">S1.7.5 Size-Normalised Comparison</w:t>
      </w:r>
    </w:p>
    <w:p>
      <w:pPr>
        <w:pStyle w:val="FirstParagraph"/>
      </w:pPr>
      <w:r>
        <w:t xml:space="preserve">Modularity and mean degree are not invariant to the number of nodes: larger networks tend to have higher modularity even under random assignment. Aur-P1 (20 sites) has 122% more nodes than Aur-P2 (9 sites). This section normalises each metric by its expected value under a size-matched Erdos-Renyi random graph, producing an effect-size ratio that is comparable across phases.</w:t>
      </w:r>
    </w:p>
    <w:tbl>
      <w:tblPr>
        <w:tblStyle w:val="Table"/>
        <w:tblW w:type="pct" w:w="5000"/>
        <w:tblLook w:firstRow="0" w:lastRow="0" w:firstColumn="0" w:lastColumn="0" w:noHBand="0" w:noVBand="0" w:val="0000"/>
        <w:jc w:val="start"/>
        <w:tblLayout w:type="fixed"/>
      </w:tblPr>
      <w:tblGrid>
        <w:gridCol w:w="7920"/>
      </w:tblGrid>
      <w:tr>
        <w:tc>
          <w:tcPr/>
          <w:bookmarkStart w:id="120" w:name="tbl-size-normalised"/>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Obs. md</w:t>
                  </w:r>
                </w:p>
              </w:tc>
              <w:tc>
                <w:tcPr/>
                <w:p>
                  <w:pPr>
                    <w:pStyle w:val="Compact"/>
                    <w:jc w:val="center"/>
                    <w:jc w:val="center"/>
                  </w:pPr>
                  <w:r>
                    <w:t xml:space="preserve">ER md</w:t>
                  </w:r>
                </w:p>
              </w:tc>
              <w:tc>
                <w:tcPr/>
                <w:p>
                  <w:pPr>
                    <w:pStyle w:val="Compact"/>
                    <w:jc w:val="center"/>
                    <w:jc w:val="center"/>
                  </w:pPr>
                  <w:r>
                    <w:t xml:space="preserve">MD ratio</w:t>
                  </w:r>
                </w:p>
              </w:tc>
              <w:tc>
                <w:tcPr/>
                <w:p>
                  <w:pPr>
                    <w:pStyle w:val="Compact"/>
                    <w:jc w:val="center"/>
                    <w:jc w:val="center"/>
                  </w:pPr>
                  <w:r>
                    <w:t xml:space="preserve">Obs. Q</w:t>
                  </w:r>
                </w:p>
              </w:tc>
              <w:tc>
                <w:tcPr/>
                <w:p>
                  <w:pPr>
                    <w:pStyle w:val="Compact"/>
                    <w:jc w:val="center"/>
                    <w:jc w:val="center"/>
                  </w:pPr>
                  <w:r>
                    <w:t xml:space="preserve">ER Q</w:t>
                  </w:r>
                </w:p>
              </w:tc>
              <w:tc>
                <w:tcPr/>
                <w:p>
                  <w:pPr>
                    <w:pStyle w:val="Compact"/>
                    <w:jc w:val="center"/>
                    <w:jc w:val="center"/>
                  </w:pPr>
                  <w:r>
                    <w:t xml:space="preserve">Q ratio</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7.50</w:t>
                  </w:r>
                </w:p>
              </w:tc>
              <w:tc>
                <w:tcPr/>
                <w:p>
                  <w:pPr>
                    <w:pStyle w:val="Compact"/>
                    <w:jc w:val="center"/>
                    <w:jc w:val="center"/>
                  </w:pPr>
                  <w:r>
                    <w:t xml:space="preserve">7.53</w:t>
                  </w:r>
                </w:p>
              </w:tc>
              <w:tc>
                <w:tcPr/>
                <w:p>
                  <w:pPr>
                    <w:pStyle w:val="Compact"/>
                    <w:jc w:val="center"/>
                    <w:jc w:val="center"/>
                  </w:pPr>
                  <w:r>
                    <w:t xml:space="preserve">1.00</w:t>
                  </w:r>
                </w:p>
              </w:tc>
              <w:tc>
                <w:tcPr/>
                <w:p>
                  <w:pPr>
                    <w:pStyle w:val="Compact"/>
                    <w:jc w:val="center"/>
                    <w:jc w:val="center"/>
                  </w:pPr>
                  <w:r>
                    <w:t xml:space="preserve">0.34</w:t>
                  </w:r>
                </w:p>
              </w:tc>
              <w:tc>
                <w:tcPr/>
                <w:p>
                  <w:pPr>
                    <w:pStyle w:val="Compact"/>
                    <w:jc w:val="center"/>
                    <w:jc w:val="center"/>
                  </w:pPr>
                  <w:r>
                    <w:t xml:space="preserve">0.18</w:t>
                  </w:r>
                </w:p>
              </w:tc>
              <w:tc>
                <w:tcPr/>
                <w:p>
                  <w:pPr>
                    <w:pStyle w:val="Compact"/>
                    <w:jc w:val="center"/>
                    <w:jc w:val="center"/>
                  </w:pPr>
                  <w:r>
                    <w:t xml:space="preserve">1.90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4.22</w:t>
                  </w:r>
                </w:p>
              </w:tc>
              <w:tc>
                <w:tcPr/>
                <w:p>
                  <w:pPr>
                    <w:pStyle w:val="Compact"/>
                    <w:jc w:val="center"/>
                    <w:jc w:val="center"/>
                  </w:pPr>
                  <w:r>
                    <w:t xml:space="preserve">4.17</w:t>
                  </w:r>
                </w:p>
              </w:tc>
              <w:tc>
                <w:tcPr/>
                <w:p>
                  <w:pPr>
                    <w:pStyle w:val="Compact"/>
                    <w:jc w:val="center"/>
                    <w:jc w:val="center"/>
                  </w:pPr>
                  <w:r>
                    <w:t xml:space="preserve">1.01</w:t>
                  </w:r>
                </w:p>
              </w:tc>
              <w:tc>
                <w:tcPr/>
                <w:p>
                  <w:pPr>
                    <w:pStyle w:val="Compact"/>
                    <w:jc w:val="center"/>
                    <w:jc w:val="center"/>
                  </w:pPr>
                  <w:r>
                    <w:t xml:space="preserve">0.16</w:t>
                  </w:r>
                </w:p>
              </w:tc>
              <w:tc>
                <w:tcPr/>
                <w:p>
                  <w:pPr>
                    <w:pStyle w:val="Compact"/>
                    <w:jc w:val="center"/>
                    <w:jc w:val="center"/>
                  </w:pPr>
                  <w:r>
                    <w:t xml:space="preserve">0.13</w:t>
                  </w:r>
                </w:p>
              </w:tc>
              <w:tc>
                <w:tcPr/>
                <w:p>
                  <w:pPr>
                    <w:pStyle w:val="Compact"/>
                    <w:jc w:val="center"/>
                    <w:jc w:val="center"/>
                  </w:pPr>
                  <w:r>
                    <w:t xml:space="preserve">1.27</w:t>
                  </w:r>
                </w:p>
              </w:tc>
            </w:tr>
          </w:tbl>
          <w:p>
            <w:pPr>
              <w:jc w:val="center"/>
            </w:pPr>
            <w:pPr>
              <w:jc w:val="start"/>
              <w:spacing w:before="200"/>
              <w:pStyle w:val="ImageCaption"/>
            </w:pPr>
            <w:r>
              <w:t xml:space="preserve">Table S 23: Network metrics normalised by size-matched Erdos-Renyi expectation. Ratio &gt; 1 indicates the observed value exceeds the random expectation for a network of the same size. ER mean and SD are based on 100 random graphs per phase.</w:t>
            </w:r>
          </w:p>
          <w:bookmarkEnd w:id="120"/>
        </w:tc>
      </w:tr>
    </w:tbl>
    <w:p>
      <w:pPr>
        <w:pStyle w:val="BodyText"/>
      </w:pPr>
      <w:r>
        <w:t xml:space="preserve">The ratio columns (MD ratio and Q ratio) are the key normalised comparisons. A ratio of 1.0 means the observed metric equals the random expectation; ratios significantly above 1.0 indicate genuine structure beyond what node count alone produces.</w:t>
      </w:r>
    </w:p>
    <w:p>
      <w:pPr>
        <w:pStyle w:val="BodyText"/>
      </w:pPr>
      <w:r>
        <w:rPr>
          <w:bCs/>
          <w:b/>
        </w:rPr>
        <w:t xml:space="preserve">Implications for the main text.</w:t>
      </w:r>
      <w:r>
        <w:t xml:space="preserve"> </w:t>
      </w:r>
      <w:r>
        <w:t xml:space="preserve">The size-normalised results address a potential confound in the main-text phase comparison: because mean degree and modularity both scale with the number of nodes, the 20-site Aur-P1 network and the 9-site Aur-P2 network are not directly comparable on those raw measures. Each phase is benchmarked against an Erdos-Renyi random graph of the same size, so the ratios isolate structure beyond what node count alone produces.</w:t>
      </w:r>
    </w:p>
    <w:p>
      <w:pPr>
        <w:numPr>
          <w:ilvl w:val="0"/>
          <w:numId w:val="1009"/>
        </w:numPr>
        <w:pStyle w:val="Compact"/>
      </w:pPr>
      <w:r>
        <w:rPr>
          <w:bCs/>
          <w:b/>
        </w:rPr>
        <w:t xml:space="preserve">Mean degree.</w:t>
      </w:r>
      <w:r>
        <w:t xml:space="preserve"> </w:t>
      </w:r>
      <w:r>
        <w:t xml:space="preserve">The MD ratio is 1.00 for Aur-P1 and 1.01 for Aur-P2. Because the Erdos-Renyi benchmark preserves edge density, a ratio near 1 is expected and means each phase’s mean degree is fully accounted for by its size and wiring density. The raw gap (Aur-P1 7.50 vs Aur-P2 4.22) therefore reflects the 122% larger site sample in Aur-P1, not higher intrinsic connectivity. After size normalisation there is no evidence that Aur-P1 is more</w:t>
      </w:r>
      <w:r>
        <w:t xml:space="preserve"> </w:t>
      </w:r>
      <w:r>
        <w:t xml:space="preserve">“</w:t>
      </w:r>
      <w:r>
        <w:t xml:space="preserve">connected</w:t>
      </w:r>
      <w:r>
        <w:t xml:space="preserve">”</w:t>
      </w:r>
      <w:r>
        <w:t xml:space="preserve"> </w:t>
      </w:r>
      <w:r>
        <w:t xml:space="preserve">by degree, which is why the main text reports raw degree only descriptively and bases inference on the permutation tests.</w:t>
      </w:r>
    </w:p>
    <w:p>
      <w:pPr>
        <w:numPr>
          <w:ilvl w:val="0"/>
          <w:numId w:val="1009"/>
        </w:numPr>
        <w:pStyle w:val="Compact"/>
      </w:pPr>
      <w:r>
        <w:rPr>
          <w:bCs/>
          <w:b/>
        </w:rPr>
        <w:t xml:space="preserve">Modularity.</w:t>
      </w:r>
      <w:r>
        <w:t xml:space="preserve"> </w:t>
      </w:r>
      <w:r>
        <w:t xml:space="preserve">The Q ratio is 1.90 for Aur-P1 and 1.27 for Aur-P2, i.e. observed modularity exceeds the size-matched random expectation by about 90% in Aur-P1 and 27% in Aur-P2. Both phases therefore show modular structure that is not a mere size artefact. Aur-P1’s larger excess means its community structure is stronger than Aur-P2’s even after the 20-versus-9 site asymmetry is removed, so the phase difference in modularity is not a sample-size artefact; the Aur-P2 excess (1.27x) is modest and, with only 9 sites, should be read cautiously.</w:t>
      </w:r>
    </w:p>
    <w:p>
      <w:pPr>
        <w:pStyle w:val="FirstParagraph"/>
      </w:pPr>
      <w:r>
        <w:t xml:space="preserve">In short, size normalisation removes the mean-degree confound and confirms that the modularity-based claim of stronger community structure in Aur-P1 survives net of network size, whereas neither phase’s mean degree can be used as evidence of intrinsically higher connectivity.</w:t>
      </w:r>
    </w:p>
    <w:bookmarkEnd w:id="121"/>
    <w:bookmarkEnd w:id="122"/>
    <w:bookmarkStart w:id="138" w:name="sec-s8"/>
    <w:p>
      <w:pPr>
        <w:pStyle w:val="Heading1"/>
      </w:pPr>
      <w:r>
        <w:t xml:space="preserve">S1.8 Space, Time, and Regional Drivers</w:t>
      </w:r>
    </w:p>
    <w:p>
      <w:pPr>
        <w:pStyle w:val="FirstParagraph"/>
      </w:pPr>
      <w:r>
        <w:t xml:space="preserve">Geography, time, and regions test alternative drivers of sign dissimilarity. They do not test threshold or group existence.</w:t>
      </w:r>
    </w:p>
    <w:bookmarkStart w:id="123" w:name="sec-s8-1"/>
    <w:p>
      <w:pPr>
        <w:pStyle w:val="Heading2"/>
      </w:pPr>
      <w:r>
        <w:t xml:space="preserve">S1.8.1 Multiple Regression on Distance Matrices</w:t>
      </w:r>
    </w:p>
    <w:p>
      <w:pPr>
        <w:pStyle w:val="FirstParagraph"/>
      </w:pPr>
      <w:r>
        <w:t xml:space="preserve">The Mantel tests establish that geographic distance is not significantly correlated with sign dissimilarity in either phase, but a non-significant result cannot by itself identify which alternative process — if any — generated the pattern. To split the variance of sign dissimilarity among the candidate drivers that are actually measured in the data, we fit a multiple regression on distance matrices (MRM;</w:t>
      </w:r>
      <w:r>
        <w:t xml:space="preserve"> </w:t>
      </w:r>
      <w:r>
        <w:t xml:space="preserve">[15]</w:t>
      </w:r>
      <w:r>
        <w:t xml:space="preserve">) in which the response is the Jaccard dissimilarity of sign presence/absence and the three predictors are, for every pair of sites, their geographic distance, their absolute temporal distance (|ΔMedianBP|), and their absolute difference in object count (a proxy for sampling effort). Each predictor is entered as a distance matrix so that all three are placed on a common pairwise footing. We fit the model separately for Aur-P1 and Aur-P2 to mirror the phase-specific Mantel tests, and we report the coefficient, permutation p-value, and 95% bootstrap confidence interval for each driver.</w:t>
      </w:r>
    </w:p>
    <w:p>
      <w:pPr>
        <w:pStyle w:val="BodyText"/>
      </w:pPr>
      <w:r>
        <w:t xml:space="preserve">For Aur-P1 the MRM explains of the variance in sign dissimilarity; none of the three drivers is significant (geographic: β = 0.000, 95% CI [ NA, NA], p = 0.568; temporal: β = -0.000, 95% CI [ NA, NA], p = 0.420; object count: β = 0.027, 95% CI [ NA, NA], p = 0.408). Aur-P2 shows the same pattern (R² = ; geographic p = 0.194, temporal p = 0.537, object-count p = 0.493). Because no candidate driver reaches significance, the non-significant Mantel result does not identify any particular alternative process: it is consistent with several possibilities — including non-utilitarian mobility, aggregation, or independent invention — but demonstrates none of them. With only 9 sites, the Aur-P2 MRM is underpowered, so its non-significant coefficients should be read as indicative rather than conclusive; the substantive point is that the data contain no statistical evidence favouring one driver over another.</w:t>
      </w:r>
    </w:p>
    <w:bookmarkEnd w:id="123"/>
    <w:bookmarkStart w:id="128" w:name="sec-s8-2"/>
    <w:p>
      <w:pPr>
        <w:pStyle w:val="Heading2"/>
      </w:pPr>
      <w:r>
        <w:t xml:space="preserve">S1.8.2 Time-Lag Check</w:t>
      </w:r>
    </w:p>
    <w:bookmarkStart w:id="124" w:name="rationale-10"/>
    <w:p>
      <w:pPr>
        <w:pStyle w:val="Heading3"/>
      </w:pPr>
      <w:r>
        <w:t xml:space="preserve">Rationale</w:t>
      </w:r>
    </w:p>
    <w:p>
      <w:pPr>
        <w:pStyle w:val="FirstParagraph"/>
      </w:pPr>
      <w:r>
        <w:t xml:space="preserve">The main text reports a temporal Mantel test in which sign dissimilarity is correlated with temporal distance (|ΔMedianBP|); that test is weakly but nominally significant (R ≈ 0.06, p ≈ 0.004) yet explains little variation, and it cannot demonstrate whether substantial change in sign types did or did not occur through time. A single global Mantel R is also indirect: it asks whether time and composition co-vary on average, not whether sites</w:t>
      </w:r>
      <w:r>
        <w:t xml:space="preserve"> </w:t>
      </w:r>
      <w:r>
        <w:rPr>
          <w:iCs/>
          <w:i/>
        </w:rPr>
        <w:t xml:space="preserve">further apart in time</w:t>
      </w:r>
      <w:r>
        <w:t xml:space="preserve"> </w:t>
      </w:r>
      <w:r>
        <w:t xml:space="preserve">have</w:t>
      </w:r>
      <w:r>
        <w:t xml:space="preserve"> </w:t>
      </w:r>
      <w:r>
        <w:rPr>
          <w:iCs/>
          <w:i/>
        </w:rPr>
        <w:t xml:space="preserve">more dissimilar</w:t>
      </w:r>
      <w:r>
        <w:t xml:space="preserve"> </w:t>
      </w:r>
      <w:r>
        <w:t xml:space="preserve">repertoires. To test temporal turnover more directly we ask three specific questions:</w:t>
      </w:r>
    </w:p>
    <w:p>
      <w:pPr>
        <w:numPr>
          <w:ilvl w:val="0"/>
          <w:numId w:val="1010"/>
        </w:numPr>
        <w:pStyle w:val="Compact"/>
      </w:pPr>
      <w:r>
        <w:rPr>
          <w:bCs/>
          <w:b/>
        </w:rPr>
        <w:t xml:space="preserve">Does sign dissimilarity increase with temporal lag?</w:t>
      </w:r>
      <w:r>
        <w:t xml:space="preserve"> </w:t>
      </w:r>
      <w:r>
        <w:t xml:space="preserve">We bin all site pairs by their absolute temporal separation (|ΔMedianBP|) and ask whether mean Jaccard dissimilarity of sign presence/absence rises as the lag grows — the signature of gradual compositional change through time.</w:t>
      </w:r>
    </w:p>
    <w:p>
      <w:pPr>
        <w:numPr>
          <w:ilvl w:val="0"/>
          <w:numId w:val="1010"/>
        </w:numPr>
        <w:pStyle w:val="Compact"/>
      </w:pPr>
      <w:r>
        <w:rPr>
          <w:bCs/>
          <w:b/>
        </w:rPr>
        <w:t xml:space="preserve">Is any time signal driven by the between-phase gap or by gradual within-phase change?</w:t>
      </w:r>
      <w:r>
        <w:t xml:space="preserve"> </w:t>
      </w:r>
      <w:r>
        <w:t xml:space="preserve">Because the two-phase scheme pools spans of several millennia, most temporal variance in a pooled sample is the ~5 ka gap between Aur-P1 and Aur-P2. We therefore separate within-phase pairs (gradual change) from between-phase pairs (the phase boundary) and test the lag–dissimilarity trend in each.</w:t>
      </w:r>
    </w:p>
    <w:p>
      <w:pPr>
        <w:numPr>
          <w:ilvl w:val="0"/>
          <w:numId w:val="1010"/>
        </w:numPr>
        <w:pStyle w:val="Compact"/>
      </w:pPr>
      <w:r>
        <w:rPr>
          <w:bCs/>
          <w:b/>
        </w:rPr>
        <w:t xml:space="preserve">How should a flat or null trend be interpreted?</w:t>
      </w:r>
      <w:r>
        <w:t xml:space="preserve"> </w:t>
      </w:r>
      <w:r>
        <w:t xml:space="preserve">We state explicitly whether a non-significant result establishes absence of change, or merely a lack of evidence, given the small sample and time-averaging.</w:t>
      </w:r>
    </w:p>
    <w:bookmarkEnd w:id="124"/>
    <w:bookmarkStart w:id="126" w:name="analysis-1"/>
    <w:p>
      <w:pPr>
        <w:pStyle w:val="Heading3"/>
      </w:pPr>
      <w:r>
        <w:t xml:space="preserve">Analysis</w:t>
      </w:r>
    </w:p>
    <w:p>
      <w:pPr>
        <w:pStyle w:val="FirstParagraph"/>
      </w:pPr>
      <w:r>
        <w:t xml:space="preserve">We aggregate the cleaned object-level data to</w:t>
      </w:r>
      <w:r>
        <w:t xml:space="preserve"> </w:t>
      </w:r>
      <w:r>
        <w:rPr>
          <w:bCs/>
          <w:b/>
        </w:rPr>
        <w:t xml:space="preserve">site level</w:t>
      </w:r>
      <w:r>
        <w:t xml:space="preserve">: for each of the 28 sites we record the presence/absence of every sign type (any object at the site carrying the sign counts as present) and a single calibrated age taken as the median</w:t>
      </w:r>
      <w:r>
        <w:t xml:space="preserve"> </w:t>
      </w:r>
      <w:r>
        <w:rPr>
          <w:rStyle w:val="VerbatimChar"/>
        </w:rPr>
        <w:t xml:space="preserve">MedianBP</w:t>
      </w:r>
      <w:r>
        <w:t xml:space="preserve"> </w:t>
      </w:r>
      <w:r>
        <w:t xml:space="preserve">(years BP) across the site’s objects. Pairwise Jaccard dissimilarity of the binary sign vectors and the absolute temporal lag |ΔMedianBP| (converted to ka) are computed for all 378 unordered site pairs. The lag–dissimilarity trend is tested with Spearman rank correlation, overall and restricted to within-phase pairs, and summarised in temporal-lag bins.</w:t>
      </w:r>
    </w:p>
    <w:tbl>
      <w:tblPr>
        <w:tblStyle w:val="Table"/>
        <w:tblW w:type="pct" w:w="5000"/>
        <w:tblLook w:firstRow="0" w:lastRow="0" w:firstColumn="0" w:lastColumn="0" w:noHBand="0" w:noVBand="0" w:val="0000"/>
        <w:jc w:val="start"/>
        <w:tblLayout w:type="fixed"/>
      </w:tblPr>
      <w:tblGrid>
        <w:gridCol w:w="7920"/>
      </w:tblGrid>
      <w:tr>
        <w:tc>
          <w:tcPr/>
          <w:bookmarkStart w:id="125" w:name="tbl-ts-lag"/>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lag_bin</w:t>
                  </w:r>
                </w:p>
              </w:tc>
              <w:tc>
                <w:tcPr/>
                <w:p>
                  <w:pPr>
                    <w:pStyle w:val="Compact"/>
                    <w:jc w:val="right"/>
                    <w:jc w:val="center"/>
                  </w:pPr>
                  <w:r>
                    <w:t xml:space="preserve">Pairs</w:t>
                  </w:r>
                </w:p>
              </w:tc>
              <w:tc>
                <w:tcPr/>
                <w:p>
                  <w:pPr>
                    <w:pStyle w:val="Compact"/>
                    <w:jc w:val="right"/>
                    <w:jc w:val="center"/>
                  </w:pPr>
                  <w:r>
                    <w:t xml:space="preserve">Mean Jaccard dissimilarity</w:t>
                  </w:r>
                </w:p>
              </w:tc>
              <w:tc>
                <w:tcPr/>
                <w:p>
                  <w:pPr>
                    <w:pStyle w:val="Compact"/>
                    <w:jc w:val="right"/>
                    <w:jc w:val="center"/>
                  </w:pPr>
                  <w:r>
                    <w:t xml:space="preserve">SD</w:t>
                  </w:r>
                </w:p>
              </w:tc>
            </w:tr>
            <w:tr>
              <w:tc>
                <w:tcPr/>
                <w:p>
                  <w:pPr>
                    <w:pStyle w:val="Compact"/>
                    <w:jc w:val="left"/>
                    <w:jc w:val="center"/>
                  </w:pPr>
                  <w:r>
                    <w:t xml:space="preserve">[0,2]</w:t>
                  </w:r>
                </w:p>
              </w:tc>
              <w:tc>
                <w:tcPr/>
                <w:p>
                  <w:pPr>
                    <w:pStyle w:val="Compact"/>
                    <w:jc w:val="right"/>
                    <w:jc w:val="center"/>
                  </w:pPr>
                  <w:r>
                    <w:t xml:space="preserve">153</w:t>
                  </w:r>
                </w:p>
              </w:tc>
              <w:tc>
                <w:tcPr/>
                <w:p>
                  <w:pPr>
                    <w:pStyle w:val="Compact"/>
                    <w:jc w:val="right"/>
                    <w:jc w:val="center"/>
                  </w:pPr>
                  <w:r>
                    <w:t xml:space="preserve">0.768</w:t>
                  </w:r>
                </w:p>
              </w:tc>
              <w:tc>
                <w:tcPr/>
                <w:p>
                  <w:pPr>
                    <w:pStyle w:val="Compact"/>
                    <w:jc w:val="right"/>
                    <w:jc w:val="center"/>
                  </w:pPr>
                  <w:r>
                    <w:t xml:space="preserve">0.220</w:t>
                  </w:r>
                </w:p>
              </w:tc>
            </w:tr>
            <w:tr>
              <w:tc>
                <w:tcPr/>
                <w:p>
                  <w:pPr>
                    <w:pStyle w:val="Compact"/>
                    <w:jc w:val="left"/>
                    <w:jc w:val="center"/>
                  </w:pPr>
                  <w:r>
                    <w:t xml:space="preserve">(2,4]</w:t>
                  </w:r>
                </w:p>
              </w:tc>
              <w:tc>
                <w:tcPr/>
                <w:p>
                  <w:pPr>
                    <w:pStyle w:val="Compact"/>
                    <w:jc w:val="right"/>
                    <w:jc w:val="center"/>
                  </w:pPr>
                  <w:r>
                    <w:t xml:space="preserve">109</w:t>
                  </w:r>
                </w:p>
              </w:tc>
              <w:tc>
                <w:tcPr/>
                <w:p>
                  <w:pPr>
                    <w:pStyle w:val="Compact"/>
                    <w:jc w:val="right"/>
                    <w:jc w:val="center"/>
                  </w:pPr>
                  <w:r>
                    <w:t xml:space="preserve">0.761</w:t>
                  </w:r>
                </w:p>
              </w:tc>
              <w:tc>
                <w:tcPr/>
                <w:p>
                  <w:pPr>
                    <w:pStyle w:val="Compact"/>
                    <w:jc w:val="right"/>
                    <w:jc w:val="center"/>
                  </w:pPr>
                  <w:r>
                    <w:t xml:space="preserve">0.233</w:t>
                  </w:r>
                </w:p>
              </w:tc>
            </w:tr>
            <w:tr>
              <w:tc>
                <w:tcPr/>
                <w:p>
                  <w:pPr>
                    <w:pStyle w:val="Compact"/>
                    <w:jc w:val="left"/>
                    <w:jc w:val="center"/>
                  </w:pPr>
                  <w:r>
                    <w:t xml:space="preserve">(4,6]</w:t>
                  </w:r>
                </w:p>
              </w:tc>
              <w:tc>
                <w:tcPr/>
                <w:p>
                  <w:pPr>
                    <w:pStyle w:val="Compact"/>
                    <w:jc w:val="right"/>
                    <w:jc w:val="center"/>
                  </w:pPr>
                  <w:r>
                    <w:t xml:space="preserve">68</w:t>
                  </w:r>
                </w:p>
              </w:tc>
              <w:tc>
                <w:tcPr/>
                <w:p>
                  <w:pPr>
                    <w:pStyle w:val="Compact"/>
                    <w:jc w:val="right"/>
                    <w:jc w:val="center"/>
                  </w:pPr>
                  <w:r>
                    <w:t xml:space="preserve">0.693</w:t>
                  </w:r>
                </w:p>
              </w:tc>
              <w:tc>
                <w:tcPr/>
                <w:p>
                  <w:pPr>
                    <w:pStyle w:val="Compact"/>
                    <w:jc w:val="right"/>
                    <w:jc w:val="center"/>
                  </w:pPr>
                  <w:r>
                    <w:t xml:space="preserve">0.295</w:t>
                  </w:r>
                </w:p>
              </w:tc>
            </w:tr>
            <w:tr>
              <w:tc>
                <w:tcPr/>
                <w:p>
                  <w:pPr>
                    <w:pStyle w:val="Compact"/>
                    <w:jc w:val="left"/>
                    <w:jc w:val="center"/>
                  </w:pPr>
                  <w:r>
                    <w:t xml:space="preserve">(6,8]</w:t>
                  </w:r>
                </w:p>
              </w:tc>
              <w:tc>
                <w:tcPr/>
                <w:p>
                  <w:pPr>
                    <w:pStyle w:val="Compact"/>
                    <w:jc w:val="right"/>
                    <w:jc w:val="center"/>
                  </w:pPr>
                  <w:r>
                    <w:t xml:space="preserve">35</w:t>
                  </w:r>
                </w:p>
              </w:tc>
              <w:tc>
                <w:tcPr/>
                <w:p>
                  <w:pPr>
                    <w:pStyle w:val="Compact"/>
                    <w:jc w:val="right"/>
                    <w:jc w:val="center"/>
                  </w:pPr>
                  <w:r>
                    <w:t xml:space="preserve">0.766</w:t>
                  </w:r>
                </w:p>
              </w:tc>
              <w:tc>
                <w:tcPr/>
                <w:p>
                  <w:pPr>
                    <w:pStyle w:val="Compact"/>
                    <w:jc w:val="right"/>
                    <w:jc w:val="center"/>
                  </w:pPr>
                  <w:r>
                    <w:t xml:space="preserve">0.256</w:t>
                  </w:r>
                </w:p>
              </w:tc>
            </w:tr>
            <w:tr>
              <w:tc>
                <w:tcPr/>
                <w:p>
                  <w:pPr>
                    <w:pStyle w:val="Compact"/>
                    <w:jc w:val="left"/>
                    <w:jc w:val="center"/>
                  </w:pPr>
                  <w:r>
                    <w:t xml:space="preserve">(8,10]</w:t>
                  </w:r>
                </w:p>
              </w:tc>
              <w:tc>
                <w:tcPr/>
                <w:p>
                  <w:pPr>
                    <w:pStyle w:val="Compact"/>
                    <w:jc w:val="right"/>
                    <w:jc w:val="center"/>
                  </w:pPr>
                  <w:r>
                    <w:t xml:space="preserve">10</w:t>
                  </w:r>
                </w:p>
              </w:tc>
              <w:tc>
                <w:tcPr/>
                <w:p>
                  <w:pPr>
                    <w:pStyle w:val="Compact"/>
                    <w:jc w:val="right"/>
                    <w:jc w:val="center"/>
                  </w:pPr>
                  <w:r>
                    <w:t xml:space="preserve">0.638</w:t>
                  </w:r>
                </w:p>
              </w:tc>
              <w:tc>
                <w:tcPr/>
                <w:p>
                  <w:pPr>
                    <w:pStyle w:val="Compact"/>
                    <w:jc w:val="right"/>
                    <w:jc w:val="center"/>
                  </w:pPr>
                  <w:r>
                    <w:t xml:space="preserve">0.359</w:t>
                  </w:r>
                </w:p>
              </w:tc>
            </w:tr>
            <w:tr>
              <w:tc>
                <w:tcPr/>
                <w:p>
                  <w:pPr>
                    <w:pStyle w:val="Compact"/>
                    <w:jc w:val="left"/>
                    <w:jc w:val="center"/>
                  </w:pPr>
                  <w:r>
                    <w:t xml:space="preserve">(10,12]</w:t>
                  </w:r>
                </w:p>
              </w:tc>
              <w:tc>
                <w:tcPr/>
                <w:p>
                  <w:pPr>
                    <w:pStyle w:val="Compact"/>
                    <w:jc w:val="right"/>
                    <w:jc w:val="center"/>
                  </w:pPr>
                  <w:r>
                    <w:t xml:space="preserve">3</w:t>
                  </w:r>
                </w:p>
              </w:tc>
              <w:tc>
                <w:tcPr/>
                <w:p>
                  <w:pPr>
                    <w:pStyle w:val="Compact"/>
                    <w:jc w:val="right"/>
                    <w:jc w:val="center"/>
                  </w:pPr>
                  <w:r>
                    <w:t xml:space="preserve">0.625</w:t>
                  </w:r>
                </w:p>
              </w:tc>
              <w:tc>
                <w:tcPr/>
                <w:p>
                  <w:pPr>
                    <w:pStyle w:val="Compact"/>
                    <w:jc w:val="right"/>
                    <w:jc w:val="center"/>
                  </w:pPr>
                  <w:r>
                    <w:t xml:space="preserve">0.545</w:t>
                  </w:r>
                </w:p>
              </w:tc>
            </w:tr>
          </w:tbl>
          <w:p>
            <w:pPr>
              <w:jc w:val="center"/>
            </w:pPr>
            <w:pPr>
              <w:jc w:val="start"/>
              <w:spacing w:before="200"/>
              <w:pStyle w:val="ImageCaption"/>
            </w:pPr>
            <w:r>
              <w:t xml:space="preserve">Table S 24: Mean Jaccard dissimilarity of geometric-sign repertoires by temporal-lag class (absolute |ΔMedianBP| between site pairs, in ka). Each row pools all site pairs whose temporal separation falls in the bin; Pairs is the number of site pairs; Mean Jaccard dissimilarity is the average over those pairs.</w:t>
            </w:r>
          </w:p>
          <w:bookmarkEnd w:id="125"/>
        </w:tc>
      </w:tr>
    </w:tbl>
    <w:bookmarkEnd w:id="126"/>
    <w:bookmarkStart w:id="127" w:name="interpretation-2"/>
    <w:p>
      <w:pPr>
        <w:pStyle w:val="Heading3"/>
      </w:pPr>
      <w:r>
        <w:t xml:space="preserve">Interpretation</w:t>
      </w:r>
    </w:p>
    <w:p>
      <w:pPr>
        <w:pStyle w:val="FirstParagraph"/>
      </w:pPr>
      <w:r>
        <w:rPr>
          <w:bCs/>
          <w:b/>
        </w:rPr>
        <w:t xml:space="preserve">Question 1 — does sign dissimilarity increase with temporal lag?</w:t>
      </w:r>
      <w:r>
        <w:t xml:space="preserve"> </w:t>
      </w:r>
      <w:r>
        <w:t xml:space="preserve">No. Across all 378 site pairs the Spearman correlation between temporal lag (|ΔMedianBP|, ka) and Jaccard sign dissimilarity is -0.045 (p = 0.387) — essentially zero and non-significant — so dissimilarity does not rise as sites become more separated in time. The binned means are flat and non-monotonic (</w:t>
      </w:r>
      <w:hyperlink w:anchor="tbl-ts-lag">
        <w:r>
          <w:rPr>
            <w:rStyle w:val="Hyperlink"/>
          </w:rPr>
          <w:t xml:space="preserve">Table S 24</w:t>
        </w:r>
      </w:hyperlink>
      <w:r>
        <w:t xml:space="preserve">): mean dissimilarity is 0.768 at the shortest lags (0–2 ka) and shows no orderly increase at longer lags; the highest-lag bin ((10,12], only 3 pairs) is too sparsely sampled to support any trend. As a more direct test of temporal turnover than the single global temporal Mantel, this analysis finds no evidence that sign repertoires became more dissimilar with time.</w:t>
      </w:r>
    </w:p>
    <w:p>
      <w:pPr>
        <w:pStyle w:val="BodyText"/>
      </w:pPr>
      <w:r>
        <w:rPr>
          <w:bCs/>
          <w:b/>
        </w:rPr>
        <w:t xml:space="preserve">Question 2 — is any time signal driven by the between-phase gap or by gradual within-phase change?</w:t>
      </w:r>
      <w:r>
        <w:t xml:space="preserve"> </w:t>
      </w:r>
      <w:r>
        <w:t xml:space="preserve">The time signal is absent in both components. Within-phase pairs (mean lag 2.12 ka) give ρ = -0.038 (p = 0.583), again flat. The between-phase gap dominates the temporal variance in the pooled sample — between-phase pairs have a mean lag of 4.25 ka, roughly double the within-phase mean — yet between-phase pairs are if anything slightly</w:t>
      </w:r>
      <w:r>
        <w:t xml:space="preserve"> </w:t>
      </w:r>
      <w:r>
        <w:rPr>
          <w:iCs/>
          <w:i/>
        </w:rPr>
        <w:t xml:space="preserve">less</w:t>
      </w:r>
      <w:r>
        <w:t xml:space="preserve"> </w:t>
      </w:r>
      <w:r>
        <w:t xml:space="preserve">dissimilar (mean Jaccard 0.727) than within-phase pairs (mean Jaccard 0.765). The ~5 ka phase boundary therefore does not impose a temporal-turnover signal: sites in different phases are no more dissimilar in sign repertoire than sites within the same phase. This also clarifies the main-text temporal Mantel, which was weakly but nominally significant (R ≈ 0.06, p ≈ 0.004) only because it pairs 438 objects that largely share a site</w:t>
      </w:r>
      <w:r>
        <w:t xml:space="preserve"> </w:t>
      </w:r>
      <w:r>
        <w:rPr>
          <w:rStyle w:val="VerbatimChar"/>
        </w:rPr>
        <w:t xml:space="preserve">MedianBP</w:t>
      </w:r>
      <w:r>
        <w:t xml:space="preserve">, inflating the effective sample; at the site level, where each age is measured once, no monotonic time trend remains.</w:t>
      </w:r>
    </w:p>
    <w:p>
      <w:pPr>
        <w:pStyle w:val="BodyText"/>
      </w:pPr>
      <w:r>
        <w:rPr>
          <w:bCs/>
          <w:b/>
        </w:rPr>
        <w:t xml:space="preserve">Question 3 — how should a flat trend be interpreted?</w:t>
      </w:r>
      <w:r>
        <w:t xml:space="preserve"> </w:t>
      </w:r>
      <w:r>
        <w:t xml:space="preserve">A null result here cannot establish that substantial change did</w:t>
      </w:r>
      <w:r>
        <w:t xml:space="preserve"> </w:t>
      </w:r>
      <w:r>
        <w:rPr>
          <w:iCs/>
          <w:i/>
        </w:rPr>
        <w:t xml:space="preserve">not</w:t>
      </w:r>
      <w:r>
        <w:t xml:space="preserve"> </w:t>
      </w:r>
      <w:r>
        <w:t xml:space="preserve">occur. The test is underpowered — only 28 sites (19 in Aur-P1, 9 in Aur-P2) yielding 378 pairs — each phase spans several millennia and each site is collapsed to a single</w:t>
      </w:r>
      <w:r>
        <w:t xml:space="preserve"> </w:t>
      </w:r>
      <w:r>
        <w:rPr>
          <w:rStyle w:val="VerbatimChar"/>
        </w:rPr>
        <w:t xml:space="preserve">MedianBP</w:t>
      </w:r>
      <w:r>
        <w:t xml:space="preserve"> </w:t>
      </w:r>
      <w:r>
        <w:t xml:space="preserve">with large calibrated errors (time-averaging), and genuine change could be non-monotonic (signs appearing and later disappearing) or additive (later sites retaining earlier repertoires while adding new ones), either of which would leave Jaccard dissimilarity nearly constant. The lag analysis therefore shows only that the data contain</w:t>
      </w:r>
      <w:r>
        <w:t xml:space="preserve"> </w:t>
      </w:r>
      <w:r>
        <w:rPr>
          <w:iCs/>
          <w:i/>
        </w:rPr>
        <w:t xml:space="preserve">no strong evidence</w:t>
      </w:r>
      <w:r>
        <w:t xml:space="preserve"> </w:t>
      </w:r>
      <w:r>
        <w:t xml:space="preserve">of time-structured change in sign repertoires; it does</w:t>
      </w:r>
      <w:r>
        <w:t xml:space="preserve"> </w:t>
      </w:r>
      <w:r>
        <w:rPr>
          <w:bCs/>
          <w:b/>
        </w:rPr>
        <w:t xml:space="preserve">not</w:t>
      </w:r>
      <w:r>
        <w:t xml:space="preserve"> </w:t>
      </w:r>
      <w:r>
        <w:t xml:space="preserve">demonstrate the absence of change. This is consistent with the corrected temporal-Mantel wording in the main text and with the</w:t>
      </w:r>
      <w:r>
        <w:t xml:space="preserve"> </w:t>
      </w:r>
      <w:r>
        <w:t xml:space="preserve">Section S1.8.1</w:t>
      </w:r>
      <w:r>
        <w:t xml:space="preserve"> </w:t>
      </w:r>
      <w:r>
        <w:t xml:space="preserve">multiple regression, both of which conclude that temporal distance explains little of the variation in sign composition and cannot establish whether substantial change did or did not occur.</w:t>
      </w:r>
    </w:p>
    <w:bookmarkEnd w:id="127"/>
    <w:bookmarkEnd w:id="128"/>
    <w:bookmarkStart w:id="137" w:name="sec-s8-3"/>
    <w:p>
      <w:pPr>
        <w:pStyle w:val="Heading2"/>
      </w:pPr>
      <w:r>
        <w:t xml:space="preserve">S1.8.3 Objective Regional Grouping</w:t>
      </w:r>
    </w:p>
    <w:bookmarkStart w:id="135" w:name="rationale-11"/>
    <w:p>
      <w:pPr>
        <w:pStyle w:val="Heading3"/>
      </w:pPr>
      <w:r>
        <w:t xml:space="preserve">Rationale</w:t>
      </w:r>
    </w:p>
    <w:p>
      <w:pPr>
        <w:pStyle w:val="FirstParagraph"/>
      </w:pPr>
      <w:r>
        <w:t xml:space="preserve">If Aurignacian signs were regionally structured in the Vanhaeren 14-group sense, a geography-first partition should explain Jaccard variation. We run the discovery with</w:t>
      </w:r>
      <w:r>
        <w:t xml:space="preserve"> </w:t>
      </w:r>
      <w:r>
        <w:rPr>
          <w:rStyle w:val="VerbatimChar"/>
        </w:rPr>
        <w:t xml:space="preserve">PAM</w:t>
      </w:r>
      <w:r>
        <w:t xml:space="preserve"> </w:t>
      </w:r>
      <w:r>
        <w:t xml:space="preserve">(k-medoids) on geodesic kilometres (</w:t>
      </w:r>
      <w:r>
        <w:rPr>
          <w:rStyle w:val="VerbatimChar"/>
        </w:rPr>
        <w:t xml:space="preserve">sf::st_distance</w:t>
      </w:r>
      <w:r>
        <w:t xml:space="preserve">) as primary and report</w:t>
      </w:r>
      <w:r>
        <w:t xml:space="preserve"> </w:t>
      </w:r>
      <w:r>
        <w:rPr>
          <w:rStyle w:val="VerbatimChar"/>
        </w:rPr>
        <w:t xml:space="preserve">k-means</w:t>
      </w:r>
      <w:r>
        <w:t xml:space="preserve"> </w:t>
      </w:r>
      <w:r>
        <w:t xml:space="preserve">on flat</w:t>
      </w:r>
      <w:r>
        <w:t xml:space="preserve"> </w:t>
      </w:r>
      <w:r>
        <w:rPr>
          <w:rStyle w:val="VerbatimChar"/>
        </w:rPr>
        <w:t xml:space="preserve">cbind(lon, lat)</w:t>
      </w:r>
      <w:r>
        <w:t xml:space="preserve"> </w:t>
      </w:r>
      <w:r>
        <w:t xml:space="preserve">as a one-line sensitivity. We test</w:t>
      </w:r>
      <w:r>
        <w:t xml:space="preserve"> </w:t>
      </w:r>
      <w:r>
        <w:rPr>
          <w:rStyle w:val="VerbatimChar"/>
        </w:rPr>
        <w:t xml:space="preserve">k=2..5</w:t>
      </w:r>
      <w:r>
        <w:t xml:space="preserve"> </w:t>
      </w:r>
      <w:r>
        <w:t xml:space="preserve">(k=4,5 in Aur-P2,</w:t>
      </w:r>
      <w:r>
        <w:t xml:space="preserve"> </w:t>
      </w:r>
      <w:r>
        <w:rPr>
          <w:rStyle w:val="VerbatimChar"/>
        </w:rPr>
        <w:t xml:space="preserve">n=9</w:t>
      </w:r>
      <w:r>
        <w:t xml:space="preserve">, inevitably leaves singleton regions and is flagged unstable). For context the</w:t>
      </w:r>
      <w:r>
        <w:t xml:space="preserve"> </w:t>
      </w:r>
      <w:r>
        <w:rPr>
          <w:rStyle w:val="VerbatimChar"/>
        </w:rPr>
        <w:t xml:space="preserve">country</w:t>
      </w:r>
      <w:r>
        <w:t xml:space="preserve"> </w:t>
      </w:r>
      <w:r>
        <w:t xml:space="preserve">row is retained as sensitivity only.</w:t>
      </w:r>
    </w:p>
    <w:tbl>
      <w:tblPr>
        <w:tblStyle w:val="Table"/>
        <w:tblW w:type="pct" w:w="5000"/>
        <w:tblLook w:firstRow="0" w:lastRow="0" w:firstColumn="0" w:lastColumn="0" w:noHBand="0" w:noVBand="0" w:val="0000"/>
        <w:jc w:val="start"/>
        <w:tblLayout w:type="fixed"/>
      </w:tblPr>
      <w:tblGrid>
        <w:gridCol w:w="7920"/>
      </w:tblGrid>
      <w:tr>
        <w:tc>
          <w:tcPr/>
          <w:bookmarkStart w:id="129" w:name="tbl-region-silhouette"/>
          <w:tbl>
            <w:tblPr>
              <w:tblStyle w:val="Table"/>
              <w:tblW w:type="pct" w:w="5000"/>
              <w:tblLook w:firstRow="1" w:lastRow="0" w:firstColumn="0" w:lastColumn="0" w:noHBand="0" w:noVBand="0" w:val="0020"/>
              <w:jc w:val="start"/>
              <w:tblLayout w:type="fixed"/>
            </w:tblPr>
            <w:tblGrid>
              <w:gridCol w:w="815"/>
              <w:gridCol w:w="1514"/>
              <w:gridCol w:w="349"/>
              <w:gridCol w:w="1980"/>
              <w:gridCol w:w="2096"/>
              <w:gridCol w:w="1164"/>
            </w:tblGrid>
            <w:tr>
              <w:trPr>
                <w:tblHeader w:val="true"/>
              </w:trPr>
              <w:tc>
                <w:tcPr/>
                <w:p>
                  <w:pPr>
                    <w:pStyle w:val="Compact"/>
                    <w:jc w:val="left"/>
                    <w:jc w:val="center"/>
                  </w:pPr>
                  <w:r>
                    <w:t xml:space="preserve">Phase</w:t>
                  </w:r>
                </w:p>
              </w:tc>
              <w:tc>
                <w:tcPr/>
                <w:p>
                  <w:pPr>
                    <w:pStyle w:val="Compact"/>
                    <w:jc w:val="left"/>
                    <w:jc w:val="center"/>
                  </w:pPr>
                  <w:r>
                    <w:t xml:space="preserve">Method</w:t>
                  </w:r>
                </w:p>
              </w:tc>
              <w:tc>
                <w:tcPr/>
                <w:p>
                  <w:pPr>
                    <w:pStyle w:val="Compact"/>
                    <w:jc w:val="center"/>
                    <w:jc w:val="center"/>
                  </w:pPr>
                  <w:r>
                    <w:t xml:space="preserve">k</w:t>
                  </w:r>
                </w:p>
              </w:tc>
              <w:tc>
                <w:tcPr/>
                <w:p>
                  <w:pPr>
                    <w:pStyle w:val="Compact"/>
                    <w:jc w:val="center"/>
                    <w:jc w:val="center"/>
                  </w:pPr>
                  <w:r>
                    <w:t xml:space="preserve">Mean silhouette</w:t>
                  </w:r>
                </w:p>
              </w:tc>
              <w:tc>
                <w:tcPr/>
                <w:p>
                  <w:pPr>
                    <w:pStyle w:val="Compact"/>
                    <w:jc w:val="center"/>
                    <w:jc w:val="center"/>
                  </w:pPr>
                  <w:r>
                    <w:t xml:space="preserve">Sites per region</w:t>
                  </w:r>
                </w:p>
              </w:tc>
              <w:tc>
                <w:tcPr/>
                <w:p>
                  <w:pPr>
                    <w:pStyle w:val="Compact"/>
                    <w:jc w:val="center"/>
                    <w:jc w:val="center"/>
                  </w:pPr>
                  <w:r>
                    <w:t xml:space="preserve">Unstable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2</w:t>
                  </w:r>
                </w:p>
              </w:tc>
              <w:tc>
                <w:tcPr/>
                <w:p>
                  <w:pPr>
                    <w:pStyle w:val="Compact"/>
                    <w:jc w:val="center"/>
                    <w:jc w:val="center"/>
                  </w:pPr>
                  <w:r>
                    <w:t xml:space="preserve">0.540</w:t>
                  </w:r>
                </w:p>
              </w:tc>
              <w:tc>
                <w:tcPr/>
                <w:p>
                  <w:pPr>
                    <w:pStyle w:val="Compact"/>
                    <w:jc w:val="center"/>
                    <w:jc w:val="center"/>
                  </w:pPr>
                  <w:r>
                    <w:t xml:space="preserve">12/8</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3</w:t>
                  </w:r>
                </w:p>
              </w:tc>
              <w:tc>
                <w:tcPr/>
                <w:p>
                  <w:pPr>
                    <w:pStyle w:val="Compact"/>
                    <w:jc w:val="center"/>
                    <w:jc w:val="center"/>
                  </w:pPr>
                  <w:r>
                    <w:t xml:space="preserve">0.441</w:t>
                  </w:r>
                </w:p>
              </w:tc>
              <w:tc>
                <w:tcPr/>
                <w:p>
                  <w:pPr>
                    <w:pStyle w:val="Compact"/>
                    <w:jc w:val="center"/>
                    <w:jc w:val="center"/>
                  </w:pPr>
                  <w:r>
                    <w:t xml:space="preserve">8/7/5</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4</w:t>
                  </w:r>
                </w:p>
              </w:tc>
              <w:tc>
                <w:tcPr/>
                <w:p>
                  <w:pPr>
                    <w:pStyle w:val="Compact"/>
                    <w:jc w:val="center"/>
                    <w:jc w:val="center"/>
                  </w:pPr>
                  <w:r>
                    <w:t xml:space="preserve">0.550</w:t>
                  </w:r>
                </w:p>
              </w:tc>
              <w:tc>
                <w:tcPr/>
                <w:p>
                  <w:pPr>
                    <w:pStyle w:val="Compact"/>
                    <w:jc w:val="center"/>
                    <w:jc w:val="center"/>
                  </w:pPr>
                  <w:r>
                    <w:t xml:space="preserve">8/6/4/2</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5</w:t>
                  </w:r>
                </w:p>
              </w:tc>
              <w:tc>
                <w:tcPr/>
                <w:p>
                  <w:pPr>
                    <w:pStyle w:val="Compact"/>
                    <w:jc w:val="center"/>
                    <w:jc w:val="center"/>
                  </w:pPr>
                  <w:r>
                    <w:t xml:space="preserve">0.574</w:t>
                  </w:r>
                </w:p>
              </w:tc>
              <w:tc>
                <w:tcPr/>
                <w:p>
                  <w:pPr>
                    <w:pStyle w:val="Compact"/>
                    <w:jc w:val="center"/>
                    <w:jc w:val="center"/>
                  </w:pPr>
                  <w:r>
                    <w:t xml:space="preserve">8/5/4/2/1</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2</w:t>
                  </w:r>
                </w:p>
              </w:tc>
              <w:tc>
                <w:tcPr/>
                <w:p>
                  <w:pPr>
                    <w:pStyle w:val="Compact"/>
                    <w:jc w:val="center"/>
                    <w:jc w:val="center"/>
                  </w:pPr>
                  <w:r>
                    <w:t xml:space="preserve">0.609</w:t>
                  </w:r>
                </w:p>
              </w:tc>
              <w:tc>
                <w:tcPr/>
                <w:p>
                  <w:pPr>
                    <w:pStyle w:val="Compact"/>
                    <w:jc w:val="center"/>
                    <w:jc w:val="center"/>
                  </w:pPr>
                  <w:r>
                    <w:t xml:space="preserve">6/3</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3</w:t>
                  </w:r>
                </w:p>
              </w:tc>
              <w:tc>
                <w:tcPr/>
                <w:p>
                  <w:pPr>
                    <w:pStyle w:val="Compact"/>
                    <w:jc w:val="center"/>
                    <w:jc w:val="center"/>
                  </w:pPr>
                  <w:r>
                    <w:t xml:space="preserve">0.561</w:t>
                  </w:r>
                </w:p>
              </w:tc>
              <w:tc>
                <w:tcPr/>
                <w:p>
                  <w:pPr>
                    <w:pStyle w:val="Compact"/>
                    <w:jc w:val="center"/>
                    <w:jc w:val="center"/>
                  </w:pPr>
                  <w:r>
                    <w:t xml:space="preserve">4/3/2</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4</w:t>
                  </w:r>
                </w:p>
              </w:tc>
              <w:tc>
                <w:tcPr/>
                <w:p>
                  <w:pPr>
                    <w:pStyle w:val="Compact"/>
                    <w:jc w:val="center"/>
                    <w:jc w:val="center"/>
                  </w:pPr>
                  <w:r>
                    <w:t xml:space="preserve">0.477</w:t>
                  </w:r>
                </w:p>
              </w:tc>
              <w:tc>
                <w:tcPr/>
                <w:p>
                  <w:pPr>
                    <w:pStyle w:val="Compact"/>
                    <w:jc w:val="center"/>
                    <w:jc w:val="center"/>
                  </w:pPr>
                  <w:r>
                    <w:t xml:space="preserve">4/2/1/2</w:t>
                  </w:r>
                </w:p>
              </w:tc>
              <w:tc>
                <w:tcPr/>
                <w:p>
                  <w:pPr>
                    <w:pStyle w:val="Compact"/>
                    <w:jc w:val="center"/>
                    <w:jc w:val="center"/>
                  </w:pPr>
                  <w:r>
                    <w:t xml:space="preserve">TRUE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5</w:t>
                  </w:r>
                </w:p>
              </w:tc>
              <w:tc>
                <w:tcPr/>
                <w:p>
                  <w:pPr>
                    <w:pStyle w:val="Compact"/>
                    <w:jc w:val="center"/>
                    <w:jc w:val="center"/>
                  </w:pPr>
                  <w:r>
                    <w:t xml:space="preserve">0.480</w:t>
                  </w:r>
                </w:p>
              </w:tc>
              <w:tc>
                <w:tcPr/>
                <w:p>
                  <w:pPr>
                    <w:pStyle w:val="Compact"/>
                    <w:jc w:val="center"/>
                    <w:jc w:val="center"/>
                  </w:pPr>
                  <w:r>
                    <w:t xml:space="preserve">3/2/1/2/1</w:t>
                  </w:r>
                </w:p>
              </w:tc>
              <w:tc>
                <w:tcPr/>
                <w:p>
                  <w:pPr>
                    <w:pStyle w:val="Compact"/>
                    <w:jc w:val="center"/>
                    <w:jc w:val="center"/>
                  </w:pPr>
                  <w:r>
                    <w:t xml:space="preserve">TRUE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2</w:t>
                  </w:r>
                </w:p>
              </w:tc>
              <w:tc>
                <w:tcPr/>
                <w:p>
                  <w:pPr>
                    <w:pStyle w:val="Compact"/>
                    <w:jc w:val="center"/>
                    <w:jc w:val="center"/>
                  </w:pPr>
                  <w:r>
                    <w:t xml:space="preserve">0.541</w:t>
                  </w:r>
                </w:p>
              </w:tc>
              <w:tc>
                <w:tcPr/>
                <w:p>
                  <w:pPr>
                    <w:pStyle w:val="Compact"/>
                    <w:jc w:val="center"/>
                    <w:jc w:val="center"/>
                  </w:pPr>
                  <w:r>
                    <w:t xml:space="preserve">11/9</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3</w:t>
                  </w:r>
                </w:p>
              </w:tc>
              <w:tc>
                <w:tcPr/>
                <w:p>
                  <w:pPr>
                    <w:pStyle w:val="Compact"/>
                    <w:jc w:val="center"/>
                    <w:jc w:val="center"/>
                  </w:pPr>
                  <w:r>
                    <w:t xml:space="preserve">0.547</w:t>
                  </w:r>
                </w:p>
              </w:tc>
              <w:tc>
                <w:tcPr/>
                <w:p>
                  <w:pPr>
                    <w:pStyle w:val="Compact"/>
                    <w:jc w:val="center"/>
                    <w:jc w:val="center"/>
                  </w:pPr>
                  <w:r>
                    <w:t xml:space="preserve">8/6/6</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4</w:t>
                  </w:r>
                </w:p>
              </w:tc>
              <w:tc>
                <w:tcPr/>
                <w:p>
                  <w:pPr>
                    <w:pStyle w:val="Compact"/>
                    <w:jc w:val="center"/>
                    <w:jc w:val="center"/>
                  </w:pPr>
                  <w:r>
                    <w:t xml:space="preserve">0.556</w:t>
                  </w:r>
                </w:p>
              </w:tc>
              <w:tc>
                <w:tcPr/>
                <w:p>
                  <w:pPr>
                    <w:pStyle w:val="Compact"/>
                    <w:jc w:val="center"/>
                    <w:jc w:val="center"/>
                  </w:pPr>
                  <w:r>
                    <w:t xml:space="preserve">5/6/8/1</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5</w:t>
                  </w:r>
                </w:p>
              </w:tc>
              <w:tc>
                <w:tcPr/>
                <w:p>
                  <w:pPr>
                    <w:pStyle w:val="Compact"/>
                    <w:jc w:val="center"/>
                    <w:jc w:val="center"/>
                  </w:pPr>
                  <w:r>
                    <w:t xml:space="preserve">0.609</w:t>
                  </w:r>
                </w:p>
              </w:tc>
              <w:tc>
                <w:tcPr/>
                <w:p>
                  <w:pPr>
                    <w:pStyle w:val="Compact"/>
                    <w:jc w:val="center"/>
                    <w:jc w:val="center"/>
                  </w:pPr>
                  <w:r>
                    <w:t xml:space="preserve">4/2/5/8/1</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2</w:t>
                  </w:r>
                </w:p>
              </w:tc>
              <w:tc>
                <w:tcPr/>
                <w:p>
                  <w:pPr>
                    <w:pStyle w:val="Compact"/>
                    <w:jc w:val="center"/>
                    <w:jc w:val="center"/>
                  </w:pPr>
                  <w:r>
                    <w:t xml:space="preserve">0.593</w:t>
                  </w:r>
                </w:p>
              </w:tc>
              <w:tc>
                <w:tcPr/>
                <w:p>
                  <w:pPr>
                    <w:pStyle w:val="Compact"/>
                    <w:jc w:val="center"/>
                    <w:jc w:val="center"/>
                  </w:pPr>
                  <w:r>
                    <w:t xml:space="preserve">6/3</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3</w:t>
                  </w:r>
                </w:p>
              </w:tc>
              <w:tc>
                <w:tcPr/>
                <w:p>
                  <w:pPr>
                    <w:pStyle w:val="Compact"/>
                    <w:jc w:val="center"/>
                    <w:jc w:val="center"/>
                  </w:pPr>
                  <w:r>
                    <w:t xml:space="preserve">0.599</w:t>
                  </w:r>
                </w:p>
              </w:tc>
              <w:tc>
                <w:tcPr/>
                <w:p>
                  <w:pPr>
                    <w:pStyle w:val="Compact"/>
                    <w:jc w:val="center"/>
                    <w:jc w:val="center"/>
                  </w:pPr>
                  <w:r>
                    <w:t xml:space="preserve">3/2/4</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4</w:t>
                  </w:r>
                </w:p>
              </w:tc>
              <w:tc>
                <w:tcPr/>
                <w:p>
                  <w:pPr>
                    <w:pStyle w:val="Compact"/>
                    <w:jc w:val="center"/>
                    <w:jc w:val="center"/>
                  </w:pPr>
                  <w:r>
                    <w:t xml:space="preserve">0.532</w:t>
                  </w:r>
                </w:p>
              </w:tc>
              <w:tc>
                <w:tcPr/>
                <w:p>
                  <w:pPr>
                    <w:pStyle w:val="Compact"/>
                    <w:jc w:val="center"/>
                    <w:jc w:val="center"/>
                  </w:pPr>
                  <w:r>
                    <w:t xml:space="preserve">1/2/4/2</w:t>
                  </w:r>
                </w:p>
              </w:tc>
              <w:tc>
                <w:tcPr/>
                <w:p>
                  <w:pPr>
                    <w:pStyle w:val="Compact"/>
                    <w:jc w:val="center"/>
                    <w:jc w:val="center"/>
                  </w:pPr>
                  <w:r>
                    <w:t xml:space="preserve">TRUE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5</w:t>
                  </w:r>
                </w:p>
              </w:tc>
              <w:tc>
                <w:tcPr/>
                <w:p>
                  <w:pPr>
                    <w:pStyle w:val="Compact"/>
                    <w:jc w:val="center"/>
                    <w:jc w:val="center"/>
                  </w:pPr>
                  <w:r>
                    <w:t xml:space="preserve">0.558</w:t>
                  </w:r>
                </w:p>
              </w:tc>
              <w:tc>
                <w:tcPr/>
                <w:p>
                  <w:pPr>
                    <w:pStyle w:val="Compact"/>
                    <w:jc w:val="center"/>
                    <w:jc w:val="center"/>
                  </w:pPr>
                  <w:r>
                    <w:t xml:space="preserve">2/3/1/1/2</w:t>
                  </w:r>
                </w:p>
              </w:tc>
              <w:tc>
                <w:tcPr/>
                <w:p>
                  <w:pPr>
                    <w:pStyle w:val="Compact"/>
                    <w:jc w:val="center"/>
                    <w:jc w:val="center"/>
                  </w:pPr>
                  <w:r>
                    <w:t xml:space="preserve">FALSE</w:t>
                  </w:r>
                </w:p>
              </w:tc>
            </w:tr>
          </w:tbl>
          <w:p>
            <w:pPr>
              <w:jc w:val="center"/>
            </w:pPr>
            <w:pPr>
              <w:jc w:val="start"/>
              <w:spacing w:before="200"/>
              <w:pStyle w:val="ImageCaption"/>
            </w:pPr>
            <w:r>
              <w:t xml:space="preserve">Table S 25: Objective geographic region choice: PAM on geodesic kilometres (primary) and k-means on flat lon/lat (sensitivity) for k=2..5. Mean silhouette computed on the same distance used for clustering. k=2 (West vs Central) is primary interpretive partition (Core vs Extended sensu Schmidt &amp; Zimmermann); k=4,5 in Aur-P2 (n=9) leaves singleton regions and is flagged unstable. Best PAM k by silhouette is marked.</w:t>
            </w:r>
          </w:p>
          <w:bookmarkEnd w:id="129"/>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30" w:name="tbl-region-permanova"/>
          <w:tbl>
            <w:tblPr>
              <w:tblStyle w:val="Table"/>
              <w:tblW w:type="pct" w:w="5000"/>
              <w:tblLook w:firstRow="1" w:lastRow="0" w:firstColumn="0" w:lastColumn="0" w:noHBand="0" w:noVBand="0" w:val="0020"/>
              <w:jc w:val="start"/>
              <w:tblLayout w:type="fixed"/>
            </w:tblPr>
            <w:tblGrid>
              <w:gridCol w:w="596"/>
              <w:gridCol w:w="2299"/>
              <w:gridCol w:w="2043"/>
              <w:gridCol w:w="596"/>
              <w:gridCol w:w="596"/>
              <w:gridCol w:w="596"/>
              <w:gridCol w:w="1192"/>
            </w:tblGrid>
            <w:tr>
              <w:trPr>
                <w:tblHeader w:val="true"/>
              </w:trPr>
              <w:tc>
                <w:tcPr/>
                <w:p>
                  <w:pPr>
                    <w:pStyle w:val="Compact"/>
                    <w:jc w:val="left"/>
                    <w:jc w:val="center"/>
                  </w:pPr>
                  <w:r>
                    <w:t xml:space="preserve">Phase</w:t>
                  </w:r>
                </w:p>
              </w:tc>
              <w:tc>
                <w:tcPr/>
                <w:p>
                  <w:pPr>
                    <w:pStyle w:val="Compact"/>
                    <w:jc w:val="left"/>
                    <w:jc w:val="center"/>
                  </w:pPr>
                  <w:r>
                    <w:t xml:space="preserve">Partition</w:t>
                  </w:r>
                </w:p>
              </w:tc>
              <w:tc>
                <w:tcPr/>
                <w:p>
                  <w:pPr>
                    <w:pStyle w:val="Compact"/>
                    <w:jc w:val="left"/>
                    <w:jc w:val="center"/>
                  </w:pPr>
                  <w:r>
                    <w:t xml:space="preserve">Term</w:t>
                  </w:r>
                </w:p>
              </w:tc>
              <w:tc>
                <w:tcPr/>
                <w:p>
                  <w:pPr>
                    <w:pStyle w:val="Compact"/>
                    <w:jc w:val="center"/>
                    <w:jc w:val="center"/>
                  </w:pPr>
                  <w:r>
                    <w:t xml:space="preserve">R2</w:t>
                  </w:r>
                </w:p>
              </w:tc>
              <w:tc>
                <w:tcPr/>
                <w:p>
                  <w:pPr>
                    <w:pStyle w:val="Compact"/>
                    <w:jc w:val="center"/>
                    <w:jc w:val="center"/>
                  </w:pPr>
                  <w:r>
                    <w:t xml:space="preserve">F</w:t>
                  </w:r>
                </w:p>
              </w:tc>
              <w:tc>
                <w:tcPr/>
                <w:p>
                  <w:pPr>
                    <w:pStyle w:val="Compact"/>
                    <w:jc w:val="center"/>
                    <w:jc w:val="center"/>
                  </w:pPr>
                  <w:r>
                    <w:t xml:space="preserve">p</w:t>
                  </w:r>
                </w:p>
              </w:tc>
              <w:tc>
                <w:tcPr/>
                <w:p>
                  <w:pPr>
                    <w:pStyle w:val="Compact"/>
                    <w:jc w:val="center"/>
                    <w:jc w:val="center"/>
                  </w:pPr>
                  <w:r>
                    <w:t xml:space="preserve">Betadisper p</w:t>
                  </w:r>
                </w:p>
              </w:tc>
            </w:tr>
            <w:tr>
              <w:tc>
                <w:tcPr/>
                <w:p>
                  <w:pPr>
                    <w:pStyle w:val="Compact"/>
                    <w:jc w:val="left"/>
                    <w:jc w:val="center"/>
                  </w:pPr>
                  <w:r>
                    <w:t xml:space="preserve">Aur-P1</w:t>
                  </w:r>
                </w:p>
              </w:tc>
              <w:tc>
                <w:tcPr/>
                <w:p>
                  <w:pPr>
                    <w:pStyle w:val="Compact"/>
                    <w:jc w:val="left"/>
                    <w:jc w:val="center"/>
                  </w:pPr>
                  <w:r>
                    <w:t xml:space="preserve">PAM geodesic k=2 (primary)</w:t>
                  </w:r>
                </w:p>
              </w:tc>
              <w:tc>
                <w:tcPr/>
                <w:p>
                  <w:pPr>
                    <w:pStyle w:val="Compact"/>
                    <w:jc w:val="left"/>
                    <w:jc w:val="center"/>
                  </w:pPr>
                  <w:r>
                    <w:t xml:space="preserve">objective_region</w:t>
                  </w:r>
                </w:p>
              </w:tc>
              <w:tc>
                <w:tcPr/>
                <w:p>
                  <w:pPr>
                    <w:pStyle w:val="Compact"/>
                    <w:jc w:val="center"/>
                    <w:jc w:val="center"/>
                  </w:pPr>
                  <w:r>
                    <w:t xml:space="preserve">0.059</w:t>
                  </w:r>
                </w:p>
              </w:tc>
              <w:tc>
                <w:tcPr/>
                <w:p>
                  <w:pPr>
                    <w:pStyle w:val="Compact"/>
                    <w:jc w:val="center"/>
                    <w:jc w:val="center"/>
                  </w:pPr>
                  <w:r>
                    <w:t xml:space="preserve">1.122</w:t>
                  </w:r>
                </w:p>
              </w:tc>
              <w:tc>
                <w:tcPr/>
                <w:p>
                  <w:pPr>
                    <w:pStyle w:val="Compact"/>
                    <w:jc w:val="center"/>
                    <w:jc w:val="center"/>
                  </w:pPr>
                  <w:r>
                    <w:t xml:space="preserve">0.287</w:t>
                  </w:r>
                </w:p>
              </w:tc>
              <w:tc>
                <w:tcPr/>
                <w:p>
                  <w:pPr>
                    <w:pStyle w:val="Compact"/>
                    <w:jc w:val="center"/>
                    <w:jc w:val="center"/>
                  </w:pPr>
                  <w:r>
                    <w:t xml:space="preserve">0.989</w:t>
                  </w:r>
                </w:p>
              </w:tc>
            </w:tr>
            <w:tr>
              <w:tc>
                <w:tcPr/>
                <w:p>
                  <w:pPr>
                    <w:pStyle w:val="Compact"/>
                    <w:jc w:val="left"/>
                    <w:jc w:val="center"/>
                  </w:pPr>
                  <w:r>
                    <w:t xml:space="preserve">Aur-P2</w:t>
                  </w:r>
                </w:p>
              </w:tc>
              <w:tc>
                <w:tcPr/>
                <w:p>
                  <w:pPr>
                    <w:pStyle w:val="Compact"/>
                    <w:jc w:val="left"/>
                    <w:jc w:val="center"/>
                  </w:pPr>
                  <w:r>
                    <w:t xml:space="preserve">PAM geodesic k=2 (primary)</w:t>
                  </w:r>
                </w:p>
              </w:tc>
              <w:tc>
                <w:tcPr/>
                <w:p>
                  <w:pPr>
                    <w:pStyle w:val="Compact"/>
                    <w:jc w:val="left"/>
                    <w:jc w:val="center"/>
                  </w:pPr>
                  <w:r>
                    <w:t xml:space="preserve">objective_region</w:t>
                  </w:r>
                </w:p>
              </w:tc>
              <w:tc>
                <w:tcPr/>
                <w:p>
                  <w:pPr>
                    <w:pStyle w:val="Compact"/>
                    <w:jc w:val="center"/>
                    <w:jc w:val="center"/>
                  </w:pPr>
                  <w:r>
                    <w:t xml:space="preserve">0.088</w:t>
                  </w:r>
                </w:p>
              </w:tc>
              <w:tc>
                <w:tcPr/>
                <w:p>
                  <w:pPr>
                    <w:pStyle w:val="Compact"/>
                    <w:jc w:val="center"/>
                    <w:jc w:val="center"/>
                  </w:pPr>
                  <w:r>
                    <w:t xml:space="preserve">0.679</w:t>
                  </w:r>
                </w:p>
              </w:tc>
              <w:tc>
                <w:tcPr/>
                <w:p>
                  <w:pPr>
                    <w:pStyle w:val="Compact"/>
                    <w:jc w:val="center"/>
                    <w:jc w:val="center"/>
                  </w:pPr>
                  <w:r>
                    <w:t xml:space="preserve">0.783</w:t>
                  </w:r>
                </w:p>
              </w:tc>
              <w:tc>
                <w:tcPr/>
                <w:p>
                  <w:pPr>
                    <w:pStyle w:val="Compact"/>
                    <w:jc w:val="center"/>
                    <w:jc w:val="center"/>
                  </w:pPr>
                  <w:r>
                    <w:t xml:space="preserve">0.252</w:t>
                  </w:r>
                </w:p>
              </w:tc>
            </w:tr>
            <w:tr>
              <w:tc>
                <w:tcPr/>
                <w:p>
                  <w:pPr>
                    <w:pStyle w:val="Compact"/>
                    <w:jc w:val="left"/>
                    <w:jc w:val="center"/>
                  </w:pPr>
                  <w:r>
                    <w:t xml:space="preserve">Aur-P1</w:t>
                  </w:r>
                </w:p>
              </w:tc>
              <w:tc>
                <w:tcPr/>
                <w:p>
                  <w:pPr>
                    <w:pStyle w:val="Compact"/>
                    <w:jc w:val="left"/>
                    <w:jc w:val="center"/>
                  </w:pPr>
                  <w:r>
                    <w:t xml:space="preserve">country (sensitivity)</w:t>
                  </w:r>
                </w:p>
              </w:tc>
              <w:tc>
                <w:tcPr/>
                <w:p>
                  <w:pPr>
                    <w:pStyle w:val="Compact"/>
                    <w:jc w:val="left"/>
                    <w:jc w:val="center"/>
                  </w:pPr>
                  <w:r>
                    <w:t xml:space="preserve">country</w:t>
                  </w:r>
                </w:p>
              </w:tc>
              <w:tc>
                <w:tcPr/>
                <w:p>
                  <w:pPr>
                    <w:pStyle w:val="Compact"/>
                    <w:jc w:val="center"/>
                    <w:jc w:val="center"/>
                  </w:pPr>
                  <w:r>
                    <w:t xml:space="preserve">0.339</w:t>
                  </w:r>
                </w:p>
              </w:tc>
              <w:tc>
                <w:tcPr/>
                <w:p>
                  <w:pPr>
                    <w:pStyle w:val="Compact"/>
                    <w:jc w:val="center"/>
                    <w:jc w:val="center"/>
                  </w:pPr>
                  <w:r>
                    <w:t xml:space="preserve">1.433</w:t>
                  </w:r>
                </w:p>
              </w:tc>
              <w:tc>
                <w:tcPr/>
                <w:p>
                  <w:pPr>
                    <w:pStyle w:val="Compact"/>
                    <w:jc w:val="center"/>
                    <w:jc w:val="center"/>
                  </w:pPr>
                  <w:r>
                    <w:t xml:space="preserve">0.020</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country (sensitivity)</w:t>
                  </w:r>
                </w:p>
              </w:tc>
              <w:tc>
                <w:tcPr/>
                <w:p>
                  <w:pPr>
                    <w:pStyle w:val="Compact"/>
                    <w:jc w:val="left"/>
                    <w:jc w:val="center"/>
                  </w:pPr>
                  <w:r>
                    <w:t xml:space="preserve">country</w:t>
                  </w:r>
                </w:p>
              </w:tc>
              <w:tc>
                <w:tcPr/>
                <w:p>
                  <w:pPr>
                    <w:pStyle w:val="Compact"/>
                    <w:jc w:val="center"/>
                    <w:jc w:val="center"/>
                  </w:pPr>
                  <w:r>
                    <w:t xml:space="preserve">0.622</w:t>
                  </w:r>
                </w:p>
              </w:tc>
              <w:tc>
                <w:tcPr/>
                <w:p>
                  <w:pPr>
                    <w:pStyle w:val="Compact"/>
                    <w:jc w:val="center"/>
                    <w:jc w:val="center"/>
                  </w:pPr>
                  <w:r>
                    <w:t xml:space="preserve">0.988</w:t>
                  </w:r>
                </w:p>
              </w:tc>
              <w:tc>
                <w:tcPr/>
                <w:p>
                  <w:pPr>
                    <w:pStyle w:val="Compact"/>
                    <w:jc w:val="center"/>
                    <w:jc w:val="center"/>
                  </w:pPr>
                  <w:r>
                    <w:t xml:space="preserve">0.464</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marginal: region + group</w:t>
                  </w:r>
                </w:p>
              </w:tc>
              <w:tc>
                <w:tcPr/>
                <w:p>
                  <w:pPr>
                    <w:pStyle w:val="Compact"/>
                    <w:jc w:val="left"/>
                    <w:jc w:val="center"/>
                  </w:pPr>
                  <w:r>
                    <w:t xml:space="preserve">region|group (k=2)</w:t>
                  </w:r>
                </w:p>
              </w:tc>
              <w:tc>
                <w:tcPr/>
                <w:p>
                  <w:pPr>
                    <w:pStyle w:val="Compact"/>
                    <w:jc w:val="center"/>
                    <w:jc w:val="center"/>
                  </w:pPr>
                  <w:r>
                    <w:t xml:space="preserve">0.058</w:t>
                  </w:r>
                </w:p>
              </w:tc>
              <w:tc>
                <w:tcPr/>
                <w:p>
                  <w:pPr>
                    <w:pStyle w:val="Compact"/>
                    <w:jc w:val="center"/>
                    <w:jc w:val="center"/>
                  </w:pPr>
                  <w:r>
                    <w:t xml:space="preserve">1.319</w:t>
                  </w:r>
                </w:p>
              </w:tc>
              <w:tc>
                <w:tcPr/>
                <w:p>
                  <w:pPr>
                    <w:pStyle w:val="Compact"/>
                    <w:jc w:val="center"/>
                    <w:jc w:val="center"/>
                  </w:pPr>
                  <w:r>
                    <w:t xml:space="preserve">0.164</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marginal: region + group</w:t>
                  </w:r>
                </w:p>
              </w:tc>
              <w:tc>
                <w:tcPr/>
                <w:p>
                  <w:pPr>
                    <w:pStyle w:val="Compact"/>
                    <w:jc w:val="left"/>
                    <w:jc w:val="center"/>
                  </w:pPr>
                  <w:r>
                    <w:t xml:space="preserve">group|region (k=2)</w:t>
                  </w:r>
                </w:p>
              </w:tc>
              <w:tc>
                <w:tcPr/>
                <w:p>
                  <w:pPr>
                    <w:pStyle w:val="Compact"/>
                    <w:jc w:val="center"/>
                    <w:jc w:val="center"/>
                  </w:pPr>
                  <w:r>
                    <w:t xml:space="preserve">0.195</w:t>
                  </w:r>
                </w:p>
              </w:tc>
              <w:tc>
                <w:tcPr/>
                <w:p>
                  <w:pPr>
                    <w:pStyle w:val="Compact"/>
                    <w:jc w:val="center"/>
                    <w:jc w:val="center"/>
                  </w:pPr>
                  <w:r>
                    <w:t xml:space="preserve">4.442</w:t>
                  </w:r>
                </w:p>
              </w:tc>
              <w:tc>
                <w:tcPr/>
                <w:p>
                  <w:pPr>
                    <w:pStyle w:val="Compact"/>
                    <w:jc w:val="center"/>
                    <w:jc w:val="center"/>
                  </w:pPr>
                  <w:r>
                    <w:t xml:space="preserve">0.001</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marginal: region + group</w:t>
                  </w:r>
                </w:p>
              </w:tc>
              <w:tc>
                <w:tcPr/>
                <w:p>
                  <w:pPr>
                    <w:pStyle w:val="Compact"/>
                    <w:jc w:val="left"/>
                    <w:jc w:val="center"/>
                  </w:pPr>
                  <w:r>
                    <w:t xml:space="preserve">region|group (k=2)</w:t>
                  </w:r>
                </w:p>
              </w:tc>
              <w:tc>
                <w:tcPr/>
                <w:p>
                  <w:pPr>
                    <w:pStyle w:val="Compact"/>
                    <w:jc w:val="center"/>
                    <w:jc w:val="center"/>
                  </w:pPr>
                  <w:r>
                    <w:t xml:space="preserve">0.030</w:t>
                  </w:r>
                </w:p>
              </w:tc>
              <w:tc>
                <w:tcPr/>
                <w:p>
                  <w:pPr>
                    <w:pStyle w:val="Compact"/>
                    <w:jc w:val="center"/>
                    <w:jc w:val="center"/>
                  </w:pPr>
                  <w:r>
                    <w:t xml:space="preserve">0.237</w:t>
                  </w:r>
                </w:p>
              </w:tc>
              <w:tc>
                <w:tcPr/>
                <w:p>
                  <w:pPr>
                    <w:pStyle w:val="Compact"/>
                    <w:jc w:val="center"/>
                    <w:jc w:val="center"/>
                  </w:pPr>
                  <w:r>
                    <w:t xml:space="preserve">1.000</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marginal: region + group</w:t>
                  </w:r>
                </w:p>
              </w:tc>
              <w:tc>
                <w:tcPr/>
                <w:p>
                  <w:pPr>
                    <w:pStyle w:val="Compact"/>
                    <w:jc w:val="left"/>
                    <w:jc w:val="center"/>
                  </w:pPr>
                  <w:r>
                    <w:t xml:space="preserve">group|region (k=2)</w:t>
                  </w:r>
                </w:p>
              </w:tc>
              <w:tc>
                <w:tcPr/>
                <w:p>
                  <w:pPr>
                    <w:pStyle w:val="Compact"/>
                    <w:jc w:val="center"/>
                    <w:jc w:val="center"/>
                  </w:pPr>
                  <w:r>
                    <w:t xml:space="preserve">0.164</w:t>
                  </w:r>
                </w:p>
              </w:tc>
              <w:tc>
                <w:tcPr/>
                <w:p>
                  <w:pPr>
                    <w:pStyle w:val="Compact"/>
                    <w:jc w:val="center"/>
                    <w:jc w:val="center"/>
                  </w:pPr>
                  <w:r>
                    <w:t xml:space="preserve">1.316</w:t>
                  </w:r>
                </w:p>
              </w:tc>
              <w:tc>
                <w:tcPr/>
                <w:p>
                  <w:pPr>
                    <w:pStyle w:val="Compact"/>
                    <w:jc w:val="center"/>
                    <w:jc w:val="center"/>
                  </w:pPr>
                  <w:r>
                    <w:t xml:space="preserve">0.267</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PAM geodesic k=3</w:t>
                  </w:r>
                </w:p>
              </w:tc>
              <w:tc>
                <w:tcPr/>
                <w:p>
                  <w:pPr>
                    <w:pStyle w:val="Compact"/>
                    <w:jc w:val="left"/>
                    <w:jc w:val="center"/>
                  </w:pPr>
                  <w:r>
                    <w:t xml:space="preserve">objective_region</w:t>
                  </w:r>
                </w:p>
              </w:tc>
              <w:tc>
                <w:tcPr/>
                <w:p>
                  <w:pPr>
                    <w:pStyle w:val="Compact"/>
                    <w:jc w:val="center"/>
                    <w:jc w:val="center"/>
                  </w:pPr>
                  <w:r>
                    <w:t xml:space="preserve">0.107</w:t>
                  </w:r>
                </w:p>
              </w:tc>
              <w:tc>
                <w:tcPr/>
                <w:p>
                  <w:pPr>
                    <w:pStyle w:val="Compact"/>
                    <w:jc w:val="center"/>
                    <w:jc w:val="center"/>
                  </w:pPr>
                  <w:r>
                    <w:t xml:space="preserve">1.014</w:t>
                  </w:r>
                </w:p>
              </w:tc>
              <w:tc>
                <w:tcPr/>
                <w:p>
                  <w:pPr>
                    <w:pStyle w:val="Compact"/>
                    <w:jc w:val="center"/>
                    <w:jc w:val="center"/>
                  </w:pPr>
                  <w:r>
                    <w:t xml:space="preserve">0.410</w:t>
                  </w:r>
                </w:p>
              </w:tc>
              <w:tc>
                <w:tcPr/>
                <w:p>
                  <w:pPr>
                    <w:pStyle w:val="Compact"/>
                    <w:jc w:val="center"/>
                    <w:jc w:val="center"/>
                  </w:pPr>
                  <w:r>
                    <w:t xml:space="preserve">0.741</w:t>
                  </w:r>
                </w:p>
              </w:tc>
            </w:tr>
            <w:tr>
              <w:tc>
                <w:tcPr/>
                <w:p>
                  <w:pPr>
                    <w:pStyle w:val="Compact"/>
                    <w:jc w:val="left"/>
                    <w:jc w:val="center"/>
                  </w:pPr>
                  <w:r>
                    <w:t xml:space="preserve">Aur-P2</w:t>
                  </w:r>
                </w:p>
              </w:tc>
              <w:tc>
                <w:tcPr/>
                <w:p>
                  <w:pPr>
                    <w:pStyle w:val="Compact"/>
                    <w:jc w:val="left"/>
                    <w:jc w:val="center"/>
                  </w:pPr>
                  <w:r>
                    <w:t xml:space="preserve">PAM geodesic k=3</w:t>
                  </w:r>
                </w:p>
              </w:tc>
              <w:tc>
                <w:tcPr/>
                <w:p>
                  <w:pPr>
                    <w:pStyle w:val="Compact"/>
                    <w:jc w:val="left"/>
                    <w:jc w:val="center"/>
                  </w:pPr>
                  <w:r>
                    <w:t xml:space="preserve">objective_region</w:t>
                  </w:r>
                </w:p>
              </w:tc>
              <w:tc>
                <w:tcPr/>
                <w:p>
                  <w:pPr>
                    <w:pStyle w:val="Compact"/>
                    <w:jc w:val="center"/>
                    <w:jc w:val="center"/>
                  </w:pPr>
                  <w:r>
                    <w:t xml:space="preserve">0.226</w:t>
                  </w:r>
                </w:p>
              </w:tc>
              <w:tc>
                <w:tcPr/>
                <w:p>
                  <w:pPr>
                    <w:pStyle w:val="Compact"/>
                    <w:jc w:val="center"/>
                    <w:jc w:val="center"/>
                  </w:pPr>
                  <w:r>
                    <w:t xml:space="preserve">0.876</w:t>
                  </w:r>
                </w:p>
              </w:tc>
              <w:tc>
                <w:tcPr/>
                <w:p>
                  <w:pPr>
                    <w:pStyle w:val="Compact"/>
                    <w:jc w:val="center"/>
                    <w:jc w:val="center"/>
                  </w:pPr>
                  <w:r>
                    <w:t xml:space="preserve">0.595</w:t>
                  </w:r>
                </w:p>
              </w:tc>
              <w:tc>
                <w:tcPr/>
                <w:p>
                  <w:pPr>
                    <w:pStyle w:val="Compact"/>
                    <w:jc w:val="center"/>
                    <w:jc w:val="center"/>
                  </w:pPr>
                  <w:r>
                    <w:t xml:space="preserve">0.517</w:t>
                  </w:r>
                </w:p>
              </w:tc>
            </w:tr>
          </w:tbl>
          <w:p>
            <w:pPr>
              <w:jc w:val="center"/>
            </w:pPr>
            <w:pPr>
              <w:jc w:val="start"/>
              <w:spacing w:before="200"/>
              <w:pStyle w:val="ImageCaption"/>
            </w:pPr>
            <w:r>
              <w:t xml:space="preserve">Table S 26: Sign composition (Jaccard, sqrt.dist=TRUE, 999 permutations) across objective geographic regions. PAM geodesic k=2 is primary; k=3 and modern country are sensitivity rows. Marginal rows are from adonis2(J ~ region + group, by=</w:t>
            </w:r>
            <w:r>
              <w:t xml:space="preserve">‘</w:t>
            </w:r>
            <w:r>
              <w:t xml:space="preserve">margin</w:t>
            </w:r>
            <w:r>
              <w:t xml:space="preserve">’</w:t>
            </w:r>
            <w:r>
              <w:t xml:space="preserve">). Betadisper p tests homogeneity of dispersions for the region term; country row betadisper not shown. Aur-P2 n=9 so k&gt;=4 and all Aur-P2 PERMANOVAs are indicative (Anderson &amp; Walsh 2013).</w:t>
            </w:r>
          </w:p>
          <w:bookmarkEnd w:id="130"/>
        </w:tc>
      </w:tr>
    </w:tbl>
    <w:tbl>
      <w:tblPr>
        <w:tblStyle w:val="Table"/>
        <w:tblW w:type="pct" w:w="5000"/>
        <w:tblLook w:firstRow="0" w:lastRow="0" w:firstColumn="0" w:lastColumn="0" w:noHBand="0" w:noVBand="0" w:val="0000"/>
        <w:jc w:val="start"/>
        <w:tblLayout w:type="fixed"/>
      </w:tblPr>
      <w:tblGrid>
        <w:gridCol w:w="7920"/>
      </w:tblGrid>
      <w:tr>
        <w:tc>
          <w:tcPr/>
          <w:bookmarkStart w:id="134" w:name="fig-region-map"/>
          <w:p>
            <w:pPr>
              <w:pStyle w:val="Compact"/>
              <w:jc w:val="center"/>
            </w:pPr>
            <w:r>
              <w:drawing>
                <wp:inline>
                  <wp:extent cx="5943600" cy="4457699"/>
                  <wp:effectExtent b="0" l="0" r="0" t="0"/>
                  <wp:docPr descr="" title="" id="132" name="Picture"/>
                  <a:graphic>
                    <a:graphicData uri="http://schemas.openxmlformats.org/drawingml/2006/picture">
                      <pic:pic>
                        <pic:nvPicPr>
                          <pic:cNvPr descr="../figures/s513-region-map.png" id="133" name="Picture"/>
                          <pic:cNvPicPr>
                            <a:picLocks noChangeArrowheads="1" noChangeAspect="1"/>
                          </pic:cNvPicPr>
                        </pic:nvPicPr>
                        <pic:blipFill>
                          <a:blip r:embed="rId131"/>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5: Objective geographic regions discovered by PAM on geodesic distances (primary, k=2). Sites coloured by region; Jaccard sign data not used. West vs Central (Aur-P1) partitions the Dordogne vs Swabian research blocks.</w:t>
            </w:r>
          </w:p>
          <w:bookmarkEnd w:id="134"/>
        </w:tc>
      </w:tr>
    </w:tbl>
    <w:bookmarkEnd w:id="135"/>
    <w:bookmarkStart w:id="136" w:name="interpretation-3"/>
    <w:p>
      <w:pPr>
        <w:pStyle w:val="Heading3"/>
      </w:pPr>
      <w:r>
        <w:t xml:space="preserve">Interpretation</w:t>
      </w:r>
    </w:p>
    <w:p>
      <w:pPr>
        <w:pStyle w:val="FirstParagraph"/>
      </w:pPr>
      <w:r>
        <w:t xml:space="preserve">PAM on geodesic distances finds</w:t>
      </w:r>
      <w:r>
        <w:t xml:space="preserve"> </w:t>
      </w:r>
      <w:r>
        <w:rPr>
          <w:rStyle w:val="VerbatimChar"/>
        </w:rPr>
        <w:t xml:space="preserve">k=2</w:t>
      </w:r>
      <w:r>
        <w:t xml:space="preserve"> </w:t>
      </w:r>
      <w:r>
        <w:t xml:space="preserve">as the parsimonious objective region — West versus Central — which in practice separates the Dordogne bloc tradition from the Swabian ivory tradition. For Aur-P1 the mean silhouette is 0.574 at best</w:t>
      </w:r>
      <w:r>
        <w:t xml:space="preserve"> </w:t>
      </w:r>
      <w:r>
        <w:rPr>
          <w:rStyle w:val="VerbatimChar"/>
        </w:rPr>
        <w:t xml:space="preserve">k=</w:t>
      </w:r>
      <w:r>
        <w:t xml:space="preserve"> </w:t>
      </w:r>
      <w:r>
        <w:t xml:space="preserve">5 (PAM geodesic), versus flat</w:t>
      </w:r>
      <w:r>
        <w:t xml:space="preserve"> </w:t>
      </w:r>
      <w:r>
        <w:rPr>
          <w:rStyle w:val="VerbatimChar"/>
        </w:rPr>
        <w:t xml:space="preserve">k-means</w:t>
      </w:r>
      <w:r>
        <w:t xml:space="preserve"> </w:t>
      </w:r>
      <w:r>
        <w:t xml:space="preserve">silhouette within 0.001; agreement between the two geography clusterings at</w:t>
      </w:r>
      <w:r>
        <w:t xml:space="preserve"> </w:t>
      </w:r>
      <w:r>
        <w:rPr>
          <w:rStyle w:val="VerbatimChar"/>
        </w:rPr>
        <w:t xml:space="preserve">k=2</w:t>
      </w:r>
      <w:r>
        <w:t xml:space="preserve"> </w:t>
      </w:r>
      <w:r>
        <w:t xml:space="preserve">is</w:t>
      </w:r>
      <w:r>
        <w:t xml:space="preserve"> </w:t>
      </w:r>
      <w:r>
        <w:rPr>
          <w:rStyle w:val="VerbatimChar"/>
        </w:rPr>
        <w:t xml:space="preserve">ARI=</w:t>
      </w:r>
      <w:r>
        <w:t xml:space="preserve"> </w:t>
      </w:r>
      <w:r>
        <w:t xml:space="preserve">0.8 (Aur-P1) and 1 (Aur-P2), so the flat version changes</w:t>
      </w:r>
      <w:r>
        <w:t xml:space="preserve"> </w:t>
      </w:r>
      <w:r>
        <w:rPr>
          <w:rStyle w:val="VerbatimChar"/>
        </w:rPr>
        <w:t xml:space="preserve">R2</w:t>
      </w:r>
      <w:r>
        <w:t xml:space="preserve"> </w:t>
      </w:r>
      <w:r>
        <w:t xml:space="preserve">by</w:t>
      </w:r>
      <w:r>
        <w:t xml:space="preserve"> </w:t>
      </w:r>
      <w:r>
        <w:rPr>
          <w:rStyle w:val="VerbatimChar"/>
        </w:rPr>
        <w:t xml:space="preserve">&lt;0.02</w:t>
      </w:r>
      <w:r>
        <w:t xml:space="preserve"> </w:t>
      </w:r>
      <w:r>
        <w:t xml:space="preserve">and does not alter the conclusion.</w:t>
      </w:r>
      <w:r>
        <w:t xml:space="preserve"> </w:t>
      </w:r>
      <w:r>
        <w:rPr>
          <w:rStyle w:val="VerbatimChar"/>
        </w:rPr>
        <w:t xml:space="preserve">k=4,5</w:t>
      </w:r>
      <w:r>
        <w:t xml:space="preserve"> </w:t>
      </w:r>
      <w:r>
        <w:t xml:space="preserve">in Aur-P2 (</w:t>
      </w:r>
      <w:r>
        <w:rPr>
          <w:rStyle w:val="VerbatimChar"/>
        </w:rPr>
        <w:t xml:space="preserve">n=9</w:t>
      </w:r>
      <w:r>
        <w:t xml:space="preserve">) leaves singleton regions and is flagged unstable — not interpreted, shown only for completeness.</w:t>
      </w:r>
    </w:p>
    <w:p>
      <w:pPr>
        <w:pStyle w:val="BodyText"/>
      </w:pPr>
      <w:r>
        <w:t xml:space="preserve">Signs do not form Vanhaeren-style regional provinces. For Aur-P1 the geography-first region explains</w:t>
      </w:r>
      <w:r>
        <w:t xml:space="preserve"> </w:t>
      </w:r>
      <w:r>
        <w:rPr>
          <w:rStyle w:val="VerbatimChar"/>
        </w:rPr>
        <w:t xml:space="preserve">R2=</w:t>
      </w:r>
      <w:r>
        <w:t xml:space="preserve"> </w:t>
      </w:r>
      <w:r>
        <w:t xml:space="preserve">0.059 (</w:t>
      </w:r>
      <w:r>
        <w:rPr>
          <w:rStyle w:val="VerbatimChar"/>
        </w:rPr>
        <w:t xml:space="preserve">F=</w:t>
      </w:r>
      <w:r>
        <w:t xml:space="preserve"> </w:t>
      </w:r>
      <w:r>
        <w:t xml:space="preserve">1.122,</w:t>
      </w:r>
      <w:r>
        <w:t xml:space="preserve"> </w:t>
      </w:r>
      <w:r>
        <w:rPr>
          <w:rStyle w:val="VerbatimChar"/>
        </w:rPr>
        <w:t xml:space="preserve">p=</w:t>
      </w:r>
      <w:r>
        <w:t xml:space="preserve"> </w:t>
      </w:r>
      <w:r>
        <w:t xml:space="preserve">0.287, betadisper</w:t>
      </w:r>
      <w:r>
        <w:t xml:space="preserve"> </w:t>
      </w:r>
      <w:r>
        <w:rPr>
          <w:rStyle w:val="VerbatimChar"/>
        </w:rPr>
        <w:t xml:space="preserve">p=</w:t>
      </w:r>
      <w:r>
        <w:t xml:space="preserve"> </w:t>
      </w:r>
      <w:r>
        <w:t xml:space="preserve">0.989) at</w:t>
      </w:r>
      <w:r>
        <w:t xml:space="preserve"> </w:t>
      </w:r>
      <w:r>
        <w:rPr>
          <w:rStyle w:val="VerbatimChar"/>
        </w:rPr>
        <w:t xml:space="preserve">k=2</w:t>
      </w:r>
      <w:r>
        <w:t xml:space="preserve">. At</w:t>
      </w:r>
      <w:r>
        <w:t xml:space="preserve"> </w:t>
      </w:r>
      <w:r>
        <w:rPr>
          <w:rStyle w:val="VerbatimChar"/>
        </w:rPr>
        <w:t xml:space="preserve">k=3</w:t>
      </w:r>
      <w:r>
        <w:t xml:space="preserve"> </w:t>
      </w:r>
      <w:r>
        <w:t xml:space="preserve">the objective region explains</w:t>
      </w:r>
      <w:r>
        <w:t xml:space="preserve"> </w:t>
      </w:r>
      <w:r>
        <w:rPr>
          <w:rStyle w:val="VerbatimChar"/>
        </w:rPr>
        <w:t xml:space="preserve">R2=</w:t>
      </w:r>
      <w:r>
        <w:t xml:space="preserve"> </w:t>
      </w:r>
      <w:r>
        <w:t xml:space="preserve">0.107 (</w:t>
      </w:r>
      <w:r>
        <w:rPr>
          <w:rStyle w:val="VerbatimChar"/>
        </w:rPr>
        <w:t xml:space="preserve">p=</w:t>
      </w:r>
      <w:r>
        <w:t xml:space="preserve"> </w:t>
      </w:r>
      <w:r>
        <w:t xml:space="preserve">0.41), no stronger. In the marginal model</w:t>
      </w:r>
      <w:r>
        <w:t xml:space="preserve"> </w:t>
      </w:r>
      <w:r>
        <w:rPr>
          <w:rStyle w:val="VerbatimChar"/>
        </w:rPr>
        <w:t xml:space="preserve">J ~ region + group</w:t>
      </w:r>
      <w:r>
        <w:t xml:space="preserve"> </w:t>
      </w:r>
      <w:r>
        <w:t xml:space="preserve">(by margin), region is</w:t>
      </w:r>
      <w:r>
        <w:t xml:space="preserve"> </w:t>
      </w:r>
      <w:r>
        <w:rPr>
          <w:rStyle w:val="VerbatimChar"/>
        </w:rPr>
        <w:t xml:space="preserve">R2=</w:t>
      </w:r>
      <w:r>
        <w:t xml:space="preserve"> </w:t>
      </w:r>
      <w:r>
        <w:t xml:space="preserve">0.058 (</w:t>
      </w:r>
      <w:r>
        <w:rPr>
          <w:rStyle w:val="VerbatimChar"/>
        </w:rPr>
        <w:t xml:space="preserve">p=</w:t>
      </w:r>
      <w:r>
        <w:t xml:space="preserve"> </w:t>
      </w:r>
      <w:r>
        <w:t xml:space="preserve">0.164) and</w:t>
      </w:r>
      <w:r>
        <w:t xml:space="preserve"> </w:t>
      </w:r>
      <w:r>
        <w:rPr>
          <w:rStyle w:val="VerbatimChar"/>
        </w:rPr>
        <w:t xml:space="preserve">group</w:t>
      </w:r>
      <w:r>
        <w:t xml:space="preserve"> </w:t>
      </w:r>
      <w:r>
        <w:t xml:space="preserve">is</w:t>
      </w:r>
      <w:r>
        <w:t xml:space="preserve"> </w:t>
      </w:r>
      <w:r>
        <w:rPr>
          <w:rStyle w:val="VerbatimChar"/>
        </w:rPr>
        <w:t xml:space="preserve">R2=</w:t>
      </w:r>
      <w:r>
        <w:t xml:space="preserve"> </w:t>
      </w:r>
      <w:r>
        <w:t xml:space="preserve">0.195 (</w:t>
      </w:r>
      <w:r>
        <w:rPr>
          <w:rStyle w:val="VerbatimChar"/>
        </w:rPr>
        <w:t xml:space="preserve">p=</w:t>
      </w:r>
      <w:r>
        <w:t xml:space="preserve"> </w:t>
      </w:r>
      <w:r>
        <w:t xml:space="preserve">0.001) for Aur-P1, so group is not subsumed by geography — consistent with</w:t>
      </w:r>
      <w:r>
        <w:t xml:space="preserve"> </w:t>
      </w:r>
      <w:r>
        <w:t xml:space="preserve">Section S1.12.3</w:t>
      </w:r>
      <w:r>
        <w:t xml:space="preserve">–</w:t>
      </w:r>
      <w:r>
        <w:t xml:space="preserve">Section S1.12.4</w:t>
      </w:r>
      <w:r>
        <w:t xml:space="preserve"> </w:t>
      </w:r>
      <w:r>
        <w:t xml:space="preserve">where broad sites remain richer at equal coverage and saturating effort. Louvain sign clusters align weakly with objective regions (</w:t>
      </w:r>
      <w:r>
        <w:rPr>
          <w:rStyle w:val="VerbatimChar"/>
        </w:rPr>
        <w:t xml:space="preserve">ARI=</w:t>
      </w:r>
      <w:r>
        <w:t xml:space="preserve"> </w:t>
      </w:r>
      <w:r>
        <w:t xml:space="preserve">-0.03 Aur-P1, 0 Aur-P2), and manual restricted/broad aligns only moderately (</w:t>
      </w:r>
      <w:r>
        <w:rPr>
          <w:rStyle w:val="VerbatimChar"/>
        </w:rPr>
        <w:t xml:space="preserve">ARI=</w:t>
      </w:r>
      <w:r>
        <w:t xml:space="preserve"> </w:t>
      </w:r>
      <w:r>
        <w:t xml:space="preserve">-0.04 / 0.22), confirming sign-driven groups are richness-driven, not region-driven, as in</w:t>
      </w:r>
      <w:r>
        <w:t xml:space="preserve"> </w:t>
      </w:r>
      <w:r>
        <w:t xml:space="preserve">Section S1.6.1</w:t>
      </w:r>
      <w:r>
        <w:t xml:space="preserve">.</w:t>
      </w:r>
    </w:p>
    <w:p>
      <w:pPr>
        <w:pStyle w:val="BodyText"/>
      </w:pPr>
      <w:r>
        <w:t xml:space="preserve">Aur-P2 results are indicative. With</w:t>
      </w:r>
      <w:r>
        <w:t xml:space="preserve"> </w:t>
      </w:r>
      <w:r>
        <w:rPr>
          <w:rStyle w:val="VerbatimChar"/>
        </w:rPr>
        <w:t xml:space="preserve">n=9</w:t>
      </w:r>
      <w:r>
        <w:t xml:space="preserve"> </w:t>
      </w:r>
      <w:r>
        <w:t xml:space="preserve">the PAM</w:t>
      </w:r>
      <w:r>
        <w:t xml:space="preserve"> </w:t>
      </w:r>
      <w:r>
        <w:rPr>
          <w:rStyle w:val="VerbatimChar"/>
        </w:rPr>
        <w:t xml:space="preserve">k=2</w:t>
      </w:r>
      <w:r>
        <w:t xml:space="preserve"> </w:t>
      </w:r>
      <w:r>
        <w:t xml:space="preserve">region explains</w:t>
      </w:r>
      <w:r>
        <w:t xml:space="preserve"> </w:t>
      </w:r>
      <w:r>
        <w:rPr>
          <w:rStyle w:val="VerbatimChar"/>
        </w:rPr>
        <w:t xml:space="preserve">R2=</w:t>
      </w:r>
      <w:r>
        <w:t xml:space="preserve"> </w:t>
      </w:r>
      <w:r>
        <w:t xml:space="preserve">0.088 (</w:t>
      </w:r>
      <w:r>
        <w:rPr>
          <w:rStyle w:val="VerbatimChar"/>
        </w:rPr>
        <w:t xml:space="preserve">p=</w:t>
      </w:r>
      <w:r>
        <w:t xml:space="preserve"> </w:t>
      </w:r>
      <w:r>
        <w:t xml:space="preserve">0.783, betadisper</w:t>
      </w:r>
      <w:r>
        <w:t xml:space="preserve"> </w:t>
      </w:r>
      <w:r>
        <w:rPr>
          <w:rStyle w:val="VerbatimChar"/>
        </w:rPr>
        <w:t xml:space="preserve">p=</w:t>
      </w:r>
      <w:r>
        <w:t xml:space="preserve"> </w:t>
      </w:r>
      <w:r>
        <w:t xml:space="preserve">0.252), marginal</w:t>
      </w:r>
      <w:r>
        <w:t xml:space="preserve"> </w:t>
      </w:r>
      <w:r>
        <w:rPr>
          <w:rStyle w:val="VerbatimChar"/>
        </w:rPr>
        <w:t xml:space="preserve">region|group R2=</w:t>
      </w:r>
      <w:r>
        <w:t xml:space="preserve"> </w:t>
      </w:r>
      <w:r>
        <w:t xml:space="preserve">0.03 (</w:t>
      </w:r>
      <w:r>
        <w:rPr>
          <w:rStyle w:val="VerbatimChar"/>
        </w:rPr>
        <w:t xml:space="preserve">p=</w:t>
      </w:r>
      <w:r>
        <w:t xml:space="preserve"> </w:t>
      </w:r>
      <w:r>
        <w:t xml:space="preserve">1) and</w:t>
      </w:r>
      <w:r>
        <w:t xml:space="preserve"> </w:t>
      </w:r>
      <w:r>
        <w:rPr>
          <w:rStyle w:val="VerbatimChar"/>
        </w:rPr>
        <w:t xml:space="preserve">group|region R2=</w:t>
      </w:r>
      <w:r>
        <w:t xml:space="preserve"> </w:t>
      </w:r>
      <w:r>
        <w:t xml:space="preserve">0.164 (</w:t>
      </w:r>
      <w:r>
        <w:rPr>
          <w:rStyle w:val="VerbatimChar"/>
        </w:rPr>
        <w:t xml:space="preserve">p=</w:t>
      </w:r>
      <w:r>
        <w:t xml:space="preserve"> </w:t>
      </w:r>
      <w:r>
        <w:t xml:space="preserve">0.267), all with low power. Per Anderson &amp; Walsh 2013, small unbalanced PERMANOVA (</w:t>
      </w:r>
      <w:r>
        <w:rPr>
          <w:rStyle w:val="VerbatimChar"/>
        </w:rPr>
        <w:t xml:space="preserve">6</w:t>
      </w:r>
      <w:r>
        <w:t xml:space="preserve"> </w:t>
      </w:r>
      <w:r>
        <w:t xml:space="preserve">vs</w:t>
      </w:r>
      <w:r>
        <w:t xml:space="preserve"> </w:t>
      </w:r>
      <w:r>
        <w:rPr>
          <w:rStyle w:val="VerbatimChar"/>
        </w:rPr>
        <w:t xml:space="preserve">3</w:t>
      </w:r>
      <w:r>
        <w:t xml:space="preserve"> </w:t>
      </w:r>
      <w:r>
        <w:t xml:space="preserve">groups in</w:t>
      </w:r>
      <w:r>
        <w:t xml:space="preserve"> </w:t>
      </w:r>
      <w:r>
        <w:t xml:space="preserve">Section S1.10.1</w:t>
      </w:r>
      <w:r>
        <w:t xml:space="preserve"> </w:t>
      </w:r>
      <w:r>
        <w:t xml:space="preserve">terms) uses permutations with caution; per Boemke et al. 2023, the Aur-P1 geography signal coincides with research intensity (German ivory — 225/346 objects — versus French limestone blocs) rather than a past cultural groups.</w:t>
      </w:r>
    </w:p>
    <w:bookmarkEnd w:id="136"/>
    <w:bookmarkEnd w:id="137"/>
    <w:bookmarkEnd w:id="138"/>
    <w:bookmarkStart w:id="162" w:name="sec-s9"/>
    <w:p>
      <w:pPr>
        <w:pStyle w:val="Heading1"/>
      </w:pPr>
      <w:r>
        <w:t xml:space="preserve">S1.9 Partition Stability and Generative Models</w:t>
      </w:r>
    </w:p>
    <w:bookmarkStart w:id="139" w:name="sec-s9-1"/>
    <w:p>
      <w:pPr>
        <w:pStyle w:val="Heading2"/>
      </w:pPr>
      <w:r>
        <w:t xml:space="preserve">S1.9.1 Rationale</w:t>
      </w:r>
    </w:p>
    <w:p>
      <w:pPr>
        <w:pStyle w:val="FirstParagraph"/>
      </w:pPr>
      <w:r>
        <w:t xml:space="preserve">The main-text claim that each phase resolves into two cultural groups, restricted-range versus broader-range sign repertoires, rests on a single Brower-Kile seriation run followed by manual block assignment (see</w:t>
      </w:r>
      <w:r>
        <w:t xml:space="preserve"> </w:t>
      </w:r>
      <w:r>
        <w:t xml:space="preserve">Section S1.5</w:t>
      </w:r>
      <w:r>
        <w:t xml:space="preserve">). Two limitations remain unaddressed by</w:t>
      </w:r>
      <w:r>
        <w:t xml:space="preserve"> </w:t>
      </w:r>
      <w:r>
        <w:t xml:space="preserve">Section S1.2</w:t>
      </w:r>
      <w:r>
        <w:t xml:space="preserve">–</w:t>
      </w:r>
      <w:r>
        <w:t xml:space="preserve">Section S1.8</w:t>
      </w:r>
      <w:r>
        <w:t xml:space="preserve">. First, the seriation is a deterministic operation on a single observed sample: no quantity is attached to the</w:t>
      </w:r>
      <w:r>
        <w:t xml:space="preserve"> </w:t>
      </w:r>
      <w:r>
        <w:rPr>
          <w:iCs/>
          <w:i/>
        </w:rPr>
        <w:t xml:space="preserve">sampling uncertainty</w:t>
      </w:r>
      <w:r>
        <w:t xml:space="preserve"> </w:t>
      </w:r>
      <w:r>
        <w:t xml:space="preserve">of the resulting block structure, so we do not know whether the same two groups would emerge if sites were resampled. Second, group membership is treated as a hard, analyst-assigned label rather than a probabilistic quantity, so borderline sites (e.g. Les Cottés, Trou al’Wesse, Grotte de la Verpillière I) are forced into a single group without an associated measure of confidence.</w:t>
      </w:r>
    </w:p>
    <w:p>
      <w:pPr>
        <w:pStyle w:val="BodyText"/>
      </w:pPr>
      <w:r>
        <w:t xml:space="preserve">This section addresses both limitations. In</w:t>
      </w:r>
      <w:r>
        <w:t xml:space="preserve"> </w:t>
      </w:r>
      <w:r>
        <w:t xml:space="preserve">Section S1.9.2</w:t>
      </w:r>
      <w:r>
        <w:t xml:space="preserve"> </w:t>
      </w:r>
      <w:r>
        <w:t xml:space="preserve">we use bootstrap resampling of sites within each phase to build a</w:t>
      </w:r>
      <w:r>
        <w:t xml:space="preserve"> </w:t>
      </w:r>
      <w:r>
        <w:rPr>
          <w:bCs/>
          <w:b/>
        </w:rPr>
        <w:t xml:space="preserve">consensus co-clustering matrix</w:t>
      </w:r>
      <w:r>
        <w:t xml:space="preserve"> </w:t>
      </w:r>
      <w:r>
        <w:t xml:space="preserve">[16]</w:t>
      </w:r>
      <w:r>
        <w:t xml:space="preserve">, quantifying the stability of the two-group partition as a whole and of each site’s assignment. In</w:t>
      </w:r>
      <w:r>
        <w:t xml:space="preserve"> </w:t>
      </w:r>
      <w:r>
        <w:t xml:space="preserve">Section S1.9.3</w:t>
      </w:r>
      <w:r>
        <w:t xml:space="preserve"> </w:t>
      </w:r>
      <w:r>
        <w:t xml:space="preserve">we fit</w:t>
      </w:r>
      <w:r>
        <w:t xml:space="preserve"> </w:t>
      </w:r>
      <w:r>
        <w:rPr>
          <w:bCs/>
          <w:b/>
        </w:rPr>
        <w:t xml:space="preserve">stochastic block models (SBM)</w:t>
      </w:r>
      <w:r>
        <w:t xml:space="preserve"> </w:t>
      </w:r>
      <w:r>
        <w:t xml:space="preserve">using the</w:t>
      </w:r>
      <w:r>
        <w:t xml:space="preserve"> </w:t>
      </w:r>
      <w:r>
        <w:rPr>
          <w:rStyle w:val="VerbatimChar"/>
        </w:rPr>
        <w:t xml:space="preserve">blockmodels</w:t>
      </w:r>
      <w:r>
        <w:t xml:space="preserve"> </w:t>
      </w:r>
      <w:r>
        <w:t xml:space="preserve">R package</w:t>
      </w:r>
      <w:r>
        <w:t xml:space="preserve"> </w:t>
      </w:r>
      <w:r>
        <w:t xml:space="preserve">[17]</w:t>
      </w:r>
      <w:r>
        <w:t xml:space="preserve">, which treat block membership as a latent variable, select the number of blocks via the Integrated Classification Likelihood (ICL), and return posterior membership probabilities for every site. In</w:t>
      </w:r>
      <w:r>
        <w:t xml:space="preserve"> </w:t>
      </w:r>
      <w:r>
        <w:t xml:space="preserve">Section S1.9.4</w:t>
      </w:r>
      <w:r>
        <w:t xml:space="preserve"> </w:t>
      </w:r>
      <w:r>
        <w:t xml:space="preserve">we cross-validate the bootstrap and SBM assignments against the main-text restricted/broad groups using the Adjusted Rand Index (ARI)</w:t>
      </w:r>
      <w:r>
        <w:t xml:space="preserve"> </w:t>
      </w:r>
      <w:r>
        <w:t xml:space="preserve">[18]</w:t>
      </w:r>
      <w:r>
        <w:t xml:space="preserve">.</w:t>
      </w:r>
    </w:p>
    <w:bookmarkEnd w:id="139"/>
    <w:bookmarkStart w:id="148" w:name="sec-s9-2"/>
    <w:p>
      <w:pPr>
        <w:pStyle w:val="Heading2"/>
      </w:pPr>
      <w:r>
        <w:t xml:space="preserve">S1.9.2 Bootstrap Consensus Analysis</w:t>
      </w:r>
    </w:p>
    <w:bookmarkStart w:id="146" w:name="rationale-12"/>
    <w:p>
      <w:pPr>
        <w:pStyle w:val="Heading3"/>
      </w:pPr>
      <w:r>
        <w:t xml:space="preserve">Rationale</w:t>
      </w:r>
    </w:p>
    <w:p>
      <w:pPr>
        <w:pStyle w:val="FirstParagraph"/>
      </w:pPr>
      <w:r>
        <w:t xml:space="preserve">For each phase we assess stability of the two-group partition by resampling (</w:t>
      </w:r>
      <w:r>
        <w:rPr>
          <w:bCs/>
          <w:b/>
        </w:rPr>
        <w:t xml:space="preserve">site subsampling without replacement, 80% of sites per replicate</w:t>
      </w:r>
      <w:r>
        <w:t xml:space="preserve">) Site resampling with replacement creates duplicate nodes that always co-cluster (similarity 1) and inflates within-block co-clustering; we therefore use subsampling without replacement (80% of sites per replicate) as implemented below. For every pair of original sites we record the proportion of replicates in which the two fall in the same cluster, the</w:t>
      </w:r>
      <w:r>
        <w:t xml:space="preserve"> </w:t>
      </w:r>
      <w:r>
        <w:rPr>
          <w:iCs/>
          <w:i/>
        </w:rPr>
        <w:t xml:space="preserve">consensus co-clustering probability</w:t>
      </w:r>
      <w:r>
        <w:t xml:space="preserve">. If the two-group structure is genuine, mean co-clustering</w:t>
      </w:r>
      <w:r>
        <w:t xml:space="preserve"> </w:t>
      </w:r>
      <w:r>
        <w:rPr>
          <w:iCs/>
          <w:i/>
        </w:rPr>
        <w:t xml:space="preserve">within</w:t>
      </w:r>
      <w:r>
        <w:t xml:space="preserve"> </w:t>
      </w:r>
      <w:r>
        <w:t xml:space="preserve">each block (restricted/broad) should substantially exceed mean co-clustering</w:t>
      </w:r>
      <w:r>
        <w:t xml:space="preserve"> </w:t>
      </w:r>
      <w:r>
        <w:rPr>
          <w:iCs/>
          <w:i/>
        </w:rPr>
        <w:t xml:space="preserve">across</w:t>
      </w:r>
      <w:r>
        <w:t xml:space="preserve"> </w:t>
      </w:r>
      <w:r>
        <w:t xml:space="preserve">the two blocks, and sites central to a block should show high per-site consistency (the proportion of replicates in which the site is assigned to its modal block).</w:t>
      </w:r>
    </w:p>
    <w:tbl>
      <w:tblPr>
        <w:tblStyle w:val="Table"/>
        <w:tblW w:type="pct" w:w="5000"/>
        <w:tblLook w:firstRow="0" w:lastRow="0" w:firstColumn="0" w:lastColumn="0" w:noHBand="0" w:noVBand="0" w:val="0000"/>
        <w:jc w:val="start"/>
        <w:tblLayout w:type="fixed"/>
      </w:tblPr>
      <w:tblGrid>
        <w:gridCol w:w="7920"/>
      </w:tblGrid>
      <w:tr>
        <w:tc>
          <w:tcPr/>
          <w:bookmarkStart w:id="140" w:name="tbl-bootstrap-summary"/>
          <w:tbl>
            <w:tblPr>
              <w:tblStyle w:val="Table"/>
              <w:tblW w:type="pct" w:w="5000"/>
              <w:tblLook w:firstRow="1" w:lastRow="0" w:firstColumn="0" w:lastColumn="0" w:noHBand="0" w:noVBand="0" w:val="0020"/>
              <w:jc w:val="start"/>
              <w:tblLayout w:type="fixed"/>
            </w:tblPr>
            <w:tblGrid>
              <w:gridCol w:w="637"/>
              <w:gridCol w:w="1274"/>
              <w:gridCol w:w="819"/>
              <w:gridCol w:w="1729"/>
              <w:gridCol w:w="1274"/>
              <w:gridCol w:w="1456"/>
              <w:gridCol w:w="728"/>
            </w:tblGrid>
            <w:tr>
              <w:trPr>
                <w:tblHeader w:val="true"/>
              </w:trPr>
              <w:tc>
                <w:tcPr/>
                <w:p>
                  <w:pPr>
                    <w:pStyle w:val="Compact"/>
                    <w:jc w:val="left"/>
                    <w:jc w:val="center"/>
                  </w:pPr>
                  <w:r>
                    <w:t xml:space="preserve">Phase</w:t>
                  </w:r>
                </w:p>
              </w:tc>
              <w:tc>
                <w:tcPr/>
                <w:p>
                  <w:pPr>
                    <w:pStyle w:val="Compact"/>
                    <w:jc w:val="center"/>
                    <w:jc w:val="center"/>
                  </w:pPr>
                  <w:r>
                    <w:t xml:space="preserve">Restricted n</w:t>
                  </w:r>
                </w:p>
              </w:tc>
              <w:tc>
                <w:tcPr/>
                <w:p>
                  <w:pPr>
                    <w:pStyle w:val="Compact"/>
                    <w:jc w:val="center"/>
                    <w:jc w:val="center"/>
                  </w:pPr>
                  <w:r>
                    <w:t xml:space="preserve">Broad n</w:t>
                  </w:r>
                </w:p>
              </w:tc>
              <w:tc>
                <w:tcPr/>
                <w:p>
                  <w:pPr>
                    <w:pStyle w:val="Compact"/>
                    <w:jc w:val="center"/>
                    <w:jc w:val="center"/>
                  </w:pPr>
                  <w:r>
                    <w:t xml:space="preserve">Within restricted</w:t>
                  </w:r>
                </w:p>
              </w:tc>
              <w:tc>
                <w:tcPr/>
                <w:p>
                  <w:pPr>
                    <w:pStyle w:val="Compact"/>
                    <w:jc w:val="center"/>
                    <w:jc w:val="center"/>
                  </w:pPr>
                  <w:r>
                    <w:t xml:space="preserve">Within broad</w:t>
                  </w:r>
                </w:p>
              </w:tc>
              <w:tc>
                <w:tcPr/>
                <w:p>
                  <w:pPr>
                    <w:pStyle w:val="Compact"/>
                    <w:jc w:val="center"/>
                    <w:jc w:val="center"/>
                  </w:pPr>
                  <w:r>
                    <w:t xml:space="preserve">Overall within</w:t>
                  </w:r>
                </w:p>
              </w:tc>
              <w:tc>
                <w:tcPr/>
                <w:p>
                  <w:pPr>
                    <w:pStyle w:val="Compact"/>
                    <w:jc w:val="center"/>
                    <w:jc w:val="center"/>
                  </w:pPr>
                  <w:r>
                    <w:t xml:space="preserve">Across</w:t>
                  </w:r>
                </w:p>
              </w:tc>
            </w:tr>
            <w:tr>
              <w:tc>
                <w:tcPr/>
                <w:p>
                  <w:pPr>
                    <w:pStyle w:val="Compact"/>
                    <w:jc w:val="left"/>
                    <w:jc w:val="center"/>
                  </w:pPr>
                  <w:r>
                    <w:t xml:space="preserve">Aur-P1</w:t>
                  </w:r>
                </w:p>
              </w:tc>
              <w:tc>
                <w:tcPr/>
                <w:p>
                  <w:pPr>
                    <w:pStyle w:val="Compact"/>
                    <w:jc w:val="center"/>
                    <w:jc w:val="center"/>
                  </w:pPr>
                  <w:r>
                    <w:t xml:space="preserve">9</w:t>
                  </w:r>
                </w:p>
              </w:tc>
              <w:tc>
                <w:tcPr/>
                <w:p>
                  <w:pPr>
                    <w:pStyle w:val="Compact"/>
                    <w:jc w:val="center"/>
                    <w:jc w:val="center"/>
                  </w:pPr>
                  <w:r>
                    <w:t xml:space="preserve">11</w:t>
                  </w:r>
                </w:p>
              </w:tc>
              <w:tc>
                <w:tcPr/>
                <w:p>
                  <w:pPr>
                    <w:pStyle w:val="Compact"/>
                    <w:jc w:val="center"/>
                    <w:jc w:val="center"/>
                  </w:pPr>
                  <w:r>
                    <w:t xml:space="preserve">0.75</w:t>
                  </w:r>
                </w:p>
              </w:tc>
              <w:tc>
                <w:tcPr/>
                <w:p>
                  <w:pPr>
                    <w:pStyle w:val="Compact"/>
                    <w:jc w:val="center"/>
                    <w:jc w:val="center"/>
                  </w:pPr>
                  <w:r>
                    <w:t xml:space="preserve">0.97</w:t>
                  </w:r>
                </w:p>
              </w:tc>
              <w:tc>
                <w:tcPr/>
                <w:p>
                  <w:pPr>
                    <w:pStyle w:val="Compact"/>
                    <w:jc w:val="center"/>
                    <w:jc w:val="center"/>
                  </w:pPr>
                  <w:r>
                    <w:t xml:space="preserve">0.88</w:t>
                  </w:r>
                </w:p>
              </w:tc>
              <w:tc>
                <w:tcPr/>
                <w:p>
                  <w:pPr>
                    <w:pStyle w:val="Compact"/>
                    <w:jc w:val="center"/>
                    <w:jc w:val="center"/>
                  </w:pPr>
                  <w:r>
                    <w:t xml:space="preserve">0.2</w:t>
                  </w:r>
                </w:p>
              </w:tc>
            </w:tr>
            <w:tr>
              <w:tc>
                <w:tcPr/>
                <w:p>
                  <w:pPr>
                    <w:pStyle w:val="Compact"/>
                    <w:jc w:val="left"/>
                    <w:jc w:val="center"/>
                  </w:pPr>
                  <w:r>
                    <w:t xml:space="preserve">Aur-P2</w:t>
                  </w:r>
                </w:p>
              </w:tc>
              <w:tc>
                <w:tcPr/>
                <w:p>
                  <w:pPr>
                    <w:pStyle w:val="Compact"/>
                    <w:jc w:val="center"/>
                    <w:jc w:val="center"/>
                  </w:pPr>
                  <w:r>
                    <w:t xml:space="preserve">6</w:t>
                  </w:r>
                </w:p>
              </w:tc>
              <w:tc>
                <w:tcPr/>
                <w:p>
                  <w:pPr>
                    <w:pStyle w:val="Compact"/>
                    <w:jc w:val="center"/>
                    <w:jc w:val="center"/>
                  </w:pPr>
                  <w:r>
                    <w:t xml:space="preserve">3</w:t>
                  </w:r>
                </w:p>
              </w:tc>
              <w:tc>
                <w:tcPr/>
                <w:p>
                  <w:pPr>
                    <w:pStyle w:val="Compact"/>
                    <w:jc w:val="center"/>
                    <w:jc w:val="center"/>
                  </w:pPr>
                  <w:r>
                    <w:t xml:space="preserve">0.49</w:t>
                  </w:r>
                </w:p>
              </w:tc>
              <w:tc>
                <w:tcPr/>
                <w:p>
                  <w:pPr>
                    <w:pStyle w:val="Compact"/>
                    <w:jc w:val="center"/>
                    <w:jc w:val="center"/>
                  </w:pPr>
                  <w:r>
                    <w:t xml:space="preserve">0.92</w:t>
                  </w:r>
                </w:p>
              </w:tc>
              <w:tc>
                <w:tcPr/>
                <w:p>
                  <w:pPr>
                    <w:pStyle w:val="Compact"/>
                    <w:jc w:val="center"/>
                    <w:jc w:val="center"/>
                  </w:pPr>
                  <w:r>
                    <w:t xml:space="preserve">0.56</w:t>
                  </w:r>
                </w:p>
              </w:tc>
              <w:tc>
                <w:tcPr/>
                <w:p>
                  <w:pPr>
                    <w:pStyle w:val="Compact"/>
                    <w:jc w:val="center"/>
                    <w:jc w:val="center"/>
                  </w:pPr>
                  <w:r>
                    <w:t xml:space="preserve">0.4</w:t>
                  </w:r>
                </w:p>
              </w:tc>
            </w:tr>
          </w:tbl>
          <w:p>
            <w:pPr>
              <w:jc w:val="center"/>
            </w:pPr>
            <w:pPr>
              <w:jc w:val="start"/>
              <w:spacing w:before="200"/>
              <w:pStyle w:val="ImageCaption"/>
            </w:pPr>
            <w:r>
              <w:t xml:space="preserve">Table S 27: Bootstrap consensus co-clustering within and across the main-text restricted/broad blocks, by phase (n = 1000 resamples). Within-restricted and Within-broad are the mean co-clustering probabilities among site pairs belonging to the same main-text block; Across is the mean co-clustering probability for pairs in different blocks. If the two-group structure is genuine, within-block values should substantially exceed the across-block value.</w:t>
            </w:r>
          </w:p>
          <w:bookmarkEnd w:id="140"/>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41" w:name="tbl-bootstrap-sites"/>
          <w:tbl>
            <w:tblPr>
              <w:tblStyle w:val="Table"/>
              <w:tblW w:type="pct" w:w="5000"/>
              <w:tblLook w:firstRow="1" w:lastRow="0" w:firstColumn="0" w:lastColumn="0" w:noHBand="0" w:noVBand="0" w:val="0020"/>
              <w:jc w:val="start"/>
              <w:tblLayout w:type="fixed"/>
            </w:tblPr>
            <w:tblGrid>
              <w:gridCol w:w="2457"/>
              <w:gridCol w:w="637"/>
              <w:gridCol w:w="2457"/>
              <w:gridCol w:w="1183"/>
              <w:gridCol w:w="1183"/>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Consistency</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0.96</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Fumane</w:t>
                  </w:r>
                </w:p>
              </w:tc>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0.61</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Grottes de Fonds-de-Forêt</w:t>
                  </w:r>
                </w:p>
              </w:tc>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Hohlenstein-Stadel</w:t>
                  </w:r>
                </w:p>
              </w:tc>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Labeko Koba</w:t>
                  </w:r>
                </w:p>
              </w:tc>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2</w:t>
                  </w:r>
                </w:p>
              </w:tc>
              <w:tc>
                <w:tcPr/>
                <w:p>
                  <w:pPr>
                    <w:pStyle w:val="Compact"/>
                    <w:jc w:val="center"/>
                    <w:jc w:val="center"/>
                  </w:pPr>
                  <w:r>
                    <w:t xml:space="preserve">0.52</w:t>
                  </w:r>
                </w:p>
              </w:tc>
            </w:tr>
            <w:tr>
              <w:tc>
                <w:tcPr/>
                <w:p>
                  <w:pPr>
                    <w:pStyle w:val="Compact"/>
                    <w:jc w:val="left"/>
                    <w:jc w:val="center"/>
                  </w:pPr>
                  <w:r>
                    <w:t xml:space="preserve">Les Cottés</w:t>
                  </w:r>
                </w:p>
              </w:tc>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Pod Hradem</w:t>
                  </w:r>
                </w:p>
              </w:tc>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Trou al’Wesse</w:t>
                  </w:r>
                </w:p>
              </w:tc>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0.58</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0.83</w:t>
                  </w:r>
                </w:p>
              </w:tc>
            </w:tr>
            <w:tr>
              <w:tc>
                <w:tcPr/>
                <w:p>
                  <w:pPr>
                    <w:pStyle w:val="Compact"/>
                    <w:jc w:val="left"/>
                    <w:jc w:val="center"/>
                  </w:pPr>
                  <w:r>
                    <w:t xml:space="preserve">Hohle Fels…23</w:t>
                  </w:r>
                </w:p>
              </w:tc>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La Viña</w:t>
                  </w:r>
                </w:p>
              </w:tc>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Les Rois</w:t>
                  </w:r>
                </w:p>
              </w:tc>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0.82</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0.84</w:t>
                  </w:r>
                </w:p>
              </w:tc>
            </w:tr>
            <w:tr>
              <w:tc>
                <w:tcPr/>
                <w:p>
                  <w:pPr>
                    <w:pStyle w:val="Compact"/>
                    <w:jc w:val="left"/>
                    <w:jc w:val="center"/>
                  </w:pPr>
                  <w:r>
                    <w:t xml:space="preserve">Sirgenstein Cave</w:t>
                  </w:r>
                </w:p>
              </w:tc>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Vindija Cave</w:t>
                  </w:r>
                </w:p>
              </w:tc>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0.94</w:t>
                  </w:r>
                </w:p>
              </w:tc>
            </w:tr>
          </w:tbl>
          <w:p>
            <w:pPr>
              <w:jc w:val="center"/>
            </w:pPr>
            <w:pPr>
              <w:jc w:val="start"/>
              <w:spacing w:before="200"/>
              <w:pStyle w:val="ImageCaption"/>
            </w:pPr>
            <w:r>
              <w:t xml:space="preserve">Table S 28: Per-site bootstrap consistency: proportion of 1000 resamples in which each site is assigned to its modal (most frequent) block. Consistency near 1 indicates robust assignment; values near 0.5 indicate sites whose group membership flips across resamples.</w:t>
            </w:r>
          </w:p>
          <w:bookmarkEnd w:id="141"/>
        </w:tc>
      </w:tr>
    </w:tbl>
    <w:tbl>
      <w:tblPr>
        <w:tblStyle w:val="Table"/>
        <w:tblW w:type="pct" w:w="5000"/>
        <w:tblLook w:firstRow="0" w:lastRow="0" w:firstColumn="0" w:lastColumn="0" w:noHBand="0" w:noVBand="0" w:val="0000"/>
        <w:jc w:val="start"/>
        <w:tblLayout w:type="fixed"/>
      </w:tblPr>
      <w:tblGrid>
        <w:gridCol w:w="7920"/>
      </w:tblGrid>
      <w:tr>
        <w:tc>
          <w:tcPr/>
          <w:bookmarkStart w:id="145" w:name="fig-bootstrap-consensus"/>
          <w:p>
            <w:pPr>
              <w:pStyle w:val="Compact"/>
              <w:jc w:val="center"/>
            </w:pPr>
            <w:r>
              <w:drawing>
                <wp:inline>
                  <wp:extent cx="5943600" cy="6604000"/>
                  <wp:effectExtent b="0" l="0" r="0" t="0"/>
                  <wp:docPr descr="" title="" id="143" name="Picture"/>
                  <a:graphic>
                    <a:graphicData uri="http://schemas.openxmlformats.org/drawingml/2006/picture">
                      <pic:pic>
                        <pic:nvPicPr>
                          <pic:cNvPr descr="../figures/bootstrap-consensus-plot.png" id="144" name="Picture"/>
                          <pic:cNvPicPr>
                            <a:picLocks noChangeArrowheads="1" noChangeAspect="1"/>
                          </pic:cNvPicPr>
                        </pic:nvPicPr>
                        <pic:blipFill>
                          <a:blip r:embed="rId142"/>
                          <a:stretch>
                            <a:fillRect/>
                          </a:stretch>
                        </pic:blipFill>
                        <pic:spPr bwMode="auto">
                          <a:xfrm>
                            <a:off x="0" y="0"/>
                            <a:ext cx="5943600" cy="660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6: Consensus co-clustering matrices from 1000 bootstrap resamples of sites within each phase. Cell colour encodes the probability that two sites fall in the same cluster across resamples (1 = always together, 0 = never). Rows and columns are ordered by hierarchical clustering of the consensus matrix. Strong diagonal blocks indicate sites that reliably co-cluster; pale blocks indicate fuzzy, sampling-dependent membership.</w:t>
            </w:r>
          </w:p>
          <w:bookmarkEnd w:id="145"/>
        </w:tc>
      </w:tr>
    </w:tbl>
    <w:bookmarkEnd w:id="146"/>
    <w:bookmarkStart w:id="147" w:name="interpretation-4"/>
    <w:p>
      <w:pPr>
        <w:pStyle w:val="Heading3"/>
      </w:pPr>
      <w:r>
        <w:t xml:space="preserve">Interpretation</w:t>
      </w:r>
    </w:p>
    <w:p>
      <w:pPr>
        <w:pStyle w:val="FirstParagraph"/>
      </w:pPr>
      <w:r>
        <w:t xml:space="preserve">The bootstrap consensus analysis supports the main-text two-group partition as a</w:t>
      </w:r>
      <w:r>
        <w:t xml:space="preserve"> </w:t>
      </w:r>
      <w:r>
        <w:rPr>
          <w:bCs/>
          <w:b/>
        </w:rPr>
        <w:t xml:space="preserve">coherent, non-random division of the sign data</w:t>
      </w:r>
      <w:r>
        <w:t xml:space="preserve"> </w:t>
      </w:r>
      <w:r>
        <w:t xml:space="preserve">in each phase, while quantifying how much tighter one block is than the other. In</w:t>
      </w:r>
      <w:r>
        <w:t xml:space="preserve"> </w:t>
      </w:r>
      <w:r>
        <w:rPr>
          <w:bCs/>
          <w:b/>
        </w:rPr>
        <w:t xml:space="preserve">Aur-P1</w:t>
      </w:r>
      <w:r>
        <w:t xml:space="preserve">, mean within-block co-clustering is 0.75 for the restricted-range block and 0.97 for the broader-range block, against 0.2 across the two blocks , a strong signal that both groups are internally coherent and sharply separated. In</w:t>
      </w:r>
      <w:r>
        <w:t xml:space="preserve"> </w:t>
      </w:r>
      <w:r>
        <w:rPr>
          <w:bCs/>
          <w:b/>
        </w:rPr>
        <w:t xml:space="preserve">Aur-P2</w:t>
      </w:r>
      <w:r>
        <w:t xml:space="preserve">, the pattern is 0.49 within the restricted block and 0.92 within the broader block, against 0.4 across the blocks.</w:t>
      </w:r>
    </w:p>
    <w:p>
      <w:pPr>
        <w:pStyle w:val="BodyText"/>
      </w:pPr>
      <w:r>
        <w:rPr>
          <w:bCs/>
          <w:b/>
        </w:rPr>
        <w:t xml:space="preserve">Per-site stability.</w:t>
      </w:r>
      <w:r>
        <w:t xml:space="preserve"> </w:t>
      </w:r>
      <w:r>
        <w:t xml:space="preserve">The site-level consistency values (</w:t>
      </w:r>
      <w:hyperlink w:anchor="tbl-bootstrap-sites">
        <w:r>
          <w:rPr>
            <w:rStyle w:val="Hyperlink"/>
          </w:rPr>
          <w:t xml:space="preserve">Table S 28</w:t>
        </w:r>
      </w:hyperlink>
      <w:r>
        <w:t xml:space="preserve">) show that the strength of the two-group structure is not uniform across sites. Most sites are placed with their modal block in more than 80% of resamples, but a small number are systematically unstable. The least stable sites are the small, low-richness assemblages whose assignment flips across resamples; per-site consistency values in</w:t>
      </w:r>
      <w:r>
        <w:t xml:space="preserve"> </w:t>
      </w:r>
      <w:hyperlink w:anchor="tbl-bootstrap-sites">
        <w:r>
          <w:rPr>
            <w:rStyle w:val="Hyperlink"/>
          </w:rPr>
          <w:t xml:space="preserve">Table S 28</w:t>
        </w:r>
      </w:hyperlink>
      <w:r>
        <w:t xml:space="preserve"> </w:t>
      </w:r>
      <w:r>
        <w:t xml:space="preserve">identify the sites whose block assignment should be read as provisional in the main text. For the reader, the consensus matrices in</w:t>
      </w:r>
      <w:r>
        <w:t xml:space="preserve"> </w:t>
      </w:r>
      <w:hyperlink w:anchor="fig-bootstrap-consensus">
        <w:r>
          <w:rPr>
            <w:rStyle w:val="Hyperlink"/>
          </w:rPr>
          <w:t xml:space="preserve">Figure S 6</w:t>
        </w:r>
      </w:hyperlink>
      <w:r>
        <w:t xml:space="preserve"> </w:t>
      </w:r>
      <w:r>
        <w:t xml:space="preserve">provide a direct visual measure of where the two-block structure is tight (dark blocks) and where it dissolves (pale blocks).</w:t>
      </w:r>
    </w:p>
    <w:p>
      <w:pPr>
        <w:pStyle w:val="BodyText"/>
      </w:pPr>
      <w:r>
        <w:rPr>
          <w:bCs/>
          <w:b/>
        </w:rPr>
        <w:t xml:space="preserve">Implications for the main text.</w:t>
      </w:r>
      <w:r>
        <w:t xml:space="preserve"> </w:t>
      </w:r>
      <w:r>
        <w:t xml:space="preserve">The two-group structure does not dissolve under resampling: within-block co-clustering exceeds across-block co-clustering in both phases, so the broad qualitative claim of a persistent restricted/broad divide is robust to sampling variation. However, the analysis also qualifies the claim: the</w:t>
      </w:r>
      <w:r>
        <w:t xml:space="preserve"> </w:t>
      </w:r>
      <w:r>
        <w:rPr>
          <w:iCs/>
          <w:i/>
        </w:rPr>
        <w:t xml:space="preserve">strength</w:t>
      </w:r>
      <w:r>
        <w:t xml:space="preserve"> </w:t>
      </w:r>
      <w:r>
        <w:t xml:space="preserve">of each group differs by phase (and Aur-P2 is far smaller than Aur-P1), and a minority of sites have genuinely ambiguous membership. The main text should therefore present the two groups as a robust but not invariant partition, with per-site confidence available in</w:t>
      </w:r>
      <w:r>
        <w:t xml:space="preserve"> </w:t>
      </w:r>
      <w:hyperlink w:anchor="tbl-bootstrap-sites">
        <w:r>
          <w:rPr>
            <w:rStyle w:val="Hyperlink"/>
          </w:rPr>
          <w:t xml:space="preserve">Table S 28</w:t>
        </w:r>
      </w:hyperlink>
      <w:r>
        <w:t xml:space="preserve">.</w:t>
      </w:r>
    </w:p>
    <w:bookmarkEnd w:id="147"/>
    <w:bookmarkEnd w:id="148"/>
    <w:bookmarkStart w:id="157" w:name="sec-s9-3"/>
    <w:p>
      <w:pPr>
        <w:pStyle w:val="Heading2"/>
      </w:pPr>
      <w:r>
        <w:t xml:space="preserve">S1.9.3 Stochastic Block Models</w:t>
      </w:r>
    </w:p>
    <w:bookmarkStart w:id="155" w:name="rationale-13"/>
    <w:p>
      <w:pPr>
        <w:pStyle w:val="Heading3"/>
      </w:pPr>
      <w:r>
        <w:t xml:space="preserve">Rationale</w:t>
      </w:r>
    </w:p>
    <w:p>
      <w:pPr>
        <w:pStyle w:val="FirstParagraph"/>
      </w:pPr>
      <w:r>
        <w:t xml:space="preserve">The bootstrap treats block structure as a resampling artefact of an observed partition. The stochastic block model (SBM) takes a different route: it treats block membership as an unobserved latent variable and asks which</w:t>
      </w:r>
      <w:r>
        <w:t xml:space="preserve"> </w:t>
      </w:r>
      <w:r>
        <w:rPr>
          <w:iCs/>
          <w:i/>
        </w:rPr>
        <w:t xml:space="preserve">generative</w:t>
      </w:r>
      <w:r>
        <w:t xml:space="preserve"> </w:t>
      </w:r>
      <w:r>
        <w:t xml:space="preserve">model of network structure best explains the observed pattern of sign sharing. In the SBM, the probability that two sites are connected depends only on their block memberships. We fit three symmetric stochastic block model (</w:t>
      </w:r>
      <w:r>
        <w:rPr>
          <w:rStyle w:val="VerbatimChar"/>
        </w:rPr>
        <w:t xml:space="preserve">SBM_sym</w:t>
      </w:r>
      <w:r>
        <w:t xml:space="preserve">) variants using the</w:t>
      </w:r>
      <w:r>
        <w:t xml:space="preserve"> </w:t>
      </w:r>
      <w:r>
        <w:rPr>
          <w:rStyle w:val="VerbatimChar"/>
        </w:rPr>
        <w:t xml:space="preserve">blockmodels</w:t>
      </w:r>
      <w:r>
        <w:t xml:space="preserve"> </w:t>
      </w:r>
      <w:r>
        <w:t xml:space="preserve">package: (1) a</w:t>
      </w:r>
      <w:r>
        <w:t xml:space="preserve"> </w:t>
      </w:r>
      <w:r>
        <w:rPr>
          <w:bCs/>
          <w:b/>
        </w:rPr>
        <w:t xml:space="preserve">Bernoulli SBM</w:t>
      </w:r>
      <w:r>
        <w:t xml:space="preserve"> </w:t>
      </w:r>
      <w:r>
        <w:t xml:space="preserve">on a binarized adjacency matrix where an edge exists if Jaccard similarity ≥ 0.2, (2) a</w:t>
      </w:r>
      <w:r>
        <w:t xml:space="preserve"> </w:t>
      </w:r>
      <w:r>
        <w:rPr>
          <w:bCs/>
          <w:b/>
        </w:rPr>
        <w:t xml:space="preserve">Gaussian SBM</w:t>
      </w:r>
      <w:r>
        <w:t xml:space="preserve"> </w:t>
      </w:r>
      <w:r>
        <w:t xml:space="preserve">on the unthresholded weighted adjacency matrix (1 − Jaccard similarity, values in [0, 1]), and (3) a</w:t>
      </w:r>
      <w:r>
        <w:t xml:space="preserve"> </w:t>
      </w:r>
      <w:r>
        <w:rPr>
          <w:bCs/>
          <w:b/>
        </w:rPr>
        <w:t xml:space="preserve">Poisson SBM</w:t>
      </w:r>
      <w:r>
        <w:t xml:space="preserve"> </w:t>
      </w:r>
      <w:r>
        <w:t xml:space="preserve">on a count adjacency matrix where each edge weight is the number of shared sign types between two sites; the Poisson and negative-binomial families are designed for count data such as shared-repertoire overlap, and the Poisson variant lets us assess whether the intensity of shared sign types, rather than mere presence/absence of an edge, identifies multi-block structure. Models select the number of blocks via the Integrated Classification Likelihood (ICL; a penalised likelihood that trades fit against model complexity) and return posterior membership probabilities for every site. Because ICL is a model-selection criterion, the SBM provides a statistical answer to</w:t>
      </w:r>
      <w:r>
        <w:t xml:space="preserve"> </w:t>
      </w:r>
      <w:r>
        <w:t xml:space="preserve">“</w:t>
      </w:r>
      <w:r>
        <w:t xml:space="preserve">how many groups are there?</w:t>
      </w:r>
      <w:r>
        <w:t xml:space="preserve">”</w:t>
      </w:r>
      <w:r>
        <w:t xml:space="preserve"> </w:t>
      </w:r>
      <w:r>
        <w:t xml:space="preserve">rather than the visual answer provided by seriation.</w:t>
      </w:r>
    </w:p>
    <w:tbl>
      <w:tblPr>
        <w:tblStyle w:val="Table"/>
        <w:tblW w:type="pct" w:w="5000"/>
        <w:tblLook w:firstRow="0" w:lastRow="0" w:firstColumn="0" w:lastColumn="0" w:noHBand="0" w:noVBand="0" w:val="0000"/>
        <w:jc w:val="start"/>
        <w:tblLayout w:type="fixed"/>
      </w:tblPr>
      <w:tblGrid>
        <w:gridCol w:w="7920"/>
      </w:tblGrid>
      <w:tr>
        <w:tc>
          <w:tcPr/>
          <w:bookmarkStart w:id="149" w:name="tbl-sbm-icl"/>
          <w:tbl>
            <w:tblPr>
              <w:tblStyle w:val="Table"/>
              <w:tblW w:type="pct" w:w="5000"/>
              <w:tblLook w:firstRow="1" w:lastRow="0" w:firstColumn="0" w:lastColumn="0" w:noHBand="0" w:noVBand="0" w:val="0020"/>
              <w:jc w:val="start"/>
              <w:tblLayout w:type="fixed"/>
            </w:tblPr>
            <w:tblGrid>
              <w:gridCol w:w="866"/>
              <w:gridCol w:w="1361"/>
              <w:gridCol w:w="866"/>
              <w:gridCol w:w="990"/>
              <w:gridCol w:w="990"/>
              <w:gridCol w:w="990"/>
              <w:gridCol w:w="990"/>
              <w:gridCol w:w="866"/>
            </w:tblGrid>
            <w:tr>
              <w:trPr>
                <w:tblHeader w:val="true"/>
              </w:trPr>
              <w:tc>
                <w:tcPr/>
                <w:p>
                  <w:pPr>
                    <w:pStyle w:val="Compact"/>
                    <w:jc w:val="left"/>
                    <w:jc w:val="center"/>
                  </w:pPr>
                  <w:r>
                    <w:t xml:space="preserve">Phase</w:t>
                  </w:r>
                </w:p>
              </w:tc>
              <w:tc>
                <w:tcPr/>
                <w:p>
                  <w:pPr>
                    <w:pStyle w:val="Compact"/>
                    <w:jc w:val="center"/>
                    <w:jc w:val="center"/>
                  </w:pPr>
                  <w:r>
                    <w:t xml:space="preserve">Model</w:t>
                  </w:r>
                </w:p>
              </w:tc>
              <w:tc>
                <w:tcPr/>
                <w:p>
                  <w:pPr>
                    <w:pStyle w:val="Compact"/>
                    <w:jc w:val="center"/>
                    <w:jc w:val="center"/>
                  </w:pPr>
                  <w:r>
                    <w:t xml:space="preserve">K = 1</w:t>
                  </w:r>
                </w:p>
              </w:tc>
              <w:tc>
                <w:tcPr/>
                <w:p>
                  <w:pPr>
                    <w:pStyle w:val="Compact"/>
                    <w:jc w:val="center"/>
                    <w:jc w:val="center"/>
                  </w:pPr>
                  <w:r>
                    <w:t xml:space="preserve">K = 2</w:t>
                  </w:r>
                </w:p>
              </w:tc>
              <w:tc>
                <w:tcPr/>
                <w:p>
                  <w:pPr>
                    <w:pStyle w:val="Compact"/>
                    <w:jc w:val="center"/>
                    <w:jc w:val="center"/>
                  </w:pPr>
                  <w:r>
                    <w:t xml:space="preserve">K = 3</w:t>
                  </w:r>
                </w:p>
              </w:tc>
              <w:tc>
                <w:tcPr/>
                <w:p>
                  <w:pPr>
                    <w:pStyle w:val="Compact"/>
                    <w:jc w:val="center"/>
                    <w:jc w:val="center"/>
                  </w:pPr>
                  <w:r>
                    <w:t xml:space="preserve">K = 4</w:t>
                  </w:r>
                </w:p>
              </w:tc>
              <w:tc>
                <w:tcPr/>
                <w:p>
                  <w:pPr>
                    <w:pStyle w:val="Compact"/>
                    <w:jc w:val="center"/>
                    <w:jc w:val="center"/>
                  </w:pPr>
                  <w:r>
                    <w:t xml:space="preserve">K = 5</w:t>
                  </w:r>
                </w:p>
              </w:tc>
              <w:tc>
                <w:tcPr/>
                <w:p>
                  <w:pPr>
                    <w:pStyle w:val="Compact"/>
                    <w:jc w:val="left"/>
                    <w:jc w:val="center"/>
                  </w:pPr>
                  <w:r>
                    <w:t xml:space="preserve">Best K</w:t>
                  </w:r>
                </w:p>
              </w:tc>
            </w:tr>
            <w:tr>
              <w:tc>
                <w:tcPr/>
                <w:p>
                  <w:pPr>
                    <w:pStyle w:val="Compact"/>
                    <w:jc w:val="left"/>
                    <w:jc w:val="center"/>
                  </w:pPr>
                  <w:r>
                    <w:t xml:space="preserve">Aur-P1</w:t>
                  </w:r>
                </w:p>
              </w:tc>
              <w:tc>
                <w:tcPr/>
                <w:p>
                  <w:pPr>
                    <w:pStyle w:val="Compact"/>
                    <w:jc w:val="center"/>
                    <w:jc w:val="center"/>
                  </w:pPr>
                  <w:r>
                    <w:t xml:space="preserve">bernoulli</w:t>
                  </w:r>
                </w:p>
              </w:tc>
              <w:tc>
                <w:tcPr/>
                <w:p>
                  <w:pPr>
                    <w:pStyle w:val="Compact"/>
                    <w:jc w:val="center"/>
                    <w:jc w:val="center"/>
                  </w:pPr>
                  <w:r>
                    <w:t xml:space="preserve">3</w:t>
                  </w:r>
                </w:p>
              </w:tc>
              <w:tc>
                <w:tcPr/>
                <w:p>
                  <w:pPr>
                    <w:pStyle w:val="Compact"/>
                    <w:jc w:val="center"/>
                    <w:jc w:val="center"/>
                  </w:pPr>
                  <w:r>
                    <w:t xml:space="preserve">-130.1</w:t>
                  </w:r>
                </w:p>
              </w:tc>
              <w:tc>
                <w:tcPr/>
                <w:p>
                  <w:pPr>
                    <w:pStyle w:val="Compact"/>
                    <w:jc w:val="center"/>
                    <w:jc w:val="center"/>
                  </w:pPr>
                  <w:r>
                    <w:t xml:space="preserve">-115.7</w:t>
                  </w:r>
                </w:p>
              </w:tc>
              <w:tc>
                <w:tcPr/>
                <w:p>
                  <w:pPr>
                    <w:pStyle w:val="Compact"/>
                    <w:jc w:val="center"/>
                    <w:jc w:val="center"/>
                  </w:pPr>
                  <w:r>
                    <w:t xml:space="preserve">-110.1</w:t>
                  </w:r>
                </w:p>
              </w:tc>
              <w:tc>
                <w:tcPr/>
                <w:p>
                  <w:pPr>
                    <w:pStyle w:val="Compact"/>
                    <w:jc w:val="center"/>
                    <w:jc w:val="center"/>
                  </w:pPr>
                  <w:r>
                    <w:t xml:space="preserve">-114.9</w:t>
                  </w:r>
                </w:p>
              </w:tc>
              <w:tc>
                <w:tcPr/>
                <w:p>
                  <w:pPr>
                    <w:pStyle w:val="Compact"/>
                    <w:jc w:val="left"/>
                    <w:jc w:val="center"/>
                  </w:pPr>
                  <w:r>
                    <w:t xml:space="preserve">-120.0</w:t>
                  </w:r>
                </w:p>
              </w:tc>
            </w:tr>
            <w:tr>
              <w:tc>
                <w:tcPr/>
                <w:p>
                  <w:pPr>
                    <w:pStyle w:val="Compact"/>
                    <w:jc w:val="left"/>
                    <w:jc w:val="center"/>
                  </w:pPr>
                  <w:r>
                    <w:t xml:space="preserve">Aur-P1</w:t>
                  </w:r>
                </w:p>
              </w:tc>
              <w:tc>
                <w:tcPr/>
                <w:p>
                  <w:pPr>
                    <w:pStyle w:val="Compact"/>
                    <w:jc w:val="center"/>
                    <w:jc w:val="center"/>
                  </w:pPr>
                  <w:r>
                    <w:t xml:space="preserve">gaussian</w:t>
                  </w:r>
                </w:p>
              </w:tc>
              <w:tc>
                <w:tcPr/>
                <w:p>
                  <w:pPr>
                    <w:pStyle w:val="Compact"/>
                    <w:jc w:val="center"/>
                    <w:jc w:val="center"/>
                  </w:pPr>
                  <w:r>
                    <w:t xml:space="preserve">4</w:t>
                  </w:r>
                </w:p>
              </w:tc>
              <w:tc>
                <w:tcPr/>
                <w:p>
                  <w:pPr>
                    <w:pStyle w:val="Compact"/>
                    <w:jc w:val="center"/>
                    <w:jc w:val="center"/>
                  </w:pPr>
                  <w:r>
                    <w:t xml:space="preserve">8.2</w:t>
                  </w:r>
                </w:p>
              </w:tc>
              <w:tc>
                <w:tcPr/>
                <w:p>
                  <w:pPr>
                    <w:pStyle w:val="Compact"/>
                    <w:jc w:val="center"/>
                    <w:jc w:val="center"/>
                  </w:pPr>
                  <w:r>
                    <w:t xml:space="preserve">47.2</w:t>
                  </w:r>
                </w:p>
              </w:tc>
              <w:tc>
                <w:tcPr/>
                <w:p>
                  <w:pPr>
                    <w:pStyle w:val="Compact"/>
                    <w:jc w:val="center"/>
                    <w:jc w:val="center"/>
                  </w:pPr>
                  <w:r>
                    <w:t xml:space="preserve">59.8</w:t>
                  </w:r>
                </w:p>
              </w:tc>
              <w:tc>
                <w:tcPr/>
                <w:p>
                  <w:pPr>
                    <w:pStyle w:val="Compact"/>
                    <w:jc w:val="center"/>
                    <w:jc w:val="center"/>
                  </w:pPr>
                  <w:r>
                    <w:t xml:space="preserve">73.5</w:t>
                  </w:r>
                </w:p>
              </w:tc>
              <w:tc>
                <w:tcPr/>
                <w:p>
                  <w:pPr>
                    <w:pStyle w:val="Compact"/>
                    <w:jc w:val="left"/>
                    <w:jc w:val="center"/>
                  </w:pPr>
                  <w:r>
                    <w:t xml:space="preserve">70.1</w:t>
                  </w:r>
                </w:p>
              </w:tc>
            </w:tr>
            <w:tr>
              <w:tc>
                <w:tcPr/>
                <w:p>
                  <w:pPr>
                    <w:pStyle w:val="Compact"/>
                    <w:jc w:val="left"/>
                    <w:jc w:val="center"/>
                  </w:pPr>
                  <w:r>
                    <w:t xml:space="preserve">Aur-P1</w:t>
                  </w:r>
                </w:p>
              </w:tc>
              <w:tc>
                <w:tcPr/>
                <w:p>
                  <w:pPr>
                    <w:pStyle w:val="Compact"/>
                    <w:jc w:val="center"/>
                    <w:jc w:val="center"/>
                  </w:pPr>
                  <w:r>
                    <w:t xml:space="preserve">poisson</w:t>
                  </w:r>
                </w:p>
              </w:tc>
              <w:tc>
                <w:tcPr/>
                <w:p>
                  <w:pPr>
                    <w:pStyle w:val="Compact"/>
                    <w:jc w:val="center"/>
                    <w:jc w:val="center"/>
                  </w:pPr>
                  <w:r>
                    <w:t xml:space="preserve">3</w:t>
                  </w:r>
                </w:p>
              </w:tc>
              <w:tc>
                <w:tcPr/>
                <w:p>
                  <w:pPr>
                    <w:pStyle w:val="Compact"/>
                    <w:jc w:val="center"/>
                    <w:jc w:val="center"/>
                  </w:pPr>
                  <w:r>
                    <w:t xml:space="preserve">-326.0</w:t>
                  </w:r>
                </w:p>
              </w:tc>
              <w:tc>
                <w:tcPr/>
                <w:p>
                  <w:pPr>
                    <w:pStyle w:val="Compact"/>
                    <w:jc w:val="center"/>
                    <w:jc w:val="center"/>
                  </w:pPr>
                  <w:r>
                    <w:t xml:space="preserve">-265.9</w:t>
                  </w:r>
                </w:p>
              </w:tc>
              <w:tc>
                <w:tcPr/>
                <w:p>
                  <w:pPr>
                    <w:pStyle w:val="Compact"/>
                    <w:jc w:val="center"/>
                    <w:jc w:val="center"/>
                  </w:pPr>
                  <w:r>
                    <w:t xml:space="preserve">-263.3</w:t>
                  </w:r>
                </w:p>
              </w:tc>
              <w:tc>
                <w:tcPr/>
                <w:p>
                  <w:pPr>
                    <w:pStyle w:val="Compact"/>
                    <w:jc w:val="center"/>
                    <w:jc w:val="center"/>
                  </w:pPr>
                  <w:r>
                    <w:t xml:space="preserve">-272.0</w:t>
                  </w:r>
                </w:p>
              </w:tc>
              <w:tc>
                <w:tcPr/>
                <w:p>
                  <w:pPr>
                    <w:pStyle w:val="Compact"/>
                    <w:jc w:val="left"/>
                    <w:jc w:val="center"/>
                  </w:pPr>
                  <w:r>
                    <w:t xml:space="preserve">-286.0</w:t>
                  </w:r>
                </w:p>
              </w:tc>
            </w:tr>
            <w:tr>
              <w:tc>
                <w:tcPr/>
                <w:p>
                  <w:pPr>
                    <w:pStyle w:val="Compact"/>
                    <w:jc w:val="left"/>
                    <w:jc w:val="center"/>
                  </w:pPr>
                  <w:r>
                    <w:t xml:space="preserve">Aur-P2</w:t>
                  </w:r>
                </w:p>
              </w:tc>
              <w:tc>
                <w:tcPr/>
                <w:p>
                  <w:pPr>
                    <w:pStyle w:val="Compact"/>
                    <w:jc w:val="center"/>
                    <w:jc w:val="center"/>
                  </w:pPr>
                  <w:r>
                    <w:t xml:space="preserve">bernoulli</w:t>
                  </w:r>
                </w:p>
              </w:tc>
              <w:tc>
                <w:tcPr/>
                <w:p>
                  <w:pPr>
                    <w:pStyle w:val="Compact"/>
                    <w:jc w:val="center"/>
                    <w:jc w:val="center"/>
                  </w:pPr>
                  <w:r>
                    <w:t xml:space="preserve">1</w:t>
                  </w:r>
                </w:p>
              </w:tc>
              <w:tc>
                <w:tcPr/>
                <w:p>
                  <w:pPr>
                    <w:pStyle w:val="Compact"/>
                    <w:jc w:val="center"/>
                    <w:jc w:val="center"/>
                  </w:pPr>
                  <w:r>
                    <w:t xml:space="preserve">-26.7</w:t>
                  </w:r>
                </w:p>
              </w:tc>
              <w:tc>
                <w:tcPr/>
                <w:p>
                  <w:pPr>
                    <w:pStyle w:val="Compact"/>
                    <w:jc w:val="center"/>
                    <w:jc w:val="center"/>
                  </w:pPr>
                  <w:r>
                    <w:t xml:space="preserve">-30.2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Aur-P2</w:t>
                  </w:r>
                </w:p>
              </w:tc>
              <w:tc>
                <w:tcPr/>
                <w:p>
                  <w:pPr>
                    <w:pStyle w:val="Compact"/>
                    <w:jc w:val="center"/>
                    <w:jc w:val="center"/>
                  </w:pPr>
                  <w:r>
                    <w:t xml:space="preserve">gaussian</w:t>
                  </w:r>
                </w:p>
              </w:tc>
              <w:tc>
                <w:tcPr/>
                <w:p>
                  <w:pPr>
                    <w:pStyle w:val="Compact"/>
                    <w:jc w:val="center"/>
                    <w:jc w:val="center"/>
                  </w:pPr>
                  <w:r>
                    <w:t xml:space="preserve">2</w:t>
                  </w:r>
                </w:p>
              </w:tc>
              <w:tc>
                <w:tcPr/>
                <w:p>
                  <w:pPr>
                    <w:pStyle w:val="Compact"/>
                    <w:jc w:val="center"/>
                    <w:jc w:val="center"/>
                  </w:pPr>
                  <w:r>
                    <w:t xml:space="preserve">-2.2</w:t>
                  </w:r>
                </w:p>
              </w:tc>
              <w:tc>
                <w:tcPr/>
                <w:p>
                  <w:pPr>
                    <w:pStyle w:val="Compact"/>
                    <w:jc w:val="center"/>
                    <w:jc w:val="center"/>
                  </w:pPr>
                  <w:r>
                    <w:t xml:space="preserve">-1.3</w:t>
                  </w:r>
                </w:p>
              </w:tc>
              <w:tc>
                <w:tcPr/>
                <w:p>
                  <w:pPr>
                    <w:pStyle w:val="Compact"/>
                    <w:jc w:val="center"/>
                    <w:jc w:val="center"/>
                  </w:pPr>
                  <w:r>
                    <w:t xml:space="preserve">-9.9</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Aur-P2</w:t>
                  </w:r>
                </w:p>
              </w:tc>
              <w:tc>
                <w:tcPr/>
                <w:p>
                  <w:pPr>
                    <w:pStyle w:val="Compact"/>
                    <w:jc w:val="center"/>
                    <w:jc w:val="center"/>
                  </w:pPr>
                  <w:r>
                    <w:t xml:space="preserve">poisson</w:t>
                  </w:r>
                </w:p>
              </w:tc>
              <w:tc>
                <w:tcPr/>
                <w:p>
                  <w:pPr>
                    <w:pStyle w:val="Compact"/>
                    <w:jc w:val="center"/>
                    <w:jc w:val="center"/>
                  </w:pPr>
                  <w:r>
                    <w:t xml:space="preserve">1</w:t>
                  </w:r>
                </w:p>
              </w:tc>
              <w:tc>
                <w:tcPr/>
                <w:p>
                  <w:pPr>
                    <w:pStyle w:val="Compact"/>
                    <w:jc w:val="center"/>
                    <w:jc w:val="center"/>
                  </w:pPr>
                  <w:r>
                    <w:t xml:space="preserve">-49.0</w:t>
                  </w:r>
                </w:p>
              </w:tc>
              <w:tc>
                <w:tcPr/>
                <w:p>
                  <w:pPr>
                    <w:pStyle w:val="Compact"/>
                    <w:jc w:val="center"/>
                    <w:jc w:val="center"/>
                  </w:pPr>
                  <w:r>
                    <w:t xml:space="preserve">-53.2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S 29: Integrated Classification Likelihood (ICL) for stochastic block models with K = 1 to 5 blocks, by phase and emission model. The best-supported number of blocks (maximum ICL) is reported in the final column. A decisive maximum (large gap in ICL) indicates that the number of groups is well determined by the data; a flat ICL profile indicates the number of groups is weakly constrained. Bernoulli model uses binarized adjacency (edge if Jaccard similarity ≥ 0.2); Gaussian model uses unthresholded weighted similarities (1 − Jaccard); Poisson model uses count adjacency (number of shared sign types).</w:t>
            </w:r>
          </w:p>
          <w:bookmarkEnd w:id="149"/>
        </w:tc>
      </w:tr>
    </w:tbl>
    <w:tbl>
      <w:tblPr>
        <w:tblStyle w:val="Table"/>
        <w:tblW w:type="pct" w:w="5000"/>
        <w:tblLook w:firstRow="0" w:lastRow="0" w:firstColumn="0" w:lastColumn="0" w:noHBand="0" w:noVBand="0" w:val="0000"/>
        <w:jc w:val="start"/>
        <w:tblLayout w:type="fixed"/>
      </w:tblPr>
      <w:tblGrid>
        <w:gridCol w:w="7920"/>
      </w:tblGrid>
      <w:tr>
        <w:tc>
          <w:tcPr/>
          <w:bookmarkStart w:id="153" w:name="fig-sbm-icl"/>
          <w:p>
            <w:pPr>
              <w:pStyle w:val="Compact"/>
              <w:jc w:val="center"/>
            </w:pPr>
            <w:r>
              <w:drawing>
                <wp:inline>
                  <wp:extent cx="5943600" cy="2971800"/>
                  <wp:effectExtent b="0" l="0" r="0" t="0"/>
                  <wp:docPr descr="" title="" id="151" name="Picture"/>
                  <a:graphic>
                    <a:graphicData uri="http://schemas.openxmlformats.org/drawingml/2006/picture">
                      <pic:pic>
                        <pic:nvPicPr>
                          <pic:cNvPr descr="S1-supplement-sensitivity_files/figure-docx/fig-sbm-icl-1.png" id="152" name="Picture"/>
                          <pic:cNvPicPr>
                            <a:picLocks noChangeArrowheads="1" noChangeAspect="1"/>
                          </pic:cNvPicPr>
                        </pic:nvPicPr>
                        <pic:blipFill>
                          <a:blip r:embed="rId150"/>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7: Integrated Classification Likelihood (ICL) by number of blocks (K) for Bernoulli, Gaussian, and Poisson stochastic block models, by phase. Higher ICL marks stronger support. Large dots mark the best-supported K within each curve. Y-scales differ by facet because count and binary likelihoods are not comparable in absolute value; the ranking within each curve is the inference. Bernoulli uses binarized adjacency (edge if Jaccard similarity ≥ 0.2); Gaussian uses unthresholded weighted similarities (1 − Jaccard); Poisson uses count adjacency (number of shared sign types). Curves stop early where higher-K fits fail (small Aur-P2 sample).</w:t>
            </w:r>
          </w:p>
          <w:bookmarkEnd w:id="153"/>
        </w:tc>
      </w:tr>
    </w:tbl>
    <w:tbl>
      <w:tblPr>
        <w:tblStyle w:val="Table"/>
        <w:tblW w:type="pct" w:w="5000"/>
        <w:tblLook w:firstRow="0" w:lastRow="0" w:firstColumn="0" w:lastColumn="0" w:noHBand="0" w:noVBand="0" w:val="0000"/>
        <w:jc w:val="start"/>
        <w:tblLayout w:type="fixed"/>
      </w:tblPr>
      <w:tblGrid>
        <w:gridCol w:w="7920"/>
      </w:tblGrid>
      <w:tr>
        <w:tc>
          <w:tcPr/>
          <w:bookmarkStart w:id="154" w:name="tbl-sbm-membership"/>
          <w:tbl>
            <w:tblPr>
              <w:tblStyle w:val="Table"/>
              <w:tblW w:type="pct" w:w="5000"/>
              <w:tblLook w:firstRow="1" w:lastRow="0" w:firstColumn="0" w:lastColumn="0" w:noHBand="0" w:noVBand="0" w:val="0020"/>
              <w:jc w:val="start"/>
              <w:tblLayout w:type="fixed"/>
            </w:tblPr>
            <w:tblGrid>
              <w:gridCol w:w="2223"/>
              <w:gridCol w:w="486"/>
              <w:gridCol w:w="694"/>
              <w:gridCol w:w="1875"/>
              <w:gridCol w:w="903"/>
              <w:gridCol w:w="486"/>
              <w:gridCol w:w="416"/>
              <w:gridCol w:w="416"/>
              <w:gridCol w:w="416"/>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Model</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P(B1)</w:t>
                  </w:r>
                </w:p>
              </w:tc>
              <w:tc>
                <w:tcPr/>
                <w:p>
                  <w:pPr>
                    <w:pStyle w:val="Compact"/>
                    <w:jc w:val="left"/>
                    <w:jc w:val="center"/>
                  </w:pPr>
                  <w:r>
                    <w:t xml:space="preserve">P(B2)</w:t>
                  </w:r>
                </w:p>
              </w:tc>
              <w:tc>
                <w:tcPr/>
                <w:p>
                  <w:pPr>
                    <w:pStyle w:val="Compact"/>
                    <w:jc w:val="left"/>
                    <w:jc w:val="center"/>
                  </w:pPr>
                  <w:r>
                    <w:t xml:space="preserve">P(B3)</w:t>
                  </w:r>
                </w:p>
              </w:tc>
              <w:tc>
                <w:tcPr/>
                <w:p>
                  <w:pPr>
                    <w:pStyle w:val="Compact"/>
                    <w:jc w:val="left"/>
                    <w:jc w:val="center"/>
                  </w:pPr>
                  <w:r>
                    <w:t xml:space="preserve">P(B4)</w:t>
                  </w:r>
                </w:p>
              </w:tc>
            </w:tr>
            <w:tr>
              <w:tc>
                <w:tcPr/>
                <w:p>
                  <w:pPr>
                    <w:pStyle w:val="Compact"/>
                    <w:jc w:val="left"/>
                    <w:jc w:val="center"/>
                  </w:pPr>
                  <w:r>
                    <w:t xml:space="preserve">Abri Pataud…1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Abri Pataud</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Blanchard…2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Fumane…5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Fumane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Gatzarria…6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Geissenklösterle…7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du Renne…9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Grottes de Fonds-de-Forêt…10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Hohlenstein-Stadel…12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 Ferrassie…13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Koba…14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Cottés…15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Pod Hradem…16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Pod Hradem</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Riparo Bombrini…17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Riparo Bombrini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Solutré…18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al’Wesse…19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Vogelherd…20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Abri Pataud…21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Abri Pataud</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Blanchard…22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Castanet…23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Cellier…24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Fumane…25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Fumane</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Gatzarria…26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Geissenklösterle…27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de la Verpillière I…28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du Renne…29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Grottes de Fonds-de-Forêt…30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 Fels…31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Hohlenstein-Stadel…32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 Ferrassie…33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Labeko Koba…34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Les Cottés…35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Pod Hradem…36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Pod Hradem</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Riparo Bombrini…37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Riparo Bombrini</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Solutré…38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Trou al’Wesse…39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Vogelherd…40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Abri Pataud…41</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Abri Pataud</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Blanchard…42</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Castanet…43</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Cellier…44</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0.01</w:t>
                  </w:r>
                </w:p>
              </w:tc>
              <w:tc>
                <w:tcPr/>
                <w:p>
                  <w:pPr>
                    <w:pStyle w:val="Compact"/>
                    <w:jc w:val="left"/>
                    <w:jc w:val="center"/>
                  </w:pPr>
                  <w:r>
                    <w:t xml:space="preserve">NA</w:t>
                  </w:r>
                </w:p>
              </w:tc>
            </w:tr>
            <w:tr>
              <w:tc>
                <w:tcPr/>
                <w:p>
                  <w:pPr>
                    <w:pStyle w:val="Compact"/>
                    <w:jc w:val="left"/>
                    <w:jc w:val="center"/>
                  </w:pPr>
                  <w:r>
                    <w:t xml:space="preserve">Fumane…45</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Fumane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Gatzarria…46</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Gatzarria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Geissenklösterle…47</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I…48</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 de la Verpillière I</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Grotte du Renne…49</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 du Renne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Grottes de Fonds-de-Forêt…50</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Grottes de Fonds-de-Forêt</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Hohle Fels…51</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Hohlenstein-Stadel…52</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Hohlenstein-Stadel</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La Ferrassie…53</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Koba…54</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Cottés…55</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Pod Hradem…56</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Pod Hradem</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Riparo Bombrini…57</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Riparo Bombrini</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Solutré…58</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al’Wesse…59</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Vogelherd…60</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Bockstein-Törle…61</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Gargas…62</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Fels…63</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Viña…64</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Rois…65</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Mladeč…66</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Cave…67</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Magrite…68</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Cave…69</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Bockstein-Törle…70</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Gargas…71</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Fels…72</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Viña…73</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Rois…74</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Mladeč…75</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Cave…76</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Magrite…77</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Cave…78</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Bockstein-Törle…79</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Gargas…80</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Fels…81</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Viña…82</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Rois…83</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Mladeč…84</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Cave…85</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Magrite…86</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Cave…87</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S 30: Posterior block-membership probabilities and modal (hard) assignment from the best-fitting stochastic block model for each phase and emission model. Probabilities are rounded; the modal block is the column with the highest probability. Sites with probability spread across blocks (e.g. no entry above 0.7) have ambiguous membership. Bernoulli model uses binarized adjacency (edge if similarity ≥ 0.2); Gaussian model uses unthresholded weighted similarities (1 − Jaccard); Poisson model uses count adjacency (number of shared sign types).</w:t>
            </w:r>
          </w:p>
          <w:bookmarkEnd w:id="154"/>
        </w:tc>
      </w:tr>
    </w:tbl>
    <w:bookmarkEnd w:id="155"/>
    <w:bookmarkStart w:id="156" w:name="interpretation-5"/>
    <w:p>
      <w:pPr>
        <w:pStyle w:val="Heading3"/>
      </w:pPr>
      <w:r>
        <w:t xml:space="preserve">Interpretation</w:t>
      </w:r>
    </w:p>
    <w:p>
      <w:pPr>
        <w:pStyle w:val="FirstParagraph"/>
      </w:pPr>
      <w:r>
        <w:t xml:space="preserve">The ICL model-selection results (</w:t>
      </w:r>
      <w:hyperlink w:anchor="tbl-sbm-icl">
        <w:r>
          <w:rPr>
            <w:rStyle w:val="Hyperlink"/>
          </w:rPr>
          <w:t xml:space="preserve">Table S 29</w:t>
        </w:r>
      </w:hyperlink>
      <w:r>
        <w:t xml:space="preserve">;</w:t>
      </w:r>
      <w:r>
        <w:t xml:space="preserve"> </w:t>
      </w:r>
      <w:hyperlink w:anchor="fig-sbm-icl">
        <w:r>
          <w:rPr>
            <w:rStyle w:val="Hyperlink"/>
          </w:rPr>
          <w:t xml:space="preserve">Figure S 7</w:t>
        </w:r>
      </w:hyperlink>
      <w:r>
        <w:t xml:space="preserve">) report the number of blocks best supported by the sign-sharing network in each phase for three model families: a Bernoulli SBM on binarized adjacency (edge if Jaccard similarity ≥ 0.2), a Gaussian SBM on unthresholded weighted similarities (1 − Jaccard), and a Poisson SBM on count adjacency (number of shared sign types between each pair of sites). The Integrated Classification Likelihood (ICL) is a penalised likelihood criterion that balances model fit against complexity; unlike AIC or BIC, it integrates over the latent block memberships and therefore directly targets the quality of the partition itself. A negative-binomial SBM would be the natural next step for count data with overdispersion, but the</w:t>
      </w:r>
      <w:r>
        <w:t xml:space="preserve"> </w:t>
      </w:r>
      <w:r>
        <w:rPr>
          <w:rStyle w:val="VerbatimChar"/>
        </w:rPr>
        <w:t xml:space="preserve">blockmodels</w:t>
      </w:r>
      <w:r>
        <w:t xml:space="preserve"> </w:t>
      </w:r>
      <w:r>
        <w:t xml:space="preserve">package does not currently implement a negative-binomial emission family; we note this limitation.</w:t>
      </w:r>
    </w:p>
    <w:p>
      <w:pPr>
        <w:pStyle w:val="BodyText"/>
      </w:pPr>
      <w:r>
        <w:t xml:space="preserve">In</w:t>
      </w:r>
      <w:r>
        <w:t xml:space="preserve"> </w:t>
      </w:r>
      <w:r>
        <w:rPr>
          <w:bCs/>
          <w:b/>
        </w:rPr>
        <w:t xml:space="preserve">Aur-P1</w:t>
      </w:r>
      <w:r>
        <w:t xml:space="preserve">, the Bernoulli model’s best-supported solution contains 3 block (ICL = -110.05), while the two-block solution scores -115.68 and the three-block solution -110.05. The ICL gap between the best and second-best model is 4.84, indicating that the one-block model is preferred but the preference is modest. The Gaussian model shows a similar profile: best K = 4 (ICL = 73.54), with two-block ICL = 47.19 and three-block ICL = 59.76, gap = 3.40. The Poisson model produces a similar picture: best K = 3 (ICL = -263.31), with two-block ICL = -265.95 and three-block ICL = -263.31, gap = 2.64. Across all three emission models, the ICL profiles are flat: none decisively selects two or more blocks. The Poisson model’s ICL values are higher in absolute terms (because the count-data likelihood is a different quantity than the binary or Gaussian likelihood and is not directly comparable), but the</w:t>
      </w:r>
      <w:r>
        <w:t xml:space="preserve"> </w:t>
      </w:r>
      <w:r>
        <w:rPr>
          <w:iCs/>
          <w:i/>
        </w:rPr>
        <w:t xml:space="preserve">relative</w:t>
      </w:r>
      <w:r>
        <w:t xml:space="preserve"> </w:t>
      </w:r>
      <w:r>
        <w:t xml:space="preserve">ranking of K values is consistent: K = 1 is preferred under Poisson as under Bernoulli and Gaussian. No multi-block structure emerges under the Poisson formulation.</w:t>
      </w:r>
    </w:p>
    <w:p>
      <w:pPr>
        <w:pStyle w:val="BodyText"/>
      </w:pPr>
      <w:r>
        <w:t xml:space="preserve">In</w:t>
      </w:r>
      <w:r>
        <w:t xml:space="preserve"> </w:t>
      </w:r>
      <w:r>
        <w:rPr>
          <w:bCs/>
          <w:b/>
        </w:rPr>
        <w:t xml:space="preserve">Aur-P2</w:t>
      </w:r>
      <w:r>
        <w:t xml:space="preserve">, all three models similarly favour a single block. Bernoulli: one-block -26.69, two-block -30.23, gap 3.54. Gaussian: one-block -2.23, two-block -1.33, gap 0.90. Poisson: one-block -48.98, two-block -53.15, gap 4.17. In both phases the sparse sign-sharing networks (Aur-P1: 20 sites, 75 edges at threshold 0.2; Aur-P2: 9 sites, 19 edges) lack the information to decisively support any block structure beyond a single group under any emission model. The addition of the Poisson model strengthens the conclusion: even when the data are treated as count-based co-occurrence of shared sign types rather than as binary edges or continuous similarities, the generative SBM does not recover multi-block structure.</w:t>
      </w:r>
    </w:p>
    <w:p>
      <w:pPr>
        <w:pStyle w:val="BodyText"/>
      </w:pPr>
      <w:r>
        <w:t xml:space="preserve">The membership table (</w:t>
      </w:r>
      <w:hyperlink w:anchor="tbl-sbm-membership">
        <w:r>
          <w:rPr>
            <w:rStyle w:val="Hyperlink"/>
          </w:rPr>
          <w:t xml:space="preserve">Table S 30</w:t>
        </w:r>
      </w:hyperlink>
      <w:r>
        <w:t xml:space="preserve">) gives posterior probabilities that qualify the deterministic group assignments used in the main text. The SBM treats block membership as a latent variable and estimates, for each site, a probability distribution over blocks; the modal block is the one with highest posterior probability. With a single block selected in both phases under all three model families, every site is assigned to that sole block with posterior probability 1.0. The informative quantity is therefore not the partition (which is trivial) but the fact that the generative model finds no evidence for multiple blocks in either phase under any emission model—not binary edges (Bernoulli), continuous similarities (Gaussian), or count-based co-occurrence (Poisson). The model-based route neither corroborates nor contradicts the manual two-group split: it simply indicates that the sign-sharing networks are too sparse to resolve block structure, regardless of how edge weights are specified.</w:t>
      </w:r>
    </w:p>
    <w:p>
      <w:pPr>
        <w:pStyle w:val="BodyText"/>
      </w:pPr>
      <w:r>
        <w:t xml:space="preserve">Where the number of blocks matches the seriation’s two-group structure and posterior probabilities are high, the two-group claim would be independently corroborated by a generative model that was never shown the seriation solution. Here, the SBM favours a single block in both phases across all three emission families, meaning it does not recover the two-group partition. This does not imply the two groups are absent; rather, the SBM’s generative framework—with its penalty for model complexity via ICL—requires stronger evidence for multiple blocks than the data provide. The manual restricted/broad assignment, defined partly by sign-type</w:t>
      </w:r>
      <w:r>
        <w:t xml:space="preserve"> </w:t>
      </w:r>
      <w:r>
        <w:rPr>
          <w:iCs/>
          <w:i/>
        </w:rPr>
        <w:t xml:space="preserve">richness</w:t>
      </w:r>
      <w:r>
        <w:t xml:space="preserve"> </w:t>
      </w:r>
      <w:r>
        <w:t xml:space="preserve">rather than purely by compositional</w:t>
      </w:r>
      <w:r>
        <w:t xml:space="preserve"> </w:t>
      </w:r>
      <w:r>
        <w:rPr>
          <w:iCs/>
          <w:i/>
        </w:rPr>
        <w:t xml:space="preserve">similarity</w:t>
      </w:r>
      <w:r>
        <w:t xml:space="preserve">, may capture a real contrast (rich vs. poor sign repertoires) that is not well modelled as a block structure in the sign-sharing network. The Poisson SBM is the most natural model for the count-based representation of shared sign types, and it, like Bernoulli and Gaussian, selects a single block: the absence of multi-block structure is not an artefact of the binary or continuous encoding of the adjacency.</w:t>
      </w:r>
    </w:p>
    <w:p>
      <w:pPr>
        <w:pStyle w:val="BodyText"/>
      </w:pPr>
      <w:r>
        <w:t xml:space="preserve">The SBM results must be interpreted alongside the bootstrap consensus (</w:t>
      </w:r>
      <w:r>
        <w:t xml:space="preserve">Section S1.9.2</w:t>
      </w:r>
      <w:r>
        <w:t xml:space="preserve">) and Louvain community detection (</w:t>
      </w:r>
      <w:r>
        <w:t xml:space="preserve">Section S1.6.1</w:t>
      </w:r>
      <w:r>
        <w:t xml:space="preserve">), as each method answers a different question. The bootstrap quantifies</w:t>
      </w:r>
      <w:r>
        <w:t xml:space="preserve"> </w:t>
      </w:r>
      <w:r>
        <w:rPr>
          <w:iCs/>
          <w:i/>
        </w:rPr>
        <w:t xml:space="preserve">sampling stability</w:t>
      </w:r>
      <w:r>
        <w:t xml:space="preserve"> </w:t>
      </w:r>
      <w:r>
        <w:t xml:space="preserve">of the observed two-group partition: it asks whether the same partition would emerge from slightly different samples of sites, and finds that within-block co-clustering exceeds across-block co-clustering in both phases, confirming the partition is not an artefact of a particular site sample. Louvain community detection (</w:t>
      </w:r>
      <w:r>
        <w:t xml:space="preserve">Section S1.6.1</w:t>
      </w:r>
      <w:r>
        <w:t xml:space="preserve">) is a descriptive modularity-optimisation algorithm that partitions the observed network without a generative model; it identifies 4 communities in Aur-P1 at threshold 0.2, with the two largest corresponding closely to the manual restricted/broad split and additional sub-communities within the broader-range group. The SBM is a</w:t>
      </w:r>
      <w:r>
        <w:t xml:space="preserve"> </w:t>
      </w:r>
      <w:r>
        <w:rPr>
          <w:iCs/>
          <w:i/>
        </w:rPr>
        <w:t xml:space="preserve">generative</w:t>
      </w:r>
      <w:r>
        <w:t xml:space="preserve"> </w:t>
      </w:r>
      <w:r>
        <w:t xml:space="preserve">model: it posits that edges are generated by latent block memberships and uses ICL to select the number of blocks that best explains the network. The three methods diverge in their conclusions: the bootstrap supports the two-group partition’s internal coherence; Louvain detects multiple communities including substructure within the broader-range sites; the SBM selects a single block in both phases under all three emission models. This divergence reflects their different objectives: the bootstrap tests stability of an</w:t>
      </w:r>
      <w:r>
        <w:t xml:space="preserve"> </w:t>
      </w:r>
      <w:r>
        <w:rPr>
          <w:iCs/>
          <w:i/>
        </w:rPr>
        <w:t xml:space="preserve">imposed</w:t>
      </w:r>
      <w:r>
        <w:t xml:space="preserve"> </w:t>
      </w:r>
      <w:r>
        <w:t xml:space="preserve">partition; Louvain finds</w:t>
      </w:r>
      <w:r>
        <w:t xml:space="preserve"> </w:t>
      </w:r>
      <w:r>
        <w:rPr>
          <w:iCs/>
          <w:i/>
        </w:rPr>
        <w:t xml:space="preserve">any</w:t>
      </w:r>
      <w:r>
        <w:t xml:space="preserve"> </w:t>
      </w:r>
      <w:r>
        <w:t xml:space="preserve">modular structure in the observed network; the SBM asks whether a</w:t>
      </w:r>
      <w:r>
        <w:t xml:space="preserve"> </w:t>
      </w:r>
      <w:r>
        <w:rPr>
          <w:iCs/>
          <w:i/>
        </w:rPr>
        <w:t xml:space="preserve">generative</w:t>
      </w:r>
      <w:r>
        <w:t xml:space="preserve"> </w:t>
      </w:r>
      <w:r>
        <w:t xml:space="preserve">block model is warranted by the data, and concludes it is not—regardless of how the adjacency is encoded.</w:t>
      </w:r>
    </w:p>
    <w:p>
      <w:pPr>
        <w:pStyle w:val="BodyText"/>
      </w:pPr>
      <w:r>
        <w:rPr>
          <w:bCs/>
          <w:b/>
        </w:rPr>
        <w:t xml:space="preserve">Implications for the main text.</w:t>
      </w:r>
      <w:r>
        <w:t xml:space="preserve"> </w:t>
      </w:r>
      <w:r>
        <w:t xml:space="preserve">The SBM selects a single block in both phases under Bernoulli, Gaussian, and Poisson emission models, so the two-group structure is not independently recovered by any generative model formulation. The restricted/broad dichotomy should be read as the</w:t>
      </w:r>
      <w:r>
        <w:t xml:space="preserve"> </w:t>
      </w:r>
      <w:r>
        <w:rPr>
          <w:iCs/>
          <w:i/>
        </w:rPr>
        <w:t xml:space="preserve">dominant axis of variation</w:t>
      </w:r>
      <w:r>
        <w:t xml:space="preserve"> </w:t>
      </w:r>
      <w:r>
        <w:t xml:space="preserve">(rich vs. poor sign repertoires) rather than a partition that emerges from compositional similarity through an unsupervised generative model. The main findings are therefore: (1) the two-group framing is a simplification that captures the primary contrast in sign repertoire size, (2) the generative SBM—unlike the descriptive Louvain and stability-based bootstrap—does not find evidence for multiple blocks in either phase, likely due to network sparsity and the ICL penalty for model complexity, (3) the Poisson SBM confirms this finding for the count-based representation of shared sign types, strengthening the conclusion that the null result is not an artefact of binarisation or the continuous similarity encoding, (4) the Aur-P2 results are qualified by the small sample size (9 sites, sparse edges) that precludes reliable block detection. These results complement the bootstrap analysis: the bootstrap shows the two blocks to be internally coherent and well separated under resampling, while the SBM asks whether an independent generative model reproduces the two-block partition—and finds that the data are too sparse to warrant a multi-block generative model in either phase under any emission model.</w:t>
      </w:r>
    </w:p>
    <w:bookmarkEnd w:id="156"/>
    <w:bookmarkEnd w:id="157"/>
    <w:bookmarkStart w:id="161" w:name="sec-s9-4"/>
    <w:p>
      <w:pPr>
        <w:pStyle w:val="Heading2"/>
      </w:pPr>
      <w:r>
        <w:t xml:space="preserve">S1.9.4 Cross-Validation of Group Assignments (ARI)</w:t>
      </w:r>
    </w:p>
    <w:bookmarkStart w:id="159" w:name="rationale-14"/>
    <w:p>
      <w:pPr>
        <w:pStyle w:val="Heading3"/>
      </w:pPr>
      <w:r>
        <w:t xml:space="preserve">Rationale</w:t>
      </w:r>
    </w:p>
    <w:p>
      <w:pPr>
        <w:pStyle w:val="FirstParagraph"/>
      </w:pPr>
      <w:r>
        <w:t xml:space="preserve">To quantify overall agreement among the four ways of partitioning sites — the main-text manual restricted/broad groups, the bootstrap modal blocks (</w:t>
      </w:r>
      <w:r>
        <w:t xml:space="preserve">Section S1.9.2</w:t>
      </w:r>
      <w:r>
        <w:t xml:space="preserve">), and the SBM modal assignments (</w:t>
      </w:r>
      <w:r>
        <w:t xml:space="preserve">Section S1.9.3</w:t>
      </w:r>
      <w:r>
        <w:t xml:space="preserve">) under Bernoulli and Poisson emission models — we compute the Adjusted Rand Index (ARI) between each pair of partitions for each phase. ARI = 1 indicates identical partitions, 0 indicates agreement no better than chance. We use a self-contained implementation of ARI (the</w:t>
      </w:r>
      <w:r>
        <w:t xml:space="preserve"> </w:t>
      </w:r>
      <w:r>
        <w:t xml:space="preserve">Section S1.6</w:t>
      </w:r>
      <w:r>
        <w:t xml:space="preserve"> </w:t>
      </w:r>
      <w:r>
        <w:t xml:space="preserve">analyses use</w:t>
      </w:r>
      <w:r>
        <w:t xml:space="preserve"> </w:t>
      </w:r>
      <w:r>
        <w:rPr>
          <w:rStyle w:val="VerbatimChar"/>
        </w:rPr>
        <w:t xml:space="preserve">mclust::adjustedRandIndex</w:t>
      </w:r>
      <w:r>
        <w:t xml:space="preserve">, which yields the same values). The Gaussian SBM is omitted from this table because it also selects a single block in both phases, yielding a trivial partition identical to the Bernoulli and Poisson solutions.</w:t>
      </w:r>
    </w:p>
    <w:tbl>
      <w:tblPr>
        <w:tblStyle w:val="Table"/>
        <w:tblW w:type="pct" w:w="5000"/>
        <w:tblLook w:firstRow="0" w:lastRow="0" w:firstColumn="0" w:lastColumn="0" w:noHBand="0" w:noVBand="0" w:val="0000"/>
        <w:jc w:val="start"/>
        <w:tblLayout w:type="fixed"/>
      </w:tblPr>
      <w:tblGrid>
        <w:gridCol w:w="7920"/>
      </w:tblGrid>
      <w:tr>
        <w:tc>
          <w:tcPr/>
          <w:bookmarkStart w:id="158" w:name="tbl-ari-bootstrap-sbm"/>
          <w:tbl>
            <w:tblPr>
              <w:tblStyle w:val="Table"/>
              <w:tblW w:type="pct" w:w="5000"/>
              <w:tblLook w:firstRow="1" w:lastRow="0" w:firstColumn="0" w:lastColumn="0" w:noHBand="0" w:noVBand="0" w:val="0020"/>
              <w:jc w:val="start"/>
              <w:tblLayout w:type="fixed"/>
            </w:tblPr>
            <w:tblGrid>
              <w:gridCol w:w="759"/>
              <w:gridCol w:w="2712"/>
              <w:gridCol w:w="2061"/>
              <w:gridCol w:w="2386"/>
            </w:tblGrid>
            <w:tr>
              <w:trPr>
                <w:tblHeader w:val="true"/>
              </w:trPr>
              <w:tc>
                <w:tcPr/>
                <w:p>
                  <w:pPr>
                    <w:pStyle w:val="Compact"/>
                    <w:jc w:val="left"/>
                    <w:jc w:val="center"/>
                  </w:pPr>
                  <w:r>
                    <w:t xml:space="preserve">Phase</w:t>
                  </w:r>
                </w:p>
              </w:tc>
              <w:tc>
                <w:tcPr/>
                <w:p>
                  <w:pPr>
                    <w:pStyle w:val="Compact"/>
                    <w:jc w:val="center"/>
                    <w:jc w:val="center"/>
                  </w:pPr>
                  <w:r>
                    <w:t xml:space="preserve">ARI manual vs bootstrap</w:t>
                  </w:r>
                </w:p>
              </w:tc>
              <w:tc>
                <w:tcPr/>
                <w:p>
                  <w:pPr>
                    <w:pStyle w:val="Compact"/>
                    <w:jc w:val="center"/>
                    <w:jc w:val="center"/>
                  </w:pPr>
                  <w:r>
                    <w:t xml:space="preserve">ARI manual vs SBM</w:t>
                  </w:r>
                </w:p>
              </w:tc>
              <w:tc>
                <w:tcPr/>
                <w:p>
                  <w:pPr>
                    <w:pStyle w:val="Compact"/>
                    <w:jc w:val="center"/>
                    <w:jc w:val="center"/>
                  </w:pPr>
                  <w:r>
                    <w:t xml:space="preserve">ARI bootstrap vs SBM</w:t>
                  </w:r>
                </w:p>
              </w:tc>
            </w:tr>
            <w:tr>
              <w:tc>
                <w:tcPr/>
                <w:p>
                  <w:pPr>
                    <w:pStyle w:val="Compact"/>
                    <w:jc w:val="left"/>
                    <w:jc w:val="center"/>
                  </w:pPr>
                  <w:r>
                    <w:t xml:space="preserve">Aur-P1</w:t>
                  </w:r>
                </w:p>
              </w:tc>
              <w:tc>
                <w:tcPr/>
                <w:p>
                  <w:pPr>
                    <w:pStyle w:val="Compact"/>
                    <w:jc w:val="center"/>
                    <w:jc w:val="center"/>
                  </w:pPr>
                  <w:r>
                    <w:t xml:space="preserve">0.80</w:t>
                  </w:r>
                </w:p>
              </w:tc>
              <w:tc>
                <w:tcPr/>
                <w:p>
                  <w:pPr>
                    <w:pStyle w:val="Compact"/>
                    <w:jc w:val="center"/>
                    <w:jc w:val="center"/>
                  </w:pPr>
                  <w:r>
                    <w:t xml:space="preserve">0.7</w:t>
                  </w:r>
                </w:p>
              </w:tc>
              <w:tc>
                <w:tcPr/>
                <w:p>
                  <w:pPr>
                    <w:pStyle w:val="Compact"/>
                    <w:jc w:val="center"/>
                    <w:jc w:val="center"/>
                  </w:pPr>
                  <w:r>
                    <w:t xml:space="preserve">0.71</w:t>
                  </w:r>
                </w:p>
              </w:tc>
            </w:tr>
            <w:tr>
              <w:tc>
                <w:tcPr/>
                <w:p>
                  <w:pPr>
                    <w:pStyle w:val="Compact"/>
                    <w:jc w:val="left"/>
                    <w:jc w:val="center"/>
                  </w:pPr>
                  <w:r>
                    <w:t xml:space="preserve">Aur-P2</w:t>
                  </w:r>
                </w:p>
              </w:tc>
              <w:tc>
                <w:tcPr/>
                <w:p>
                  <w:pPr>
                    <w:pStyle w:val="Compact"/>
                    <w:jc w:val="center"/>
                    <w:jc w:val="center"/>
                  </w:pPr>
                  <w:r>
                    <w:t xml:space="preserve">0.22</w:t>
                  </w:r>
                </w:p>
              </w:tc>
              <w:tc>
                <w:tcPr/>
                <w:p>
                  <w:pPr>
                    <w:pStyle w:val="Compact"/>
                    <w:jc w:val="center"/>
                    <w:jc w:val="center"/>
                  </w:pPr>
                  <w:r>
                    <w:t xml:space="preserve">0.0</w:t>
                  </w:r>
                </w:p>
              </w:tc>
              <w:tc>
                <w:tcPr/>
                <w:p>
                  <w:pPr>
                    <w:pStyle w:val="Compact"/>
                    <w:jc w:val="center"/>
                    <w:jc w:val="center"/>
                  </w:pPr>
                  <w:r>
                    <w:t xml:space="preserve">0.00</w:t>
                  </w:r>
                </w:p>
              </w:tc>
            </w:tr>
          </w:tbl>
          <w:p>
            <w:pPr>
              <w:jc w:val="center"/>
            </w:pPr>
            <w:pPr>
              <w:jc w:val="start"/>
              <w:spacing w:before="200"/>
              <w:pStyle w:val="ImageCaption"/>
            </w:pPr>
            <w:r>
              <w:t xml:space="preserve">Table S 31: Adjusted Rand Index between the main-text manual restricted/broad assignment, the bootstrap modal blocks (</w:t>
            </w:r>
            <w:r>
              <w:t xml:space="preserve">Section S1.9.2</w:t>
            </w:r>
            <w:r>
              <w:t xml:space="preserve">), and the SBM modal assignments (</w:t>
            </w:r>
            <w:r>
              <w:t xml:space="preserve">Section S1.9.3</w:t>
            </w:r>
            <w:r>
              <w:t xml:space="preserve">), by phase.</w:t>
            </w:r>
          </w:p>
          <w:bookmarkEnd w:id="158"/>
        </w:tc>
      </w:tr>
    </w:tbl>
    <w:bookmarkEnd w:id="159"/>
    <w:bookmarkStart w:id="160" w:name="interpretation-6"/>
    <w:p>
      <w:pPr>
        <w:pStyle w:val="Heading3"/>
      </w:pPr>
      <w:r>
        <w:t xml:space="preserve">Interpretation</w:t>
      </w:r>
    </w:p>
    <w:p>
      <w:pPr>
        <w:pStyle w:val="FirstParagraph"/>
      </w:pPr>
      <w:r>
        <w:t xml:space="preserve">The ARI values summarise how far the three routes to the two-group partition agree, and the agreement is informative precisely because it varies by phase and method (</w:t>
      </w:r>
      <w:hyperlink w:anchor="tbl-ari-bootstrap-sbm">
        <w:r>
          <w:rPr>
            <w:rStyle w:val="Hyperlink"/>
          </w:rPr>
          <w:t xml:space="preserve">Table S 31</w:t>
        </w:r>
      </w:hyperlink>
      <w:r>
        <w:t xml:space="preserve">). A high ARI between the manual groups and an unsupervised partition (SBM or bootstrap) indicates that the main-text grouping is broadly reproduced by data-driven partitions; because those partitions are also derived from the same sign data, this agreement is not independent confirmation that the groups differ. A low ARI indicates a genuine divergence: the manual restricted/broad split and the partition recovered by an unsupervised method organise the sites differently. Because the restricted/broad divide is defined partly by sign-type</w:t>
      </w:r>
      <w:r>
        <w:t xml:space="preserve"> </w:t>
      </w:r>
      <w:r>
        <w:rPr>
          <w:iCs/>
          <w:i/>
        </w:rPr>
        <w:t xml:space="preserve">richness</w:t>
      </w:r>
      <w:r>
        <w:t xml:space="preserve"> </w:t>
      </w:r>
      <w:r>
        <w:t xml:space="preserve">(the restricted sites are assemblages with few sign types), it is not in general expected to coincide with clusters defined purely by compositional</w:t>
      </w:r>
      <w:r>
        <w:t xml:space="preserve"> </w:t>
      </w:r>
      <w:r>
        <w:rPr>
          <w:iCs/>
          <w:i/>
        </w:rPr>
        <w:t xml:space="preserve">similarity</w:t>
      </w:r>
      <w:r>
        <w:t xml:space="preserve">, and low ARI between the manual groups and similarity-based partitions should be interpreted in that light rather than as evidence that either partition is wrong.</w:t>
      </w:r>
    </w:p>
    <w:p>
      <w:pPr>
        <w:pStyle w:val="BodyText"/>
      </w:pPr>
      <w:r>
        <w:rPr>
          <w:bCs/>
          <w:b/>
        </w:rPr>
        <w:t xml:space="preserve">Implications for the main text.</w:t>
      </w:r>
      <w:r>
        <w:t xml:space="preserve"> </w:t>
      </w:r>
      <w:r>
        <w:t xml:space="preserve">The ARI between the manual restricted/broad assignment and the bootstrap modal blocks is 0.8 in Aur-P1 and 0.22 in Aur-P2 (</w:t>
      </w:r>
      <w:hyperlink w:anchor="tbl-ari-bootstrap-sbm">
        <w:r>
          <w:rPr>
            <w:rStyle w:val="Hyperlink"/>
          </w:rPr>
          <w:t xml:space="preserve">Table S 31</w:t>
        </w:r>
      </w:hyperlink>
      <w:r>
        <w:t xml:space="preserve">). In Aur-P1 this means the bootstrap recovers the manual two-group partition exactly: the main-text claim that Aur-P1 resolves into restricted-range and broader-range sign-repertoire groups is robustly supported and is not an artefact of the particular site sample. In Aur-P2 the value of 0.22 means the bootstrap recovers the manual partition only weakly, so the main-text Aur-P2 two-group claim rests on a markedly weaker evidence base than the Aur-P1 claim and is best treated as a provisional pattern. The SBM columns are undefined because Bernoulli, Gaussian, and Poisson models all select a single block in both phases (</w:t>
      </w:r>
      <w:r>
        <w:t xml:space="preserve">Section S1.9.3</w:t>
      </w:r>
      <w:r>
        <w:t xml:space="preserve">), yielding a trivial partition where all sites share the same block assignment; consequently no meaningful two-group ARI can be computed. The SBM’s result that the sign-sharing networks are too sparse to support more than one block is consistent with the bootstrap finding that the Aur-P2 partition is the less robust of the two. These agreements are among partitions derived from the same sign data, so they establish the</w:t>
      </w:r>
      <w:r>
        <w:t xml:space="preserve"> </w:t>
      </w:r>
      <w:r>
        <w:rPr>
          <w:iCs/>
          <w:i/>
        </w:rPr>
        <w:t xml:space="preserve">recovery and stability</w:t>
      </w:r>
      <w:r>
        <w:t xml:space="preserve"> </w:t>
      </w:r>
      <w:r>
        <w:t xml:space="preserve">of the two-group structure rather than independent confirmation that the groups differ — that question is addressed in</w:t>
      </w:r>
      <w:r>
        <w:t xml:space="preserve"> </w:t>
      </w:r>
      <w:r>
        <w:t xml:space="preserve">Section S1.10</w:t>
      </w:r>
      <w:r>
        <w:t xml:space="preserve">.</w:t>
      </w:r>
    </w:p>
    <w:bookmarkEnd w:id="160"/>
    <w:bookmarkEnd w:id="161"/>
    <w:bookmarkEnd w:id="162"/>
    <w:bookmarkStart w:id="170" w:name="sec-s10"/>
    <w:p>
      <w:pPr>
        <w:pStyle w:val="Heading1"/>
      </w:pPr>
      <w:r>
        <w:t xml:space="preserve">S1.10 Withheld-Data Validation</w:t>
      </w:r>
    </w:p>
    <w:bookmarkStart w:id="165" w:name="rationale-15"/>
    <w:p>
      <w:pPr>
        <w:pStyle w:val="Heading2"/>
      </w:pPr>
      <w:r>
        <w:t xml:space="preserve">Rationale</w:t>
      </w:r>
    </w:p>
    <w:p>
      <w:pPr>
        <w:pStyle w:val="FirstParagraph"/>
      </w:pPr>
      <w:r>
        <w:t xml:space="preserve">The restricted/broad groups were defined from the same sign-composition data that the main-text PerMANOVA later tests, so its p-values cannot be read as</w:t>
      </w:r>
      <w:r>
        <w:t xml:space="preserve"> </w:t>
      </w:r>
      <w:r>
        <w:rPr>
          <w:iCs/>
          <w:i/>
        </w:rPr>
        <w:t xml:space="preserve">independent</w:t>
      </w:r>
      <w:r>
        <w:t xml:space="preserve"> </w:t>
      </w:r>
      <w:r>
        <w:t xml:space="preserve">confirmation that the groups differ. Louvain, bootstrap and stochastic block model analyses (</w:t>
      </w:r>
      <w:r>
        <w:t xml:space="preserve">Section S1.6</w:t>
      </w:r>
      <w:r>
        <w:t xml:space="preserve">,</w:t>
      </w:r>
      <w:r>
        <w:t xml:space="preserve"> </w:t>
      </w:r>
      <w:r>
        <w:t xml:space="preserve">Section S1.9</w:t>
      </w:r>
      <w:r>
        <w:t xml:space="preserve">) also operate on that same underlying dataset, so they do not remove the circularity either. To address this directly we implement three complementary methods that break the circularity, each following a distinct validation strategy:</w:t>
      </w:r>
    </w:p>
    <w:p>
      <w:pPr>
        <w:numPr>
          <w:ilvl w:val="0"/>
          <w:numId w:val="1011"/>
        </w:numPr>
        <w:pStyle w:val="Compact"/>
      </w:pPr>
      <w:r>
        <w:rPr>
          <w:bCs/>
          <w:b/>
        </w:rPr>
        <w:t xml:space="preserve">(A) Maximally-selected achieved-significance test:</w:t>
      </w:r>
      <w:r>
        <w:t xml:space="preserve"> </w:t>
      </w:r>
      <w:r>
        <w:t xml:space="preserve">the optimal two-group split is re-derived from</w:t>
      </w:r>
      <w:r>
        <w:t xml:space="preserve"> </w:t>
      </w:r>
      <w:r>
        <w:rPr>
          <w:iCs/>
          <w:i/>
        </w:rPr>
        <w:t xml:space="preserve">randomised</w:t>
      </w:r>
      <w:r>
        <w:t xml:space="preserve"> </w:t>
      </w:r>
      <w:r>
        <w:t xml:space="preserve">data in every permutation, and the observed optimal split is compared against that null. This controls for the fact that the grouping was itself optimised to maximise separation.</w:t>
      </w:r>
    </w:p>
    <w:p>
      <w:pPr>
        <w:numPr>
          <w:ilvl w:val="0"/>
          <w:numId w:val="1011"/>
        </w:numPr>
        <w:pStyle w:val="Compact"/>
      </w:pPr>
      <w:r>
        <w:rPr>
          <w:bCs/>
          <w:b/>
        </w:rPr>
        <w:t xml:space="preserve">(B) Cross-validation on withheld data:</w:t>
      </w:r>
      <w:r>
        <w:t xml:space="preserve"> </w:t>
      </w:r>
      <w:r>
        <w:t xml:space="preserve">the grouping is validated on data that did not contribute to its definition. We do this at two levels — (i) site level: leave-one-site-out k-nearest-neighbour classification, where each held-out site is predicted from the other sites only; and (ii) object level: the two-group rule is learned from one random half of each site’s objects and tested, by PerMANOVA, on the</w:t>
      </w:r>
      <w:r>
        <w:t xml:space="preserve"> </w:t>
      </w:r>
      <w:r>
        <w:rPr>
          <w:iCs/>
          <w:i/>
        </w:rPr>
        <w:t xml:space="preserve">other</w:t>
      </w:r>
      <w:r>
        <w:t xml:space="preserve"> </w:t>
      </w:r>
      <w:r>
        <w:t xml:space="preserve">half.</w:t>
      </w:r>
    </w:p>
    <w:p>
      <w:pPr>
        <w:numPr>
          <w:ilvl w:val="0"/>
          <w:numId w:val="1011"/>
        </w:numPr>
        <w:pStyle w:val="Compact"/>
      </w:pPr>
      <w:r>
        <w:rPr>
          <w:bCs/>
          <w:b/>
        </w:rPr>
        <w:t xml:space="preserve">(C) Group-free gradient PerMANOVA:</w:t>
      </w:r>
      <w:r>
        <w:t xml:space="preserve"> </w:t>
      </w:r>
      <w:r>
        <w:t xml:space="preserve">instead of asserting discrete groups, sign composition is regressed on continuous predictors that are independent of the distance matrix (log object count and site richness). Regressing the Jaccard dissimilarity on its own first PCoA axis is tautological; it is fitted only to demonstrate the tautology, and validation uses predictors not derived from the same matrix.</w:t>
      </w:r>
    </w:p>
    <w:p>
      <w:pPr>
        <w:pStyle w:val="FirstParagraph"/>
      </w:pPr>
      <w:r>
        <w:t xml:space="preserve">All three are exploratory companions to, not replacements for, the main-text PerMANOVA, which we present as descriptive rather than confirmatory, framed as selective inference on data-adaptive groups</w:t>
      </w:r>
      <w:r>
        <w:t xml:space="preserve"> </w:t>
      </w:r>
      <w:r>
        <w:t xml:space="preserve">[19,20]</w:t>
      </w:r>
      <w:r>
        <w:t xml:space="preserve">. P-values from 100 dependent splits are reported as median p, proportion significant, and Brown’s method for dependent p-values</w:t>
      </w:r>
      <w:r>
        <w:t xml:space="preserve"> </w:t>
      </w:r>
      <w:r>
        <w:t xml:space="preserve">[21,22]</w:t>
      </w:r>
      <w:r>
        <w:t xml:space="preserve">, not Fisher’s method which assumes independence. Jaccard results are shown alongside Simpson turnover (which removes the richness-nestedness component) because the richness median split is tautological under Jaccard.</w:t>
      </w:r>
    </w:p>
    <w:tbl>
      <w:tblPr>
        <w:tblStyle w:val="Table"/>
        <w:tblW w:type="pct" w:w="5000"/>
        <w:tblLook w:firstRow="0" w:lastRow="0" w:firstColumn="0" w:lastColumn="0" w:noHBand="0" w:noVBand="0" w:val="0000"/>
        <w:jc w:val="start"/>
        <w:tblLayout w:type="fixed"/>
      </w:tblPr>
      <w:tblGrid>
        <w:gridCol w:w="7920"/>
      </w:tblGrid>
      <w:tr>
        <w:tc>
          <w:tcPr/>
          <w:bookmarkStart w:id="163" w:name="tbl-validation-summary"/>
          <w:tbl>
            <w:tblPr>
              <w:tblStyle w:val="Table"/>
              <w:tblW w:type="pct" w:w="5000"/>
              <w:tblLook w:firstRow="1" w:lastRow="0" w:firstColumn="0" w:lastColumn="0" w:noHBand="0" w:noVBand="0" w:val="0020"/>
              <w:jc w:val="start"/>
              <w:tblLayout w:type="fixed"/>
            </w:tblPr>
            <w:tblGrid>
              <w:gridCol w:w="3285"/>
              <w:gridCol w:w="1769"/>
              <w:gridCol w:w="2864"/>
            </w:tblGrid>
            <w:tr>
              <w:trPr>
                <w:tblHeader w:val="true"/>
              </w:trPr>
              <w:tc>
                <w:tcPr/>
                <w:p>
                  <w:pPr>
                    <w:pStyle w:val="Compact"/>
                    <w:jc w:val="left"/>
                    <w:jc w:val="center"/>
                  </w:pPr>
                  <w:r>
                    <w:t xml:space="preserve">Method</w:t>
                  </w:r>
                </w:p>
              </w:tc>
              <w:tc>
                <w:tcPr/>
                <w:p>
                  <w:pPr>
                    <w:pStyle w:val="Compact"/>
                    <w:jc w:val="left"/>
                    <w:jc w:val="center"/>
                  </w:pPr>
                  <w:r>
                    <w:t xml:space="preserve">Statistic</w:t>
                  </w:r>
                </w:p>
              </w:tc>
              <w:tc>
                <w:tcPr/>
                <w:p>
                  <w:pPr>
                    <w:pStyle w:val="Compact"/>
                    <w:jc w:val="center"/>
                    <w:jc w:val="center"/>
                  </w:pPr>
                  <w:r>
                    <w:t xml:space="preserve">p.value</w:t>
                  </w:r>
                </w:p>
              </w:tc>
            </w:tr>
            <w:tr>
              <w:tc>
                <w:tcPr/>
                <w:p>
                  <w:pPr>
                    <w:pStyle w:val="Compact"/>
                    <w:jc w:val="left"/>
                    <w:jc w:val="center"/>
                  </w:pPr>
                  <w:r>
                    <w:t xml:space="preserve">A: Maximally-selected split (P1)</w:t>
                  </w:r>
                </w:p>
              </w:tc>
              <w:tc>
                <w:tcPr/>
                <w:p>
                  <w:pPr>
                    <w:pStyle w:val="Compact"/>
                    <w:jc w:val="left"/>
                    <w:jc w:val="center"/>
                  </w:pPr>
                  <w:r>
                    <w:t xml:space="preserve">5.25</w:t>
                  </w:r>
                </w:p>
              </w:tc>
              <w:tc>
                <w:tcPr/>
                <w:p>
                  <w:pPr>
                    <w:pStyle w:val="Compact"/>
                    <w:jc w:val="center"/>
                    <w:jc w:val="center"/>
                  </w:pPr>
                  <w:r>
                    <w:t xml:space="preserve">0.106</w:t>
                  </w:r>
                </w:p>
              </w:tc>
            </w:tr>
            <w:tr>
              <w:tc>
                <w:tcPr/>
                <w:p>
                  <w:pPr>
                    <w:pStyle w:val="Compact"/>
                    <w:jc w:val="left"/>
                    <w:jc w:val="center"/>
                  </w:pPr>
                  <w:r>
                    <w:t xml:space="preserve">A: Maximally-selected split (P2)</w:t>
                  </w:r>
                </w:p>
              </w:tc>
              <w:tc>
                <w:tcPr/>
                <w:p>
                  <w:pPr>
                    <w:pStyle w:val="Compact"/>
                    <w:jc w:val="left"/>
                    <w:jc w:val="center"/>
                  </w:pPr>
                  <w:r>
                    <w:t xml:space="preserve">2.2</w:t>
                  </w:r>
                </w:p>
              </w:tc>
              <w:tc>
                <w:tcPr/>
                <w:p>
                  <w:pPr>
                    <w:pStyle w:val="Compact"/>
                    <w:jc w:val="center"/>
                    <w:jc w:val="center"/>
                  </w:pPr>
                  <w:r>
                    <w:t xml:space="preserve">0.984</w:t>
                  </w:r>
                </w:p>
              </w:tc>
            </w:tr>
            <w:tr>
              <w:tc>
                <w:tcPr/>
                <w:p>
                  <w:pPr>
                    <w:pStyle w:val="Compact"/>
                    <w:jc w:val="left"/>
                    <w:jc w:val="center"/>
                  </w:pPr>
                  <w:r>
                    <w:t xml:space="preserve">B-i: LOOCV site classification (P1)</w:t>
                  </w:r>
                </w:p>
              </w:tc>
              <w:tc>
                <w:tcPr/>
                <w:p>
                  <w:pPr>
                    <w:pStyle w:val="Compact"/>
                    <w:jc w:val="left"/>
                    <w:jc w:val="center"/>
                  </w:pPr>
                  <w:r>
                    <w:t xml:space="preserve">1 acc</w:t>
                  </w:r>
                </w:p>
              </w:tc>
              <w:tc>
                <w:tcPr/>
                <w:p>
                  <w:pPr>
                    <w:pStyle w:val="Compact"/>
                    <w:jc w:val="center"/>
                    <w:jc w:val="center"/>
                  </w:pPr>
                  <w:r>
                    <w:t xml:space="preserve">0.001</w:t>
                  </w:r>
                </w:p>
              </w:tc>
            </w:tr>
            <w:tr>
              <w:tc>
                <w:tcPr/>
                <w:p>
                  <w:pPr>
                    <w:pStyle w:val="Compact"/>
                    <w:jc w:val="left"/>
                    <w:jc w:val="center"/>
                  </w:pPr>
                  <w:r>
                    <w:t xml:space="preserve">B-i: LOOCV site classification (P2)</w:t>
                  </w:r>
                </w:p>
              </w:tc>
              <w:tc>
                <w:tcPr/>
                <w:p>
                  <w:pPr>
                    <w:pStyle w:val="Compact"/>
                    <w:jc w:val="left"/>
                    <w:jc w:val="center"/>
                  </w:pPr>
                  <w:r>
                    <w:t xml:space="preserve">0.89 acc</w:t>
                  </w:r>
                </w:p>
              </w:tc>
              <w:tc>
                <w:tcPr/>
                <w:p>
                  <w:pPr>
                    <w:pStyle w:val="Compact"/>
                    <w:jc w:val="center"/>
                    <w:jc w:val="center"/>
                  </w:pPr>
                  <w:r>
                    <w:t xml:space="preserve">0.028</w:t>
                  </w:r>
                </w:p>
              </w:tc>
            </w:tr>
            <w:tr>
              <w:tc>
                <w:tcPr/>
                <w:p>
                  <w:pPr>
                    <w:pStyle w:val="Compact"/>
                    <w:jc w:val="left"/>
                    <w:jc w:val="center"/>
                  </w:pPr>
                  <w:r>
                    <w:t xml:space="preserve">B-ii: Object-half holdout Jaccard (P1)</w:t>
                  </w:r>
                </w:p>
              </w:tc>
              <w:tc>
                <w:tcPr/>
                <w:p>
                  <w:pPr>
                    <w:pStyle w:val="Compact"/>
                    <w:jc w:val="left"/>
                    <w:jc w:val="center"/>
                  </w:pPr>
                  <w:r>
                    <w:t xml:space="preserve">50% sig, med p=0.049</w:t>
                  </w:r>
                </w:p>
              </w:tc>
              <w:tc>
                <w:tcPr/>
                <w:p>
                  <w:pPr>
                    <w:pStyle w:val="Compact"/>
                    <w:jc w:val="center"/>
                    <w:jc w:val="center"/>
                  </w:pPr>
                  <w:r>
                    <w:t xml:space="preserve">Brown &lt;2e-16 (Fisher &lt;2e-16)</w:t>
                  </w:r>
                </w:p>
              </w:tc>
            </w:tr>
            <w:tr>
              <w:tc>
                <w:tcPr/>
                <w:p>
                  <w:pPr>
                    <w:pStyle w:val="Compact"/>
                    <w:jc w:val="left"/>
                    <w:jc w:val="center"/>
                  </w:pPr>
                  <w:r>
                    <w:t xml:space="preserve">B-ii: Object-half holdout Jaccard (P2)</w:t>
                  </w:r>
                </w:p>
              </w:tc>
              <w:tc>
                <w:tcPr/>
                <w:p>
                  <w:pPr>
                    <w:pStyle w:val="Compact"/>
                    <w:jc w:val="left"/>
                    <w:jc w:val="center"/>
                  </w:pPr>
                  <w:r>
                    <w:t xml:space="preserve">0% sig, med p=0.119</w:t>
                  </w:r>
                </w:p>
              </w:tc>
              <w:tc>
                <w:tcPr/>
                <w:p>
                  <w:pPr>
                    <w:pStyle w:val="Compact"/>
                    <w:jc w:val="center"/>
                    <w:jc w:val="center"/>
                  </w:pPr>
                  <w:r>
                    <w:t xml:space="preserve">Brown 2.08e-10 (Fisher 6.58e-10)</w:t>
                  </w:r>
                </w:p>
              </w:tc>
            </w:tr>
            <w:tr>
              <w:tc>
                <w:tcPr/>
                <w:p>
                  <w:pPr>
                    <w:pStyle w:val="Compact"/>
                    <w:jc w:val="left"/>
                    <w:jc w:val="center"/>
                  </w:pPr>
                  <w:r>
                    <w:t xml:space="preserve">B-ii: Object-half holdout Simpson (P1)</w:t>
                  </w:r>
                </w:p>
              </w:tc>
              <w:tc>
                <w:tcPr/>
                <w:p>
                  <w:pPr>
                    <w:pStyle w:val="Compact"/>
                    <w:jc w:val="left"/>
                    <w:jc w:val="center"/>
                  </w:pPr>
                  <w:r>
                    <w:t xml:space="preserve">0% sig, med p=0.97</w:t>
                  </w:r>
                </w:p>
              </w:tc>
              <w:tc>
                <w:tcPr/>
                <w:p>
                  <w:pPr>
                    <w:pStyle w:val="Compact"/>
                    <w:jc w:val="center"/>
                    <w:jc w:val="center"/>
                  </w:pPr>
                  <w:r>
                    <w:t xml:space="preserve">Brown 1</w:t>
                  </w:r>
                </w:p>
              </w:tc>
            </w:tr>
            <w:tr>
              <w:tc>
                <w:tcPr/>
                <w:p>
                  <w:pPr>
                    <w:pStyle w:val="Compact"/>
                    <w:jc w:val="left"/>
                    <w:jc w:val="center"/>
                  </w:pPr>
                  <w:r>
                    <w:t xml:space="preserve">B-ii: Object-half holdout Simpson (P2)</w:t>
                  </w:r>
                </w:p>
              </w:tc>
              <w:tc>
                <w:tcPr/>
                <w:p>
                  <w:pPr>
                    <w:pStyle w:val="Compact"/>
                    <w:jc w:val="left"/>
                    <w:jc w:val="center"/>
                  </w:pPr>
                  <w:r>
                    <w:t xml:space="preserve">0% sig, med p=0.9</w:t>
                  </w:r>
                </w:p>
              </w:tc>
              <w:tc>
                <w:tcPr/>
                <w:p>
                  <w:pPr>
                    <w:pStyle w:val="Compact"/>
                    <w:jc w:val="center"/>
                    <w:jc w:val="center"/>
                  </w:pPr>
                  <w:r>
                    <w:t xml:space="preserve">Brown 1</w:t>
                  </w:r>
                </w:p>
              </w:tc>
            </w:tr>
            <w:tr>
              <w:tc>
                <w:tcPr/>
                <w:p>
                  <w:pPr>
                    <w:pStyle w:val="Compact"/>
                    <w:jc w:val="left"/>
                    <w:jc w:val="center"/>
                  </w:pPr>
                  <w:r>
                    <w:t xml:space="preserve">C: Gradient log(nobjects) (P1)</w:t>
                  </w:r>
                </w:p>
              </w:tc>
              <w:tc>
                <w:tcPr/>
                <w:p>
                  <w:pPr>
                    <w:pStyle w:val="Compact"/>
                    <w:jc w:val="left"/>
                    <w:jc w:val="center"/>
                  </w:pPr>
                  <w:r>
                    <w:t xml:space="preserve">R2=0.187</w:t>
                  </w:r>
                </w:p>
              </w:tc>
              <w:tc>
                <w:tcPr/>
                <w:p>
                  <w:pPr>
                    <w:pStyle w:val="Compact"/>
                    <w:jc w:val="center"/>
                    <w:jc w:val="center"/>
                  </w:pPr>
                  <w:r>
                    <w:t xml:space="preserve">0.001</w:t>
                  </w:r>
                </w:p>
              </w:tc>
            </w:tr>
            <w:tr>
              <w:tc>
                <w:tcPr/>
                <w:p>
                  <w:pPr>
                    <w:pStyle w:val="Compact"/>
                    <w:jc w:val="left"/>
                    <w:jc w:val="center"/>
                  </w:pPr>
                  <w:r>
                    <w:t xml:space="preserve">C: Gradient log(nobjects) (P2)</w:t>
                  </w:r>
                </w:p>
              </w:tc>
              <w:tc>
                <w:tcPr/>
                <w:p>
                  <w:pPr>
                    <w:pStyle w:val="Compact"/>
                    <w:jc w:val="left"/>
                    <w:jc w:val="center"/>
                  </w:pPr>
                  <w:r>
                    <w:t xml:space="preserve">R2=0.128</w:t>
                  </w:r>
                </w:p>
              </w:tc>
              <w:tc>
                <w:tcPr/>
                <w:p>
                  <w:pPr>
                    <w:pStyle w:val="Compact"/>
                    <w:jc w:val="center"/>
                    <w:jc w:val="center"/>
                  </w:pPr>
                  <w:r>
                    <w:t xml:space="preserve">0.428</w:t>
                  </w:r>
                </w:p>
              </w:tc>
            </w:tr>
            <w:tr>
              <w:tc>
                <w:tcPr/>
                <w:p>
                  <w:pPr>
                    <w:pStyle w:val="Compact"/>
                    <w:jc w:val="left"/>
                    <w:jc w:val="center"/>
                  </w:pPr>
                  <w:r>
                    <w:t xml:space="preserve">C: Gradient richness (P1)</w:t>
                  </w:r>
                </w:p>
              </w:tc>
              <w:tc>
                <w:tcPr/>
                <w:p>
                  <w:pPr>
                    <w:pStyle w:val="Compact"/>
                    <w:jc w:val="left"/>
                    <w:jc w:val="center"/>
                  </w:pPr>
                  <w:r>
                    <w:t xml:space="preserve">R2=0.207</w:t>
                  </w:r>
                </w:p>
              </w:tc>
              <w:tc>
                <w:tcPr/>
                <w:p>
                  <w:pPr>
                    <w:pStyle w:val="Compact"/>
                    <w:jc w:val="center"/>
                    <w:jc w:val="center"/>
                  </w:pPr>
                  <w:r>
                    <w:t xml:space="preserve">0.001</w:t>
                  </w:r>
                </w:p>
              </w:tc>
            </w:tr>
            <w:tr>
              <w:tc>
                <w:tcPr/>
                <w:p>
                  <w:pPr>
                    <w:pStyle w:val="Compact"/>
                    <w:jc w:val="left"/>
                    <w:jc w:val="center"/>
                  </w:pPr>
                  <w:r>
                    <w:t xml:space="preserve">C: Gradient richness (P2)</w:t>
                  </w:r>
                </w:p>
              </w:tc>
              <w:tc>
                <w:tcPr/>
                <w:p>
                  <w:pPr>
                    <w:pStyle w:val="Compact"/>
                    <w:jc w:val="left"/>
                    <w:jc w:val="center"/>
                  </w:pPr>
                  <w:r>
                    <w:t xml:space="preserve">R2=0.272</w:t>
                  </w:r>
                </w:p>
              </w:tc>
              <w:tc>
                <w:tcPr/>
                <w:p>
                  <w:pPr>
                    <w:pStyle w:val="Compact"/>
                    <w:jc w:val="center"/>
                    <w:jc w:val="center"/>
                  </w:pPr>
                  <w:r>
                    <w:t xml:space="preserve">0.038</w:t>
                  </w:r>
                </w:p>
              </w:tc>
            </w:tr>
          </w:tbl>
          <w:p>
            <w:pPr>
              <w:jc w:val="center"/>
            </w:pPr>
            <w:pPr>
              <w:jc w:val="start"/>
              <w:spacing w:before="200"/>
              <w:pStyle w:val="ImageCaption"/>
            </w:pPr>
            <w:r>
              <w:t xml:space="preserve">Table S 32: Circularity-breaking validation of the restricted/broad group difference. Method A re-derives the optimal two-group split from randomised data (Curveball null). Method B validates on withheld data: (B-i) site-level leave-one-out k-NN classification (label smoothness check, not independent validation; permutation p) and (B-ii) object-level holdout where groups are defined from one random half of each site’s objects and tested on the other half. B-ii reports median p, proportion significant, and Brown’s method for dependent p-values with Fisher p for reference; Jaccard and Simpson turnover versions are shown because the richness median split is tautological under Jaccard. Method C is group-free gradient PerMANOVA on predictors independent of the distance matrix (log object count, richness); PCoA-axis result is not used as validation. A significant B-ii Brown p indicates recoverability from independent objects.</w:t>
            </w:r>
          </w:p>
          <w:bookmarkEnd w:id="163"/>
        </w:tc>
      </w:tr>
    </w:tbl>
    <w:bookmarkStart w:id="164" w:name="interpretation-7"/>
    <w:p>
      <w:pPr>
        <w:pStyle w:val="Heading3"/>
      </w:pPr>
      <w:r>
        <w:t xml:space="preserve">Interpretation</w:t>
      </w:r>
    </w:p>
    <w:p>
      <w:pPr>
        <w:pStyle w:val="FirstParagraph"/>
      </w:pPr>
      <w:r>
        <w:t xml:space="preserve">The methods below answer one general question, whether the restricted/broad difference is a genuine pattern recoverable from data independent of how the groups were originally defined, through three specific questions, each answered by a different route.</w:t>
      </w:r>
    </w:p>
    <w:p>
      <w:pPr>
        <w:pStyle w:val="BodyText"/>
      </w:pPr>
      <w:r>
        <w:rPr>
          <w:bCs/>
          <w:b/>
        </w:rPr>
        <w:t xml:space="preserve">Question 1 (strategy A):</w:t>
      </w:r>
      <w:r>
        <w:t xml:space="preserve"> </w:t>
      </w:r>
      <w:r>
        <w:t xml:space="preserve">Is the observed two-group split</w:t>
      </w:r>
      <w:r>
        <w:t xml:space="preserve"> </w:t>
      </w:r>
      <w:r>
        <w:rPr>
          <w:iCs/>
          <w:i/>
        </w:rPr>
        <w:t xml:space="preserve">stronger</w:t>
      </w:r>
      <w:r>
        <w:t xml:space="preserve"> </w:t>
      </w:r>
      <w:r>
        <w:t xml:space="preserve">than the best split one would obtain by optimising on randomised data, that is, does the restricted/broad partition survive a null that accounts for the fact that the grouping was itself optimised to maximise separation? Method A re-derives the optimal split by ordering sites on sign-repertoire richness, the same principle underlying the manual restricted/broad distinction, and compares the observed optimum against the null distribution of optima from randomised data. We implement a fixed-fixed (Curveball) null that preserves both site richness and sign-type frequencies while destroying compositional structure.</w:t>
      </w:r>
    </w:p>
    <w:p>
      <w:pPr>
        <w:pStyle w:val="BodyText"/>
      </w:pPr>
      <w:r>
        <w:rPr>
          <w:iCs/>
          <w:i/>
        </w:rPr>
        <w:t xml:space="preserve">Answer:</w:t>
      </w:r>
      <w:r>
        <w:t xml:space="preserve"> </w:t>
      </w:r>
      <w:r>
        <w:rPr>
          <w:bCs/>
          <w:b/>
        </w:rPr>
        <w:t xml:space="preserve">Under the fixed-fixed (Curveball) null, the observed optimal split is not significant in either phase</w:t>
      </w:r>
      <w:r>
        <w:t xml:space="preserve"> </w:t>
      </w:r>
      <w:r>
        <w:t xml:space="preserve">(Aur-P1 observed optimal pseudo-F = 5.25, permutation p = 0.106; Aur-P2 observed optimal pseudo-F = 2.2, permutation p = 0.984). This means the restricted/broad partition does not produce a two-group separation stronger than expected under a null that preserves both site richness and sign-type frequencies. The non-significance under the fixed-fixed null indicates that the restricted/broad contrast is not a sharp discontinuous partition that survives the most stringent</w:t>
      </w:r>
      <w:r>
        <w:t xml:space="preserve"> </w:t>
      </w:r>
      <w:r>
        <w:t xml:space="preserve">“</w:t>
      </w:r>
      <w:r>
        <w:t xml:space="preserve">optimisation-accounted-for</w:t>
      </w:r>
      <w:r>
        <w:t xml:space="preserve">”</w:t>
      </w:r>
      <w:r>
        <w:t xml:space="preserve"> </w:t>
      </w:r>
      <w:r>
        <w:t xml:space="preserve">null; rather, it is a</w:t>
      </w:r>
      <w:r>
        <w:t xml:space="preserve"> </w:t>
      </w:r>
      <w:r>
        <w:rPr>
          <w:bCs/>
          <w:b/>
        </w:rPr>
        <w:t xml:space="preserve">recoverable gradient/axis of variation</w:t>
      </w:r>
      <w:r>
        <w:t xml:space="preserve"> </w:t>
      </w:r>
      <w:r>
        <w:t xml:space="preserve">whose strength is partly attributable to the marginal richness and frequency structure of the data. This is consistent with, not contradictory to, the conclusions from strategies B and C below, which independently show the contrast is recoverable from withheld data.</w:t>
      </w:r>
    </w:p>
    <w:p>
      <w:pPr>
        <w:pStyle w:val="BodyText"/>
      </w:pPr>
      <w:r>
        <w:rPr>
          <w:bCs/>
          <w:b/>
        </w:rPr>
        <w:t xml:space="preserve">Question 2 (strategy B):</w:t>
      </w:r>
      <w:r>
        <w:t xml:space="preserve"> </w:t>
      </w:r>
      <w:r>
        <w:t xml:space="preserve">Can the group assignment be recovered from data that did</w:t>
      </w:r>
      <w:r>
        <w:t xml:space="preserve"> </w:t>
      </w:r>
      <w:r>
        <w:rPr>
          <w:bCs/>
          <w:b/>
        </w:rPr>
        <w:t xml:space="preserve">not</w:t>
      </w:r>
      <w:r>
        <w:t xml:space="preserve"> </w:t>
      </w:r>
      <w:r>
        <w:t xml:space="preserve">contribute to defining it?</w:t>
      </w:r>
      <w:r>
        <w:t xml:space="preserve"> </w:t>
      </w:r>
      <w:r>
        <w:t xml:space="preserve">-</w:t>
      </w:r>
      <w:r>
        <w:t xml:space="preserve"> </w:t>
      </w:r>
      <w:r>
        <w:rPr>
          <w:iCs/>
          <w:i/>
        </w:rPr>
        <w:t xml:space="preserve">Site level (B-i) — label smoothness, not independent validation:</w:t>
      </w:r>
      <w:r>
        <w:t xml:space="preserve"> </w:t>
      </w:r>
      <w:r>
        <w:t xml:space="preserve">Can a held-out site’s label be predicted from other sites using the same Jaccard structure that produced the labels? This is expected to succeed when labels vary smoothly with composition; it does not demonstrate that a discrete partition exists independently of the distance matrix used to create it.</w:t>
      </w:r>
      <w:r>
        <w:t xml:space="preserve"> </w:t>
      </w:r>
      <w:r>
        <w:t xml:space="preserve">-</w:t>
      </w:r>
      <w:r>
        <w:t xml:space="preserve"> </w:t>
      </w:r>
      <w:r>
        <w:rPr>
          <w:iCs/>
          <w:i/>
        </w:rPr>
        <w:t xml:space="preserve">Answer:</w:t>
      </w:r>
      <w:r>
        <w:t xml:space="preserve"> </w:t>
      </w:r>
      <w:r>
        <w:t xml:space="preserve">Leave-one-site-out k=1 NN recovers the manual label for 100% of Aur-P1 sites (95% CI 0.83–1, permutation p = 0.001) and 89% of Aur-P2 sites (permutation p = 0.028). This shows the seriation-derived labels are smooth on the Jaccard graph. Because the graph and the labels were derived from the same matrix, we do not treat this as independent confirmation of a discrete partition; the appropriate independent test is B-ii, which uses disjoint objects.</w:t>
      </w:r>
      <w:r>
        <w:t xml:space="preserve"> </w:t>
      </w:r>
      <w:r>
        <w:t xml:space="preserve">-</w:t>
      </w:r>
      <w:r>
        <w:t xml:space="preserve"> </w:t>
      </w:r>
      <w:r>
        <w:rPr>
          <w:iCs/>
          <w:i/>
        </w:rPr>
        <w:t xml:space="preserve">Object level (B-ii) — independent validation on disjoint objects:</w:t>
      </w:r>
      <w:r>
        <w:t xml:space="preserve"> </w:t>
      </w:r>
      <w:r>
        <w:t xml:space="preserve">When the two-group rule is learned from one random half of each site’s objects and tested, by PerMANOVA, on the</w:t>
      </w:r>
      <w:r>
        <w:t xml:space="preserve"> </w:t>
      </w:r>
      <w:r>
        <w:rPr>
          <w:iCs/>
          <w:i/>
        </w:rPr>
        <w:t xml:space="preserve">other</w:t>
      </w:r>
      <w:r>
        <w:t xml:space="preserve"> </w:t>
      </w:r>
      <w:r>
        <w:t xml:space="preserve">half, is the held-out contrast still significant? We report median p, proportion of splits with p &lt; 0.05, and Brown’s method for dependent p-values (Fisher p is shown only for reference). The richness median split is tautological under Jaccard, which separates rich from poor by construction, so Simpson turnover is shown alongside Jaccard.</w:t>
      </w:r>
      <w:r>
        <w:t xml:space="preserve"> </w:t>
      </w:r>
      <w:r>
        <w:t xml:space="preserve">-</w:t>
      </w:r>
      <w:r>
        <w:t xml:space="preserve"> </w:t>
      </w:r>
      <w:r>
        <w:rPr>
          <w:iCs/>
          <w:i/>
        </w:rPr>
        <w:t xml:space="preserve">Answer (Jaccard):</w:t>
      </w:r>
      <w:r>
        <w:t xml:space="preserve"> </w:t>
      </w:r>
      <w:r>
        <w:t xml:space="preserve">Aur-P1 median p = 0.049 with 50% of 100 splits significant; Brown p = &lt;2e-16 (Fisher p = &lt;2e-16). Aur-P2 median p = 0.119 with 0% significant; Brown p = 2.08e-10 (Fisher p = 6.58e-10). Brown is an empirical approximation</w:t>
      </w:r>
      <w:r>
        <w:t xml:space="preserve"> </w:t>
      </w:r>
      <w:r>
        <w:t xml:space="preserve">[21,22 via Kost &amp; McDermott]</w:t>
      </w:r>
      <w:r>
        <w:t xml:space="preserve">; for Aur-P2 (5 usable sites) Brown (2.08e-10) is slightly anti-conservative vs. Fisher (6.58e-10), so median p and proportion are primary and Brown/Fisher are order-of-magnitude. Both use 16 (Aur-P1) and 5 (Aur-P2) of the total sites with at least two objects; Aur-P2 individual splits have low power.</w:t>
      </w:r>
      <w:r>
        <w:t xml:space="preserve"> </w:t>
      </w:r>
      <w:r>
        <w:t xml:space="preserve">-</w:t>
      </w:r>
      <w:r>
        <w:t xml:space="preserve"> </w:t>
      </w:r>
      <w:r>
        <w:rPr>
          <w:iCs/>
          <w:i/>
        </w:rPr>
        <w:t xml:space="preserve">Answer (Simpson turnover, nestedness-robust):</w:t>
      </w:r>
      <w:r>
        <w:t xml:space="preserve"> </w:t>
      </w:r>
      <w:r>
        <w:t xml:space="preserve">Aur-P1 median p = 0.97 with 0% significant; Brown p = 1. Aur-P2 median p = 0.9 with 0% significant; Brown p = 1. The Simpson version asks whether compositional turnover, beyond richness nesting, survives the holdout; p-values are higher than Jaccard, as expected.</w:t>
      </w:r>
      <w:r>
        <w:t xml:space="preserve"> </w:t>
      </w:r>
      <w:r>
        <w:t xml:space="preserve">This shows whether the grouping, as defined by a richness rule, generalises to independent objects. The original PerMANOVA, using every object to both define and test the groups, could not establish this.</w:t>
      </w:r>
    </w:p>
    <w:p>
      <w:pPr>
        <w:pStyle w:val="BodyText"/>
      </w:pPr>
      <w:r>
        <w:rPr>
          <w:bCs/>
          <w:b/>
        </w:rPr>
        <w:t xml:space="preserve">Question 3 (strategy C):</w:t>
      </w:r>
      <w:r>
        <w:t xml:space="preserve"> </w:t>
      </w:r>
      <w:r>
        <w:t xml:space="preserve">If we abandon the discrete partition and ask whether sign composition varies continuously with predictors that are independent of the distance matrix, is that gradient significant? Regressing Jaccard dissimilarity on its own first PCoA axis is significant by construction and is not used as validation.</w:t>
      </w:r>
      <w:r>
        <w:t xml:space="preserve"> </w:t>
      </w:r>
      <w:r>
        <w:t xml:space="preserve">-</w:t>
      </w:r>
      <w:r>
        <w:t xml:space="preserve"> </w:t>
      </w:r>
      <w:r>
        <w:rPr>
          <w:iCs/>
          <w:i/>
        </w:rPr>
        <w:t xml:space="preserve">Answer:</w:t>
      </w:r>
      <w:r>
        <w:t xml:space="preserve"> </w:t>
      </w:r>
      <w:r>
        <w:t xml:space="preserve">For log object count: Aur-P1 R² = 0.187, p = 0.001; Aur-P2 R² = 0.128, p = 0.428. For richness: Aur-P1 R² = 0.207, p = 0.001; Aur-P2 R² = 0.272, p = 0.038. These tests use predictors (log(nobjects), richness) that are not derived from the Jaccard matrix, so a significant result indicates a compositional gradient linked to sampling effort or richness, not a tautology. The PCoA-axis version is shown only to illustrate its tautological nature.</w:t>
      </w:r>
    </w:p>
    <w:p>
      <w:pPr>
        <w:pStyle w:val="BodyText"/>
      </w:pPr>
      <w:r>
        <w:rPr>
          <w:bCs/>
          <w:b/>
        </w:rPr>
        <w:t xml:space="preserve">Summary.</w:t>
      </w:r>
      <w:r>
        <w:t xml:space="preserve"> </w:t>
      </w:r>
      <w:r>
        <w:t xml:space="preserve">Strategy B-ii (object-half holdout) provides the appropriate independent validation because it tests the grouping on disjoint objects and reports dependence-aware statistics (median p, proportion significant, Brown p) with Jaccard and Simpson turnover. Strategy B-i (LOOCV) shows the labels are smooth on the Jaccard graph but, because graph and labels share the same distance matrix, we do not treat it as independent confirmation of a discrete partition. Strategy C is valid only when the predictor is independent of the distance matrix; the PCoA-axis version is significant by construction. Strategy A, the most stringent richness-preserving null, is not significant and indicates the contrast is a gradient partly explained by marginal richness. Together these support presenting the main-text PerMANOVA as descriptive and the restricted/broad contrast as a recoverable gradient, strong for well-sampled sites and provisional for small ones.</w:t>
      </w:r>
    </w:p>
    <w:bookmarkEnd w:id="164"/>
    <w:bookmarkEnd w:id="165"/>
    <w:bookmarkStart w:id="169" w:name="sec-s10-1"/>
    <w:p>
      <w:pPr>
        <w:pStyle w:val="Heading2"/>
      </w:pPr>
      <w:r>
        <w:t xml:space="preserve">S1.10.1 Richness-Preserving Nulls and Simpson Turnover</w:t>
      </w:r>
    </w:p>
    <w:bookmarkStart w:id="167" w:name="rationale-16"/>
    <w:p>
      <w:pPr>
        <w:pStyle w:val="Heading3"/>
      </w:pPr>
      <w:r>
        <w:t xml:space="preserve">Rationale</w:t>
      </w:r>
    </w:p>
    <w:p>
      <w:pPr>
        <w:pStyle w:val="FirstParagraph"/>
      </w:pPr>
      <w:r>
        <w:t xml:space="preserve">Jaccard dissimilarity confounds turnover with nestedness: a poor assemblage nested inside a rich one scores as dissimilar by construction, so a PerMANOVA of rich versus poor sites on Jaccard distances partly tests richness itself. Simpson turnover dissimilarity,</w:t>
      </w:r>
      <w:r>
        <w:t xml:space="preserve"> </w:t>
      </w:r>
      <m:oMath>
        <m:sSub>
          <m:e>
            <m:r>
              <m:t>β</m:t>
            </m:r>
          </m:e>
          <m:sub>
            <m:r>
              <m:t>s</m:t>
            </m:r>
            <m:r>
              <m:t>i</m:t>
            </m:r>
            <m:r>
              <m:t>m</m:t>
            </m:r>
          </m:sub>
        </m:sSub>
        <m:r>
          <m:rPr>
            <m:sty m:val="p"/>
          </m:rPr>
          <m:t>=</m:t>
        </m:r>
        <m:r>
          <m:rPr>
            <m:sty m:val="p"/>
          </m:rPr>
          <m:t>min</m:t>
        </m:r>
        <m:d>
          <m:dPr>
            <m:begChr m:val="("/>
            <m:endChr m:val=")"/>
            <m:sepChr m:val=""/>
            <m:grow/>
          </m:dPr>
          <m:e>
            <m:r>
              <m:t>b</m:t>
            </m:r>
            <m:r>
              <m:rPr>
                <m:sty m:val="p"/>
              </m:rPr>
              <m:t>,</m:t>
            </m:r>
            <m:r>
              <m:t>c</m:t>
            </m:r>
          </m:e>
        </m:d>
        <m:r>
          <m:rPr>
            <m:sty m:val="p"/>
          </m:rPr>
          <m:t>/</m:t>
        </m:r>
        <m:d>
          <m:dPr>
            <m:begChr m:val="("/>
            <m:endChr m:val=")"/>
            <m:sepChr m:val=""/>
            <m:grow/>
          </m:dPr>
          <m:e>
            <m:r>
              <m:t>a</m:t>
            </m:r>
            <m:r>
              <m:rPr>
                <m:sty m:val="p"/>
              </m:rPr>
              <m:t>+</m:t>
            </m:r>
            <m:r>
              <m:rPr>
                <m:sty m:val="p"/>
              </m:rPr>
              <m:t>min</m:t>
            </m:r>
            <m:d>
              <m:dPr>
                <m:begChr m:val="("/>
                <m:endChr m:val=")"/>
                <m:sepChr m:val=""/>
                <m:grow/>
              </m:dPr>
              <m:e>
                <m:r>
                  <m:t>b</m:t>
                </m:r>
                <m:r>
                  <m:rPr>
                    <m:sty m:val="p"/>
                  </m:rPr>
                  <m:t>,</m:t>
                </m:r>
                <m:r>
                  <m:t>c</m:t>
                </m:r>
              </m:e>
            </m:d>
          </m:e>
        </m:d>
      </m:oMath>
      <w:r>
        <w:t xml:space="preserve">, keeps only the turnover component — nested pairs score 0 — and therefore tests whether the groups differ in</w:t>
      </w:r>
      <w:r>
        <w:t xml:space="preserve"> </w:t>
      </w:r>
      <w:r>
        <w:rPr>
          <w:iCs/>
          <w:i/>
        </w:rPr>
        <w:t xml:space="preserve">composition</w:t>
      </w:r>
      <w:r>
        <w:t xml:space="preserve"> </w:t>
      </w:r>
      <w:r>
        <w:t xml:space="preserve">rather than in</w:t>
      </w:r>
      <w:r>
        <w:t xml:space="preserve"> </w:t>
      </w:r>
      <w:r>
        <w:rPr>
          <w:iCs/>
          <w:i/>
        </w:rPr>
        <w:t xml:space="preserve">size</w:t>
      </w:r>
      <w:r>
        <w:t xml:space="preserve">. We report the manual-group PerMANOVA on both distances, and we place the observed Jaccard R², Simpson R², and Louvain-to-manual ARI on richness-preserving null distributions: a fixed-fixed Curveball null (preserves site richness and sign-type frequencies) and an object-count null (each site redrawn with its observed object count from the phase pool). R² values use the same Gower algebra as</w:t>
      </w:r>
      <w:r>
        <w:t xml:space="preserve"> </w:t>
      </w:r>
      <w:r>
        <w:rPr>
          <w:rStyle w:val="VerbatimChar"/>
        </w:rPr>
        <w:t xml:space="preserve">adonis2(sqrt.dist = TRUE)</w:t>
      </w:r>
      <w:r>
        <w:t xml:space="preserve">.</w:t>
      </w:r>
    </w:p>
    <w:p>
      <w:pPr>
        <w:pStyle w:val="BodyText"/>
      </w:pPr>
      <w:r>
        <w:rPr>
          <w:bCs/>
          <w:b/>
        </w:rPr>
        <w:t xml:space="preserve">Question this analysis answers:</w:t>
      </w:r>
      <w:r>
        <w:t xml:space="preserve"> </w:t>
      </w:r>
      <w:r>
        <w:t xml:space="preserve">is the restricted/broad pattern stronger than richness structure alone, and does any group separation survive once the nestedness component is removed?</w:t>
      </w:r>
    </w:p>
    <w:tbl>
      <w:tblPr>
        <w:tblStyle w:val="Table"/>
        <w:tblW w:type="pct" w:w="5000"/>
        <w:tblLook w:firstRow="0" w:lastRow="0" w:firstColumn="0" w:lastColumn="0" w:noHBand="0" w:noVBand="0" w:val="0000"/>
        <w:jc w:val="start"/>
        <w:tblLayout w:type="fixed"/>
      </w:tblPr>
      <w:tblGrid>
        <w:gridCol w:w="7920"/>
      </w:tblGrid>
      <w:tr>
        <w:tc>
          <w:tcPr/>
          <w:bookmarkStart w:id="166" w:name="tbl-simpson-null"/>
          <w:tbl>
            <w:tblPr>
              <w:tblStyle w:val="Table"/>
              <w:tblW w:type="pct" w:w="5000"/>
              <w:tblLook w:firstRow="1" w:lastRow="0" w:firstColumn="0" w:lastColumn="0" w:noHBand="0" w:noVBand="0" w:val="0020"/>
              <w:jc w:val="start"/>
              <w:tblLayout w:type="fixed"/>
            </w:tblPr>
            <w:tblGrid>
              <w:gridCol w:w="630"/>
              <w:gridCol w:w="1170"/>
              <w:gridCol w:w="630"/>
              <w:gridCol w:w="810"/>
              <w:gridCol w:w="630"/>
              <w:gridCol w:w="810"/>
              <w:gridCol w:w="360"/>
              <w:gridCol w:w="540"/>
              <w:gridCol w:w="1170"/>
              <w:gridCol w:w="1170"/>
            </w:tblGrid>
            <w:tr>
              <w:trPr>
                <w:tblHeader w:val="true"/>
              </w:trPr>
              <w:tc>
                <w:tcPr/>
                <w:p>
                  <w:pPr>
                    <w:pStyle w:val="Compact"/>
                    <w:jc w:val="left"/>
                    <w:jc w:val="center"/>
                  </w:pPr>
                  <w:r>
                    <w:t xml:space="preserve">Phase</w:t>
                  </w:r>
                </w:p>
              </w:tc>
              <w:tc>
                <w:tcPr/>
                <w:p>
                  <w:pPr>
                    <w:pStyle w:val="Compact"/>
                    <w:jc w:val="left"/>
                    <w:jc w:val="center"/>
                  </w:pPr>
                  <w:r>
                    <w:t xml:space="preserve">Null</w:t>
                  </w:r>
                </w:p>
              </w:tc>
              <w:tc>
                <w:tcPr/>
                <w:p>
                  <w:pPr>
                    <w:pStyle w:val="Compact"/>
                    <w:jc w:val="right"/>
                    <w:jc w:val="center"/>
                  </w:pPr>
                  <w:r>
                    <w:t xml:space="preserve">R2_jac</w:t>
                  </w:r>
                </w:p>
              </w:tc>
              <w:tc>
                <w:tcPr/>
                <w:p>
                  <w:pPr>
                    <w:pStyle w:val="Compact"/>
                    <w:jc w:val="right"/>
                    <w:jc w:val="center"/>
                  </w:pPr>
                  <w:r>
                    <w:t xml:space="preserve">R2_jac_p</w:t>
                  </w:r>
                </w:p>
              </w:tc>
              <w:tc>
                <w:tcPr/>
                <w:p>
                  <w:pPr>
                    <w:pStyle w:val="Compact"/>
                    <w:jc w:val="right"/>
                    <w:jc w:val="center"/>
                  </w:pPr>
                  <w:r>
                    <w:t xml:space="preserve">R2_sim</w:t>
                  </w:r>
                </w:p>
              </w:tc>
              <w:tc>
                <w:tcPr/>
                <w:p>
                  <w:pPr>
                    <w:pStyle w:val="Compact"/>
                    <w:jc w:val="right"/>
                    <w:jc w:val="center"/>
                  </w:pPr>
                  <w:r>
                    <w:t xml:space="preserve">R2_sim_p</w:t>
                  </w:r>
                </w:p>
              </w:tc>
              <w:tc>
                <w:tcPr/>
                <w:p>
                  <w:pPr>
                    <w:pStyle w:val="Compact"/>
                    <w:jc w:val="right"/>
                    <w:jc w:val="center"/>
                  </w:pPr>
                  <w:r>
                    <w:t xml:space="preserve">ARI</w:t>
                  </w:r>
                </w:p>
              </w:tc>
              <w:tc>
                <w:tcPr/>
                <w:p>
                  <w:pPr>
                    <w:pStyle w:val="Compact"/>
                    <w:jc w:val="right"/>
                    <w:jc w:val="center"/>
                  </w:pPr>
                  <w:r>
                    <w:t xml:space="preserve">ARI_p</w:t>
                  </w:r>
                </w:p>
              </w:tc>
              <w:tc>
                <w:tcPr/>
                <w:p>
                  <w:pPr>
                    <w:pStyle w:val="Compact"/>
                    <w:jc w:val="right"/>
                    <w:jc w:val="center"/>
                  </w:pPr>
                  <w:r>
                    <w:t xml:space="preserve">adonis_jac_p</w:t>
                  </w:r>
                </w:p>
              </w:tc>
              <w:tc>
                <w:tcPr/>
                <w:p>
                  <w:pPr>
                    <w:pStyle w:val="Compact"/>
                    <w:jc w:val="right"/>
                    <w:jc w:val="center"/>
                  </w:pPr>
                  <w:r>
                    <w:t xml:space="preserve">adonis_sim_p</w:t>
                  </w:r>
                </w:p>
              </w:tc>
            </w:tr>
            <w:tr>
              <w:tc>
                <w:tcPr/>
                <w:p>
                  <w:pPr>
                    <w:pStyle w:val="Compact"/>
                    <w:jc w:val="left"/>
                    <w:jc w:val="center"/>
                  </w:pPr>
                  <w:r>
                    <w:t xml:space="preserve">Aur-P1</w:t>
                  </w:r>
                </w:p>
              </w:tc>
              <w:tc>
                <w:tcPr/>
                <w:p>
                  <w:pPr>
                    <w:pStyle w:val="Compact"/>
                    <w:jc w:val="left"/>
                    <w:jc w:val="center"/>
                  </w:pPr>
                  <w:r>
                    <w:t xml:space="preserve">Curveball</w:t>
                  </w:r>
                </w:p>
              </w:tc>
              <w:tc>
                <w:tcPr/>
                <w:p>
                  <w:pPr>
                    <w:pStyle w:val="Compact"/>
                    <w:jc w:val="right"/>
                    <w:jc w:val="center"/>
                  </w:pPr>
                  <w:r>
                    <w:t xml:space="preserve">0.196</w:t>
                  </w:r>
                </w:p>
              </w:tc>
              <w:tc>
                <w:tcPr/>
                <w:p>
                  <w:pPr>
                    <w:pStyle w:val="Compact"/>
                    <w:jc w:val="right"/>
                    <w:jc w:val="center"/>
                  </w:pPr>
                  <w:r>
                    <w:t xml:space="preserve">1.000</w:t>
                  </w:r>
                </w:p>
              </w:tc>
              <w:tc>
                <w:tcPr/>
                <w:p>
                  <w:pPr>
                    <w:pStyle w:val="Compact"/>
                    <w:jc w:val="right"/>
                    <w:jc w:val="center"/>
                  </w:pPr>
                  <w:r>
                    <w:t xml:space="preserve">-0.027</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Aur-P1</w:t>
                  </w:r>
                </w:p>
              </w:tc>
              <w:tc>
                <w:tcPr/>
                <w:p>
                  <w:pPr>
                    <w:pStyle w:val="Compact"/>
                    <w:jc w:val="left"/>
                    <w:jc w:val="center"/>
                  </w:pPr>
                  <w:r>
                    <w:t xml:space="preserve">Object-count</w:t>
                  </w:r>
                </w:p>
              </w:tc>
              <w:tc>
                <w:tcPr/>
                <w:p>
                  <w:pPr>
                    <w:pStyle w:val="Compact"/>
                    <w:jc w:val="right"/>
                    <w:jc w:val="center"/>
                  </w:pPr>
                  <w:r>
                    <w:t xml:space="preserve">0.196</w:t>
                  </w:r>
                </w:p>
              </w:tc>
              <w:tc>
                <w:tcPr/>
                <w:p>
                  <w:pPr>
                    <w:pStyle w:val="Compact"/>
                    <w:jc w:val="right"/>
                    <w:jc w:val="center"/>
                  </w:pPr>
                  <w:r>
                    <w:t xml:space="preserve">0.001</w:t>
                  </w:r>
                </w:p>
              </w:tc>
              <w:tc>
                <w:tcPr/>
                <w:p>
                  <w:pPr>
                    <w:pStyle w:val="Compact"/>
                    <w:jc w:val="right"/>
                    <w:jc w:val="center"/>
                  </w:pPr>
                  <w:r>
                    <w:t xml:space="preserve">-0.027</w:t>
                  </w:r>
                </w:p>
              </w:tc>
              <w:tc>
                <w:tcPr/>
                <w:p>
                  <w:pPr>
                    <w:pStyle w:val="Compact"/>
                    <w:jc w:val="right"/>
                    <w:jc w:val="center"/>
                  </w:pPr>
                  <w:r>
                    <w:t xml:space="preserve">0.003</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Aur-P2</w:t>
                  </w:r>
                </w:p>
              </w:tc>
              <w:tc>
                <w:tcPr/>
                <w:p>
                  <w:pPr>
                    <w:pStyle w:val="Compact"/>
                    <w:jc w:val="left"/>
                    <w:jc w:val="center"/>
                  </w:pPr>
                  <w:r>
                    <w:t xml:space="preserve">Curveball</w:t>
                  </w:r>
                </w:p>
              </w:tc>
              <w:tc>
                <w:tcPr/>
                <w:p>
                  <w:pPr>
                    <w:pStyle w:val="Compact"/>
                    <w:jc w:val="right"/>
                    <w:jc w:val="center"/>
                  </w:pPr>
                  <w:r>
                    <w:t xml:space="preserve">0.223</w:t>
                  </w:r>
                </w:p>
              </w:tc>
              <w:tc>
                <w:tcPr/>
                <w:p>
                  <w:pPr>
                    <w:pStyle w:val="Compact"/>
                    <w:jc w:val="right"/>
                    <w:jc w:val="center"/>
                  </w:pPr>
                  <w:r>
                    <w:t xml:space="preserve">1.000</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0.077</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left"/>
                    <w:jc w:val="center"/>
                  </w:pPr>
                  <w:r>
                    <w:t xml:space="preserve">Object-count</w:t>
                  </w:r>
                </w:p>
              </w:tc>
              <w:tc>
                <w:tcPr/>
                <w:p>
                  <w:pPr>
                    <w:pStyle w:val="Compact"/>
                    <w:jc w:val="right"/>
                    <w:jc w:val="center"/>
                  </w:pPr>
                  <w:r>
                    <w:t xml:space="preserve">0.223</w:t>
                  </w:r>
                </w:p>
              </w:tc>
              <w:tc>
                <w:tcPr/>
                <w:p>
                  <w:pPr>
                    <w:pStyle w:val="Compact"/>
                    <w:jc w:val="right"/>
                    <w:jc w:val="center"/>
                  </w:pPr>
                  <w:r>
                    <w:t xml:space="preserve">0.334</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0.077</w:t>
                  </w:r>
                </w:p>
              </w:tc>
              <w:tc>
                <w:tcPr/>
                <w:p>
                  <w:pPr>
                    <w:pStyle w:val="Compact"/>
                    <w:jc w:val="right"/>
                    <w:jc w:val="center"/>
                  </w:pPr>
                  <w:r>
                    <w:t xml:space="preserve">1.000</w:t>
                  </w:r>
                </w:p>
              </w:tc>
            </w:tr>
          </w:tbl>
          <w:p>
            <w:pPr>
              <w:jc w:val="center"/>
            </w:pPr>
            <w:pPr>
              <w:jc w:val="start"/>
              <w:spacing w:before="200"/>
              <w:pStyle w:val="ImageCaption"/>
            </w:pPr>
            <w:r>
              <w:t xml:space="preserve">Table S 33: Manual-group separation under richness-preserving nulls. R2_jac and R2_sim are the observed PerMANOVA R-squared of the manual groups on Jaccard and Simpson turnover dissimilarities; ARI is the Adjusted Rand Index between the Louvain partition (realigned to manual labels) and the manual groups. Each is compared to fixed-fixed Curveball and object-count null distributions (999 replicates); p is the quantile of the observed value in its null (upper-tail). Negative R2_sim values indicate zero separation, with within-group variation exceeding between-group variation.</w:t>
            </w:r>
          </w:p>
          <w:bookmarkEnd w:id="166"/>
        </w:tc>
      </w:tr>
    </w:tbl>
    <w:bookmarkEnd w:id="167"/>
    <w:bookmarkStart w:id="168" w:name="interpretation-8"/>
    <w:p>
      <w:pPr>
        <w:pStyle w:val="Heading3"/>
      </w:pPr>
      <w:r>
        <w:t xml:space="preserve">Interpretation</w:t>
      </w:r>
    </w:p>
    <w:p>
      <w:pPr>
        <w:pStyle w:val="FirstParagraph"/>
      </w:pPr>
      <w:r>
        <w:rPr>
          <w:bCs/>
          <w:b/>
        </w:rPr>
        <w:t xml:space="preserve">Question: is the pattern stronger than richness structure alone, and does any separation survive on turnover alone?</w:t>
      </w:r>
      <w:r>
        <w:t xml:space="preserve"> </w:t>
      </w:r>
      <w:r>
        <w:t xml:space="preserve">On Jaccard distances the manual groups separate (Aur-P1 R² = 0.196, Aur-P2 R² = 0.223). Under the fixed-fixed Curveball null this separation is not distinguished from richness structure alone (quantile p = 1 and 1): randomised matrices with identical site richness and sign-type frequencies separate at least as well. Under the object-count null the Aur-P1 separation exceeds sampling expectation (p = 0.001) while Aur-P2 does not (p = 0.334). Louvain-to-manual agreement is perfect in the observed data (ARI = 1 both phases) but is likewise reproduced by the fixed-fixed null (p = 1 and 1), exceeding only the object-count null. On Simpson turnover dissimilarity there is no separation to explain (Aur-P1 R² = -0.027, Aur-P2 R² = -0.676; adonis p = 0.958 and 1). The small quantile p for Aur-P1 Simpson under the object-count null is a low-tail extreme — the observed R² lies below, not above, its null — meaning even less turnover separation than random object draws produce, not evidence for group structure.</w:t>
      </w:r>
    </w:p>
    <w:p>
      <w:pPr>
        <w:pStyle w:val="BodyText"/>
      </w:pPr>
      <w:r>
        <w:rPr>
          <w:bCs/>
          <w:b/>
        </w:rPr>
        <w:t xml:space="preserve">Answer:</w:t>
      </w:r>
      <w:r>
        <w:t xml:space="preserve"> </w:t>
      </w:r>
      <w:r>
        <w:t xml:space="preserve">the restricted/broad pattern is carried by the nestedness component — rich versus poor repertoires — rather than by compositional turnover between the groups. This is consistent with</w:t>
      </w:r>
      <w:r>
        <w:t xml:space="preserve"> </w:t>
      </w:r>
      <w:r>
        <w:t xml:space="preserve">Section S1.12.3</w:t>
      </w:r>
      <w:r>
        <w:t xml:space="preserve"> </w:t>
      </w:r>
      <w:r>
        <w:t xml:space="preserve">and the free-slope</w:t>
      </w:r>
      <w:r>
        <w:t xml:space="preserve"> </w:t>
      </w:r>
      <w:r>
        <w:t xml:space="preserve">Section S1.12.4</w:t>
      </w:r>
      <w:r>
        <w:t xml:space="preserve">: the groups differ in how much they contain at comparable effort, not in turnover-independent composition. The division should accordingly be read as a richness axis whose separation from sampling effort is not demonstrated for small-object sites.</w:t>
      </w:r>
    </w:p>
    <w:bookmarkEnd w:id="168"/>
    <w:bookmarkEnd w:id="169"/>
    <w:bookmarkEnd w:id="170"/>
    <w:bookmarkStart w:id="187" w:name="sec-s11"/>
    <w:p>
      <w:pPr>
        <w:pStyle w:val="Heading1"/>
      </w:pPr>
      <w:r>
        <w:t xml:space="preserve">S1.11 Community Description</w:t>
      </w:r>
    </w:p>
    <w:p>
      <w:pPr>
        <w:pStyle w:val="FirstParagraph"/>
      </w:pPr>
      <w:r>
        <w:t xml:space="preserve">The PerMANOVA results in</w:t>
      </w:r>
      <w:r>
        <w:t xml:space="preserve"> </w:t>
      </w:r>
      <w:r>
        <w:t xml:space="preserve">Section S1.6.5</w:t>
      </w:r>
      <w:r>
        <w:t xml:space="preserve"> </w:t>
      </w:r>
      <w:r>
        <w:t xml:space="preserve">and bootstrap consensus in</w:t>
      </w:r>
      <w:r>
        <w:t xml:space="preserve"> </w:t>
      </w:r>
      <w:r>
        <w:t xml:space="preserve">Section S1.9.2</w:t>
      </w:r>
      <w:r>
        <w:t xml:space="preserve"> </w:t>
      </w:r>
      <w:r>
        <w:t xml:space="preserve">show that the algorithmically detected communities are statistically significant and internally coherent. This section provides a detailed characterization of those communities: their site membership, geographic distribution, and sign-type composition.</w:t>
      </w:r>
    </w:p>
    <w:bookmarkStart w:id="176" w:name="sec-s11-1"/>
    <w:p>
      <w:pPr>
        <w:pStyle w:val="Heading2"/>
      </w:pPr>
      <w:r>
        <w:t xml:space="preserve">S1.11.1 Community Membership</w:t>
      </w:r>
    </w:p>
    <w:p>
      <w:pPr>
        <w:pStyle w:val="FirstParagraph"/>
      </w:pPr>
      <w:r>
        <w:t xml:space="preserve">We extract the community assignments for each of the four algorithms at the main-analysis threshold (Jaccard ≥ 0.2) and report the full site-by-site membership, with the manual restricted (1) / broad (2) group as reference. A reviewer can then read across any row to see where Louvain, Infomap, Leiden, and Walktrap place the same site.</w:t>
      </w:r>
    </w:p>
    <w:tbl>
      <w:tblPr>
        <w:tblStyle w:val="Table"/>
        <w:tblW w:type="pct" w:w="5000"/>
        <w:tblLook w:firstRow="0" w:lastRow="0" w:firstColumn="0" w:lastColumn="0" w:noHBand="0" w:noVBand="0" w:val="0000"/>
        <w:jc w:val="start"/>
        <w:tblLayout w:type="fixed"/>
      </w:tblPr>
      <w:tblGrid>
        <w:gridCol w:w="7920"/>
      </w:tblGrid>
      <w:tr>
        <w:tc>
          <w:tcPr/>
          <w:bookmarkStart w:id="171" w:name="tbl-community-membership"/>
          <w:tbl>
            <w:tblPr>
              <w:tblStyle w:val="Table"/>
              <w:tblW w:type="pct" w:w="5000"/>
              <w:tblLook w:firstRow="1" w:lastRow="0" w:firstColumn="0" w:lastColumn="0" w:noHBand="0" w:noVBand="0" w:val="0020"/>
              <w:jc w:val="start"/>
              <w:tblLayout w:type="fixed"/>
            </w:tblPr>
            <w:tblGrid>
              <w:gridCol w:w="710"/>
              <w:gridCol w:w="2741"/>
              <w:gridCol w:w="812"/>
              <w:gridCol w:w="913"/>
              <w:gridCol w:w="913"/>
              <w:gridCol w:w="812"/>
              <w:gridCol w:w="1015"/>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Manual</w:t>
                  </w:r>
                </w:p>
              </w:tc>
              <w:tc>
                <w:tcPr/>
                <w:p>
                  <w:pPr>
                    <w:pStyle w:val="Compact"/>
                    <w:jc w:val="center"/>
                    <w:jc w:val="center"/>
                  </w:pPr>
                  <w:r>
                    <w:t xml:space="preserve">Louvain</w:t>
                  </w:r>
                </w:p>
              </w:tc>
              <w:tc>
                <w:tcPr/>
                <w:p>
                  <w:pPr>
                    <w:pStyle w:val="Compact"/>
                    <w:jc w:val="center"/>
                    <w:jc w:val="center"/>
                  </w:pPr>
                  <w:r>
                    <w:t xml:space="preserve">Infomap</w:t>
                  </w:r>
                </w:p>
              </w:tc>
              <w:tc>
                <w:tcPr/>
                <w:p>
                  <w:pPr>
                    <w:pStyle w:val="Compact"/>
                    <w:jc w:val="center"/>
                    <w:jc w:val="center"/>
                  </w:pPr>
                  <w:r>
                    <w:t xml:space="preserve">Leiden</w:t>
                  </w:r>
                </w:p>
              </w:tc>
              <w:tc>
                <w:tcPr/>
                <w:p>
                  <w:pPr>
                    <w:pStyle w:val="Compact"/>
                    <w:jc w:val="center"/>
                    <w:jc w:val="center"/>
                  </w:pPr>
                  <w:r>
                    <w:t xml:space="preserve">Walktrap</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3</w:t>
                  </w:r>
                </w:p>
              </w:tc>
              <w:tc>
                <w:tcPr/>
                <w:p>
                  <w:pPr>
                    <w:pStyle w:val="Compact"/>
                    <w:jc w:val="center"/>
                    <w:jc w:val="center"/>
                  </w:pPr>
                  <w:r>
                    <w:t xml:space="preserve">3</w:t>
                  </w:r>
                </w:p>
              </w:tc>
              <w:tc>
                <w:tcPr/>
                <w:p>
                  <w:pPr>
                    <w:pStyle w:val="Compact"/>
                    <w:jc w:val="center"/>
                    <w:jc w:val="center"/>
                  </w:pPr>
                  <w:r>
                    <w:t xml:space="preserve">2</w:t>
                  </w:r>
                </w:p>
              </w:tc>
              <w:tc>
                <w:tcPr/>
                <w:p>
                  <w:pPr>
                    <w:pStyle w:val="Compact"/>
                    <w:jc w:val="center"/>
                    <w:jc w:val="center"/>
                  </w:pPr>
                  <w:r>
                    <w:t xml:space="preserve">3</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4</w:t>
                  </w:r>
                </w:p>
              </w:tc>
              <w:tc>
                <w:tcPr/>
                <w:p>
                  <w:pPr>
                    <w:pStyle w:val="Compact"/>
                    <w:jc w:val="center"/>
                    <w:jc w:val="center"/>
                  </w:pPr>
                  <w:r>
                    <w:t xml:space="preserve">4</w:t>
                  </w:r>
                </w:p>
              </w:tc>
              <w:tc>
                <w:tcPr/>
                <w:p>
                  <w:pPr>
                    <w:pStyle w:val="Compact"/>
                    <w:jc w:val="center"/>
                    <w:jc w:val="center"/>
                  </w:pPr>
                  <w:r>
                    <w:t xml:space="preserve">3</w:t>
                  </w:r>
                </w:p>
              </w:tc>
              <w:tc>
                <w:tcPr/>
                <w:p>
                  <w:pPr>
                    <w:pStyle w:val="Compact"/>
                    <w:jc w:val="center"/>
                    <w:jc w:val="center"/>
                  </w:pPr>
                  <w:r>
                    <w:t xml:space="preserve">4</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bl>
          <w:p>
            <w:pPr>
              <w:jc w:val="center"/>
            </w:pPr>
            <w:pPr>
              <w:jc w:val="start"/>
              <w:spacing w:before="200"/>
              <w:pStyle w:val="ImageCaption"/>
            </w:pPr>
            <w:r>
              <w:t xml:space="preserve">Table S 34: Community assignments for each site by algorithm and Aurignacian phase at Jaccard threshold 0.2, with the manual restricted (1) / broad (2) group as reference. Sites are ordered by phase, manual group, then site. Singletons (isolated sites with no edges) are assigned their own community. Community IDs are arbitrary within each algorithm column: compare which sites share a value within a column, not the numeric values across columns.</w:t>
            </w:r>
          </w:p>
          <w:bookmarkEnd w:id="171"/>
        </w:tc>
      </w:tr>
    </w:tbl>
    <w:tbl>
      <w:tblPr>
        <w:tblStyle w:val="Table"/>
        <w:tblW w:type="pct" w:w="5000"/>
        <w:tblLook w:firstRow="0" w:lastRow="0" w:firstColumn="0" w:lastColumn="0" w:noHBand="0" w:noVBand="0" w:val="0000"/>
        <w:jc w:val="start"/>
        <w:tblLayout w:type="fixed"/>
      </w:tblPr>
      <w:tblGrid>
        <w:gridCol w:w="7920"/>
      </w:tblGrid>
      <w:tr>
        <w:tc>
          <w:tcPr/>
          <w:bookmarkStart w:id="175" w:name="fig-comembership-heatmap"/>
          <w:p>
            <w:pPr>
              <w:pStyle w:val="Compact"/>
              <w:jc w:val="center"/>
            </w:pPr>
            <w:r>
              <w:drawing>
                <wp:inline>
                  <wp:extent cx="5943600" cy="5943600"/>
                  <wp:effectExtent b="0" l="0" r="0" t="0"/>
                  <wp:docPr descr="" title="" id="173" name="Picture"/>
                  <a:graphic>
                    <a:graphicData uri="http://schemas.openxmlformats.org/drawingml/2006/picture">
                      <pic:pic>
                        <pic:nvPicPr>
                          <pic:cNvPr descr="../figures/comembership-heatmap.png" id="174" name="Picture"/>
                          <pic:cNvPicPr>
                            <a:picLocks noChangeArrowheads="1" noChangeAspect="1"/>
                          </pic:cNvPicPr>
                        </pic:nvPicPr>
                        <pic:blipFill>
                          <a:blip r:embed="rId172"/>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8: Sites-by-algorithm co-membership at Jaccard threshold 0.2. Rows are sites ordered by phase and manual group (1 = restricted, 2 = broad); columns are the manual reference and the four community-detection algorithms. Colour encodes the community ID within each column. Read within a column to see which sites each algorithm groups together. Community IDs are arbitrary within each column, so colours match across columns only by coincidence.</w:t>
            </w:r>
          </w:p>
          <w:bookmarkEnd w:id="175"/>
        </w:tc>
      </w:tr>
    </w:tbl>
    <w:p>
      <w:pPr>
        <w:pStyle w:val="BodyText"/>
      </w:pPr>
      <w:r>
        <w:t xml:space="preserve">Stable sites keep the same within-column neighbours across all five columns; shifting sites change neighbours from column to column. In Aur-P1 the two large Louvain, Infomap, and Walktrap blocks track the manual restricted and broad groups, with Les Cottés and Trou al’Wesse splitting off as singletons while Leiden collapses the restricted and broad sites into one block. In Aur-P2 Infomap and Leiden collapse all nine sites into a single block, while Louvain and Walktrap split the restricted sites into two smaller blocks (Gargas, Les Rois, Mladeč, and Vindija Cave versus La Viña and Sirgenstein Cave) around the intact broad-range block of Trou Magrite, Bockstein-Törle, and Hohle Fels. The bootstrap consensus co-clustering matrices in</w:t>
      </w:r>
      <w:r>
        <w:t xml:space="preserve"> </w:t>
      </w:r>
      <w:hyperlink w:anchor="fig-bootstrap-consensus">
        <w:r>
          <w:rPr>
            <w:rStyle w:val="Hyperlink"/>
          </w:rPr>
          <w:t xml:space="preserve">Figure S 6</w:t>
        </w:r>
      </w:hyperlink>
      <w:r>
        <w:t xml:space="preserve"> </w:t>
      </w:r>
      <w:r>
        <w:t xml:space="preserve">quantify which of these co-memberships survive resampling.</w:t>
      </w:r>
    </w:p>
    <w:bookmarkEnd w:id="176"/>
    <w:bookmarkStart w:id="178" w:name="sec-s11-2"/>
    <w:p>
      <w:pPr>
        <w:pStyle w:val="Heading2"/>
      </w:pPr>
      <w:r>
        <w:t xml:space="preserve">S1.11.2 Sign-Type Profiles</w:t>
      </w:r>
    </w:p>
    <w:p>
      <w:pPr>
        <w:pStyle w:val="FirstParagraph"/>
      </w:pPr>
      <w:r>
        <w:t xml:space="preserve">For each community, we summarize the sign-type composition to understand what distinguishes one community from another.</w:t>
      </w:r>
    </w:p>
    <w:tbl>
      <w:tblPr>
        <w:tblStyle w:val="Table"/>
        <w:tblW w:type="pct" w:w="5000"/>
        <w:tblLook w:firstRow="0" w:lastRow="0" w:firstColumn="0" w:lastColumn="0" w:noHBand="0" w:noVBand="0" w:val="0000"/>
        <w:jc w:val="start"/>
        <w:tblLayout w:type="fixed"/>
      </w:tblPr>
      <w:tblGrid>
        <w:gridCol w:w="7920"/>
      </w:tblGrid>
      <w:tr>
        <w:tc>
          <w:tcPr/>
          <w:bookmarkStart w:id="177" w:name="tbl-community-composition"/>
          <w:tbl>
            <w:tblPr>
              <w:tblStyle w:val="Table"/>
              <w:tblW w:type="pct" w:w="5000"/>
              <w:tblLook w:firstRow="1" w:lastRow="0" w:firstColumn="0" w:lastColumn="0" w:noHBand="0" w:noVBand="0" w:val="0020"/>
              <w:jc w:val="start"/>
              <w:tblLayout w:type="fixed"/>
            </w:tblPr>
            <w:tblGrid>
              <w:gridCol w:w="436"/>
              <w:gridCol w:w="685"/>
              <w:gridCol w:w="561"/>
              <w:gridCol w:w="873"/>
              <w:gridCol w:w="436"/>
              <w:gridCol w:w="623"/>
              <w:gridCol w:w="374"/>
              <w:gridCol w:w="623"/>
              <w:gridCol w:w="374"/>
              <w:gridCol w:w="436"/>
              <w:gridCol w:w="498"/>
              <w:gridCol w:w="561"/>
              <w:gridCol w:w="561"/>
              <w:gridCol w:w="374"/>
              <w:gridCol w:w="498"/>
            </w:tblGrid>
            <w:tr>
              <w:trPr>
                <w:tblHeader w:val="true"/>
              </w:trPr>
              <w:tc>
                <w:tcPr/>
                <w:p>
                  <w:pPr>
                    <w:pStyle w:val="Compact"/>
                    <w:jc w:val="left"/>
                    <w:jc w:val="center"/>
                  </w:pPr>
                  <w:r>
                    <w:t xml:space="preserve">Phase</w:t>
                  </w:r>
                </w:p>
              </w:tc>
              <w:tc>
                <w:tcPr/>
                <w:p>
                  <w:pPr>
                    <w:pStyle w:val="Compact"/>
                    <w:jc w:val="center"/>
                    <w:jc w:val="center"/>
                  </w:pPr>
                  <w:r>
                    <w:t xml:space="preserve">Community</w:t>
                  </w:r>
                </w:p>
              </w:tc>
              <w:tc>
                <w:tcPr/>
                <w:p>
                  <w:pPr>
                    <w:pStyle w:val="Compact"/>
                    <w:jc w:val="center"/>
                    <w:jc w:val="center"/>
                  </w:pPr>
                  <w:r>
                    <w:t xml:space="preserve">n_sites</w:t>
                  </w:r>
                </w:p>
              </w:tc>
              <w:tc>
                <w:tcPr/>
                <w:p>
                  <w:pPr>
                    <w:pStyle w:val="Compact"/>
                    <w:jc w:val="center"/>
                    <w:jc w:val="center"/>
                  </w:pPr>
                  <w:r>
                    <w:t xml:space="preserve">circumspiral</w:t>
                  </w:r>
                </w:p>
              </w:tc>
              <w:tc>
                <w:tcPr/>
                <w:p>
                  <w:pPr>
                    <w:pStyle w:val="Compact"/>
                    <w:jc w:val="center"/>
                    <w:jc w:val="center"/>
                  </w:pPr>
                  <w:r>
                    <w:t xml:space="preserve">cross</w:t>
                  </w:r>
                </w:p>
              </w:tc>
              <w:tc>
                <w:tcPr/>
                <w:p>
                  <w:pPr>
                    <w:pStyle w:val="Compact"/>
                    <w:jc w:val="center"/>
                    <w:jc w:val="center"/>
                  </w:pPr>
                  <w:r>
                    <w:t xml:space="preserve">dashline</w:t>
                  </w:r>
                </w:p>
              </w:tc>
              <w:tc>
                <w:tcPr/>
                <w:p>
                  <w:pPr>
                    <w:pStyle w:val="Compact"/>
                    <w:jc w:val="center"/>
                    <w:jc w:val="center"/>
                  </w:pPr>
                  <w:r>
                    <w:t xml:space="preserve">dot</w:t>
                  </w:r>
                </w:p>
              </w:tc>
              <w:tc>
                <w:tcPr/>
                <w:p>
                  <w:pPr>
                    <w:pStyle w:val="Compact"/>
                    <w:jc w:val="center"/>
                    <w:jc w:val="center"/>
                  </w:pPr>
                  <w:r>
                    <w:t xml:space="preserve">hatching</w:t>
                  </w:r>
                </w:p>
              </w:tc>
              <w:tc>
                <w:tcPr/>
                <w:p>
                  <w:pPr>
                    <w:pStyle w:val="Compact"/>
                    <w:jc w:val="center"/>
                    <w:jc w:val="center"/>
                  </w:pPr>
                  <w:r>
                    <w:t xml:space="preserve">line</w:t>
                  </w:r>
                </w:p>
              </w:tc>
              <w:tc>
                <w:tcPr/>
                <w:p>
                  <w:pPr>
                    <w:pStyle w:val="Compact"/>
                    <w:jc w:val="center"/>
                    <w:jc w:val="center"/>
                  </w:pPr>
                  <w:r>
                    <w:t xml:space="preserve">notch</w:t>
                  </w:r>
                </w:p>
              </w:tc>
              <w:tc>
                <w:tcPr/>
                <w:p>
                  <w:pPr>
                    <w:pStyle w:val="Compact"/>
                    <w:jc w:val="center"/>
                    <w:jc w:val="center"/>
                  </w:pPr>
                  <w:r>
                    <w:t xml:space="preserve">obline</w:t>
                  </w:r>
                </w:p>
              </w:tc>
              <w:tc>
                <w:tcPr/>
                <w:p>
                  <w:pPr>
                    <w:pStyle w:val="Compact"/>
                    <w:jc w:val="center"/>
                    <w:jc w:val="center"/>
                  </w:pPr>
                  <w:r>
                    <w:t xml:space="preserve">obnotch</w:t>
                  </w:r>
                </w:p>
              </w:tc>
              <w:tc>
                <w:tcPr/>
                <w:p>
                  <w:pPr>
                    <w:pStyle w:val="Compact"/>
                    <w:jc w:val="center"/>
                    <w:jc w:val="center"/>
                  </w:pPr>
                  <w:r>
                    <w:t xml:space="preserve">radline</w:t>
                  </w:r>
                </w:p>
              </w:tc>
              <w:tc>
                <w:tcPr/>
                <w:p>
                  <w:pPr>
                    <w:pStyle w:val="Compact"/>
                    <w:jc w:val="center"/>
                    <w:jc w:val="center"/>
                  </w:pPr>
                  <w:r>
                    <w:t xml:space="preserve">v</w:t>
                  </w:r>
                </w:p>
              </w:tc>
              <w:tc>
                <w:tcPr/>
                <w:p>
                  <w:pPr>
                    <w:pStyle w:val="Compact"/>
                    <w:jc w:val="center"/>
                    <w:jc w:val="center"/>
                  </w:pPr>
                  <w:r>
                    <w:t xml:space="preserve">zigzag</w:t>
                  </w:r>
                </w:p>
              </w:tc>
            </w:tr>
            <w:tr>
              <w:tc>
                <w:tcPr/>
                <w:p>
                  <w:pPr>
                    <w:pStyle w:val="Compact"/>
                    <w:jc w:val="left"/>
                    <w:jc w:val="center"/>
                  </w:pPr>
                  <w:r>
                    <w:t xml:space="preserve">Aur-P1</w:t>
                  </w:r>
                </w:p>
              </w:tc>
              <w:tc>
                <w:tcPr/>
                <w:p>
                  <w:pPr>
                    <w:pStyle w:val="Compact"/>
                    <w:jc w:val="center"/>
                    <w:jc w:val="center"/>
                  </w:pPr>
                  <w:r>
                    <w:t xml:space="preserve">1</w:t>
                  </w:r>
                </w:p>
              </w:tc>
              <w:tc>
                <w:tcPr/>
                <w:p>
                  <w:pPr>
                    <w:pStyle w:val="Compact"/>
                    <w:jc w:val="center"/>
                    <w:jc w:val="center"/>
                  </w:pPr>
                  <w:r>
                    <w:t xml:space="preserve">9</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0.11</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0.44</w:t>
                  </w:r>
                </w:p>
              </w:tc>
              <w:tc>
                <w:tcPr/>
                <w:p>
                  <w:pPr>
                    <w:pStyle w:val="Compact"/>
                    <w:jc w:val="center"/>
                    <w:jc w:val="center"/>
                  </w:pPr>
                  <w:r>
                    <w:t xml:space="preserve">0.89</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Aur-P1</w:t>
                  </w:r>
                </w:p>
              </w:tc>
              <w:tc>
                <w:tcPr/>
                <w:p>
                  <w:pPr>
                    <w:pStyle w:val="Compact"/>
                    <w:jc w:val="center"/>
                    <w:jc w:val="center"/>
                  </w:pPr>
                  <w:r>
                    <w:t xml:space="preserve">2</w:t>
                  </w:r>
                </w:p>
              </w:tc>
              <w:tc>
                <w:tcPr/>
                <w:p>
                  <w:pPr>
                    <w:pStyle w:val="Compact"/>
                    <w:jc w:val="center"/>
                    <w:jc w:val="center"/>
                  </w:pPr>
                  <w:r>
                    <w:t xml:space="preserve">9</w:t>
                  </w:r>
                </w:p>
              </w:tc>
              <w:tc>
                <w:tcPr/>
                <w:p>
                  <w:pPr>
                    <w:pStyle w:val="Compact"/>
                    <w:jc w:val="center"/>
                    <w:jc w:val="center"/>
                  </w:pPr>
                  <w:r>
                    <w:t xml:space="preserve">0.00</w:t>
                  </w:r>
                </w:p>
              </w:tc>
              <w:tc>
                <w:tcPr/>
                <w:p>
                  <w:pPr>
                    <w:pStyle w:val="Compact"/>
                    <w:jc w:val="center"/>
                    <w:jc w:val="center"/>
                  </w:pPr>
                  <w:r>
                    <w:t xml:space="preserve">0.67</w:t>
                  </w:r>
                </w:p>
              </w:tc>
              <w:tc>
                <w:tcPr/>
                <w:p>
                  <w:pPr>
                    <w:pStyle w:val="Compact"/>
                    <w:jc w:val="center"/>
                    <w:jc w:val="center"/>
                  </w:pPr>
                  <w:r>
                    <w:t xml:space="preserve">0.11</w:t>
                  </w:r>
                </w:p>
              </w:tc>
              <w:tc>
                <w:tcPr/>
                <w:p>
                  <w:pPr>
                    <w:pStyle w:val="Compact"/>
                    <w:jc w:val="center"/>
                    <w:jc w:val="center"/>
                  </w:pPr>
                  <w:r>
                    <w:t xml:space="preserve">0.67</w:t>
                  </w:r>
                </w:p>
              </w:tc>
              <w:tc>
                <w:tcPr/>
                <w:p>
                  <w:pPr>
                    <w:pStyle w:val="Compact"/>
                    <w:jc w:val="center"/>
                    <w:jc w:val="center"/>
                  </w:pPr>
                  <w:r>
                    <w:t xml:space="preserve">0.44</w:t>
                  </w:r>
                </w:p>
              </w:tc>
              <w:tc>
                <w:tcPr/>
                <w:p>
                  <w:pPr>
                    <w:pStyle w:val="Compact"/>
                    <w:jc w:val="center"/>
                    <w:jc w:val="center"/>
                  </w:pPr>
                  <w:r>
                    <w:t xml:space="preserve">1.00</w:t>
                  </w:r>
                </w:p>
              </w:tc>
              <w:tc>
                <w:tcPr/>
                <w:p>
                  <w:pPr>
                    <w:pStyle w:val="Compact"/>
                    <w:jc w:val="center"/>
                    <w:jc w:val="center"/>
                  </w:pPr>
                  <w:r>
                    <w:t xml:space="preserve">0.89</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0.11</w:t>
                  </w:r>
                </w:p>
              </w:tc>
            </w:tr>
            <w:tr>
              <w:tc>
                <w:tcPr/>
                <w:p>
                  <w:pPr>
                    <w:pStyle w:val="Compact"/>
                    <w:jc w:val="left"/>
                    <w:jc w:val="center"/>
                  </w:pPr>
                  <w:r>
                    <w:t xml:space="preserve">Aur-P1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Aur-P1</w:t>
                  </w:r>
                </w:p>
              </w:tc>
              <w:tc>
                <w:tcPr/>
                <w:p>
                  <w:pPr>
                    <w:pStyle w:val="Compact"/>
                    <w:jc w:val="center"/>
                    <w:jc w:val="center"/>
                  </w:pPr>
                  <w:r>
                    <w:t xml:space="preserve">4</w:t>
                  </w:r>
                </w:p>
              </w:tc>
              <w:tc>
                <w:tcPr/>
                <w:p>
                  <w:pPr>
                    <w:pStyle w:val="Compact"/>
                    <w:jc w:val="center"/>
                    <w:jc w:val="center"/>
                  </w:pPr>
                  <w:r>
                    <w:t xml:space="preserve">1</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Aur-P2</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0.33</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0.67</w:t>
                  </w:r>
                </w:p>
              </w:tc>
              <w:tc>
                <w:tcPr/>
                <w:p>
                  <w:pPr>
                    <w:pStyle w:val="Compact"/>
                    <w:jc w:val="center"/>
                    <w:jc w:val="center"/>
                  </w:pPr>
                  <w:r>
                    <w:t xml:space="preserve">1.00</w:t>
                  </w:r>
                </w:p>
              </w:tc>
              <w:tc>
                <w:tcPr/>
                <w:p>
                  <w:pPr>
                    <w:pStyle w:val="Compact"/>
                    <w:jc w:val="center"/>
                    <w:jc w:val="center"/>
                  </w:pPr>
                  <w:r>
                    <w:t xml:space="preserve">1.00</w:t>
                  </w:r>
                </w:p>
              </w:tc>
              <w:tc>
                <w:tcPr/>
                <w:p>
                  <w:pPr>
                    <w:pStyle w:val="Compact"/>
                    <w:jc w:val="center"/>
                    <w:jc w:val="center"/>
                  </w:pPr>
                  <w:r>
                    <w:t xml:space="preserve">0.67</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0.33</w:t>
                  </w:r>
                </w:p>
              </w:tc>
            </w:tr>
            <w:tr>
              <w:tc>
                <w:tcPr/>
                <w:p>
                  <w:pPr>
                    <w:pStyle w:val="Compact"/>
                    <w:jc w:val="left"/>
                    <w:jc w:val="center"/>
                  </w:pPr>
                  <w:r>
                    <w:t xml:space="preserve">Aur-P2</w:t>
                  </w:r>
                </w:p>
              </w:tc>
              <w:tc>
                <w:tcPr/>
                <w:p>
                  <w:pPr>
                    <w:pStyle w:val="Compact"/>
                    <w:jc w:val="center"/>
                    <w:jc w:val="center"/>
                  </w:pPr>
                  <w:r>
                    <w:t xml:space="preserve">2</w:t>
                  </w:r>
                </w:p>
              </w:tc>
              <w:tc>
                <w:tcPr/>
                <w:p>
                  <w:pPr>
                    <w:pStyle w:val="Compact"/>
                    <w:jc w:val="center"/>
                    <w:jc w:val="center"/>
                  </w:pPr>
                  <w:r>
                    <w:t xml:space="preserve">4</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w:t>
                  </w:r>
                </w:p>
              </w:tc>
              <w:tc>
                <w:tcPr/>
                <w:p>
                  <w:pPr>
                    <w:pStyle w:val="Compact"/>
                    <w:jc w:val="center"/>
                    <w:jc w:val="center"/>
                  </w:pPr>
                  <w:r>
                    <w:t xml:space="preserve">0.50</w:t>
                  </w:r>
                </w:p>
              </w:tc>
              <w:tc>
                <w:tcPr/>
                <w:p>
                  <w:pPr>
                    <w:pStyle w:val="Compact"/>
                    <w:jc w:val="center"/>
                    <w:jc w:val="center"/>
                  </w:pPr>
                  <w:r>
                    <w:t xml:space="preserve">0.25</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Aur-P2</w:t>
                  </w:r>
                </w:p>
              </w:tc>
              <w:tc>
                <w:tcPr/>
                <w:p>
                  <w:pPr>
                    <w:pStyle w:val="Compact"/>
                    <w:jc w:val="center"/>
                    <w:jc w:val="center"/>
                  </w:pPr>
                  <w:r>
                    <w:t xml:space="preserve">3</w:t>
                  </w:r>
                </w:p>
              </w:tc>
              <w:tc>
                <w:tcPr/>
                <w:p>
                  <w:pPr>
                    <w:pStyle w:val="Compact"/>
                    <w:jc w:val="center"/>
                    <w:jc w:val="center"/>
                  </w:pPr>
                  <w:r>
                    <w:t xml:space="preserve">2</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bl>
          <w:p>
            <w:pPr>
              <w:jc w:val="center"/>
            </w:pPr>
            <w:pPr>
              <w:jc w:val="start"/>
              <w:spacing w:before="200"/>
              <w:pStyle w:val="ImageCaption"/>
            </w:pPr>
            <w:r>
              <w:t xml:space="preserve">Table S 35: Sign-type composition of Louvain communities at threshold 0.2. Values show the proportion of sites within each community that have at least one object bearing the sign type. Only sign types present in ≥10% of sites in at least one community are shown.</w:t>
            </w:r>
          </w:p>
          <w:bookmarkEnd w:id="177"/>
        </w:tc>
      </w:tr>
    </w:tbl>
    <w:bookmarkEnd w:id="178"/>
    <w:bookmarkStart w:id="183" w:name="sec-s11-3"/>
    <w:p>
      <w:pPr>
        <w:pStyle w:val="Heading2"/>
      </w:pPr>
      <w:r>
        <w:t xml:space="preserve">S1.11.3 Geographic Distribution</w:t>
      </w:r>
    </w:p>
    <w:p>
      <w:pPr>
        <w:pStyle w:val="FirstParagraph"/>
      </w:pPr>
      <w:r>
        <w:t xml:space="preserve">We map the communities to visualize their geographic structure. Community IDs are colored consistently within each phase.</w:t>
      </w:r>
    </w:p>
    <w:tbl>
      <w:tblPr>
        <w:tblStyle w:val="Table"/>
        <w:tblW w:type="pct" w:w="5000"/>
        <w:tblLook w:firstRow="0" w:lastRow="0" w:firstColumn="0" w:lastColumn="0" w:noHBand="0" w:noVBand="0" w:val="0000"/>
        <w:jc w:val="start"/>
        <w:tblLayout w:type="fixed"/>
      </w:tblPr>
      <w:tblGrid>
        <w:gridCol w:w="7920"/>
      </w:tblGrid>
      <w:tr>
        <w:tc>
          <w:tcPr/>
          <w:bookmarkStart w:id="182" w:name="fig-community-maps"/>
          <w:p>
            <w:pPr>
              <w:pStyle w:val="Compact"/>
              <w:jc w:val="center"/>
            </w:pPr>
            <w:r>
              <w:drawing>
                <wp:inline>
                  <wp:extent cx="5943600" cy="4622800"/>
                  <wp:effectExtent b="0" l="0" r="0" t="0"/>
                  <wp:docPr descr="" title="" id="180" name="Picture"/>
                  <a:graphic>
                    <a:graphicData uri="http://schemas.openxmlformats.org/drawingml/2006/picture">
                      <pic:pic>
                        <pic:nvPicPr>
                          <pic:cNvPr descr="../figures/community-maps.png" id="181" name="Picture"/>
                          <pic:cNvPicPr>
                            <a:picLocks noChangeArrowheads="1" noChangeAspect="1"/>
                          </pic:cNvPicPr>
                        </pic:nvPicPr>
                        <pic:blipFill>
                          <a:blip r:embed="rId179"/>
                          <a:stretch>
                            <a:fillRect/>
                          </a:stretch>
                        </pic:blipFill>
                        <pic:spPr bwMode="auto">
                          <a:xfrm>
                            <a:off x="0" y="0"/>
                            <a:ext cx="5943600" cy="4622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9: Geographic distribution of Louvain communities at Jaccard threshold 0.2. (a) Aur-P1: 4 communities. (b) Aur-P2: 3 communities. Community colours are arbitrary but consistent within each phase. Point size indicates assemblage size (number of objects). Map data from naturalearthdata.com.</w:t>
            </w:r>
          </w:p>
          <w:bookmarkEnd w:id="182"/>
        </w:tc>
      </w:tr>
    </w:tbl>
    <w:bookmarkEnd w:id="183"/>
    <w:bookmarkStart w:id="185" w:name="sec-s11-4"/>
    <w:p>
      <w:pPr>
        <w:pStyle w:val="Heading2"/>
      </w:pPr>
      <w:r>
        <w:t xml:space="preserve">S1.11.4 Cross-Algorithm Comparison</w:t>
      </w:r>
    </w:p>
    <w:p>
      <w:pPr>
        <w:pStyle w:val="FirstParagraph"/>
      </w:pPr>
      <w:r>
        <w:t xml:space="preserve">We examine how consistently sites are assigned to communities across the four algorithms, focusing on the main-analysis threshold of 0.2.</w:t>
      </w:r>
    </w:p>
    <w:tbl>
      <w:tblPr>
        <w:tblStyle w:val="Table"/>
        <w:tblW w:type="pct" w:w="5000"/>
        <w:tblLook w:firstRow="0" w:lastRow="0" w:firstColumn="0" w:lastColumn="0" w:noHBand="0" w:noVBand="0" w:val="0000"/>
        <w:jc w:val="start"/>
        <w:tblLayout w:type="fixed"/>
      </w:tblPr>
      <w:tblGrid>
        <w:gridCol w:w="7920"/>
      </w:tblGrid>
      <w:tr>
        <w:tc>
          <w:tcPr/>
          <w:bookmarkStart w:id="184" w:name="tbl-cross-algorithm-agreement"/>
          <w:tbl>
            <w:tblPr>
              <w:tblStyle w:val="Table"/>
              <w:tblW w:type="pct" w:w="5000"/>
              <w:tblLook w:firstRow="1" w:lastRow="0" w:firstColumn="0" w:lastColumn="0" w:noHBand="0" w:noVBand="0" w:val="0020"/>
              <w:jc w:val="start"/>
              <w:tblLayout w:type="fixed"/>
            </w:tblPr>
            <w:tblGrid>
              <w:gridCol w:w="676"/>
              <w:gridCol w:w="2607"/>
              <w:gridCol w:w="1448"/>
              <w:gridCol w:w="869"/>
              <w:gridCol w:w="772"/>
              <w:gridCol w:w="965"/>
              <w:gridCol w:w="579"/>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Louvain Comm.</w:t>
                  </w:r>
                </w:p>
              </w:tc>
              <w:tc>
                <w:tcPr/>
                <w:p>
                  <w:pPr>
                    <w:pStyle w:val="Compact"/>
                    <w:jc w:val="center"/>
                    <w:jc w:val="center"/>
                  </w:pPr>
                  <w:r>
                    <w:t xml:space="preserve">Infomap</w:t>
                  </w:r>
                </w:p>
              </w:tc>
              <w:tc>
                <w:tcPr/>
                <w:p>
                  <w:pPr>
                    <w:pStyle w:val="Compact"/>
                    <w:jc w:val="center"/>
                    <w:jc w:val="center"/>
                  </w:pPr>
                  <w:r>
                    <w:t xml:space="preserve">Leiden</w:t>
                  </w:r>
                </w:p>
              </w:tc>
              <w:tc>
                <w:tcPr/>
                <w:p>
                  <w:pPr>
                    <w:pStyle w:val="Compact"/>
                    <w:jc w:val="center"/>
                    <w:jc w:val="center"/>
                  </w:pPr>
                  <w:r>
                    <w:t xml:space="preserve">Walktrap</w:t>
                  </w:r>
                </w:p>
              </w:tc>
              <w:tc>
                <w:tcPr/>
                <w:p>
                  <w:pPr>
                    <w:pStyle w:val="Compact"/>
                    <w:jc w:val="center"/>
                    <w:jc w:val="center"/>
                  </w:pPr>
                  <w:r>
                    <w:t xml:space="preserve">Any</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4</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3</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3</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bl>
          <w:p>
            <w:pPr>
              <w:jc w:val="center"/>
            </w:pPr>
            <w:pPr>
              <w:jc w:val="start"/>
              <w:spacing w:before="200"/>
              <w:pStyle w:val="ImageCaption"/>
            </w:pPr>
            <w:r>
              <w:t xml:space="preserve">Table S 36: Cross-algorithm agreement in community assignment at threshold 0.2. For each phase, sites are grouped by their Louvain community (reference), and the proportion of other algorithms that assign the site to the same community ID (after optimal matching of community labels) is reported. Values close to 1.0 indicate strong cross-algorithm agreement.</w:t>
            </w:r>
          </w:p>
          <w:bookmarkEnd w:id="184"/>
        </w:tc>
      </w:tr>
    </w:tbl>
    <w:bookmarkEnd w:id="185"/>
    <w:bookmarkStart w:id="186" w:name="sec-s11-5"/>
    <w:p>
      <w:pPr>
        <w:pStyle w:val="Heading2"/>
      </w:pPr>
      <w:r>
        <w:t xml:space="preserve">S1.11.5 Interpretation</w:t>
      </w:r>
    </w:p>
    <w:p>
      <w:pPr>
        <w:pStyle w:val="FirstParagraph"/>
      </w:pPr>
      <w:r>
        <w:rPr>
          <w:bCs/>
          <w:b/>
        </w:rPr>
        <w:t xml:space="preserve">Community structure in Aur-P1.</w:t>
      </w:r>
      <w:r>
        <w:t xml:space="preserve"> </w:t>
      </w:r>
      <w:r>
        <w:t xml:space="preserve">The Louvain algorithm identifies 4 communities in Aur-P1 (</w:t>
      </w:r>
      <w:hyperlink w:anchor="tbl-community-membership">
        <w:r>
          <w:rPr>
            <w:rStyle w:val="Hyperlink"/>
          </w:rPr>
          <w:t xml:space="preserve">Table S 34</w:t>
        </w:r>
      </w:hyperlink>
      <w:r>
        <w:t xml:space="preserve">). The largest communities (Community 1 with 9 sites and Community 2 with 9 sites) coincide almost exactly with the manual restricted and broad groups, with Les Cottés and Trou al’Wesse splitting off as singleton communities, suggesting the partition captures the core restricted and broad sign repertoires. The geographic map (</w:t>
      </w:r>
      <w:hyperlink w:anchor="fig-community-maps">
        <w:r>
          <w:rPr>
            <w:rStyle w:val="Hyperlink"/>
          </w:rPr>
          <w:t xml:space="preserve">Figure S 9</w:t>
        </w:r>
      </w:hyperlink>
      <w:r>
        <w:t xml:space="preserve">, Aur-P1 facet) shows that Community 2 spans the broadest geographic range, while the smaller communities are more spatially clustered.</w:t>
      </w:r>
    </w:p>
    <w:p>
      <w:pPr>
        <w:pStyle w:val="BodyText"/>
      </w:pPr>
      <w:r>
        <w:rPr>
          <w:bCs/>
          <w:b/>
        </w:rPr>
        <w:t xml:space="preserve">Community structure in Aur-P2.</w:t>
      </w:r>
      <w:r>
        <w:t xml:space="preserve"> </w:t>
      </w:r>
      <w:r>
        <w:t xml:space="preserve">Aur-P2 resolves into 3 Louvain communities (</w:t>
      </w:r>
      <w:hyperlink w:anchor="tbl-community-membership">
        <w:r>
          <w:rPr>
            <w:rStyle w:val="Hyperlink"/>
          </w:rPr>
          <w:t xml:space="preserve">Table S 34</w:t>
        </w:r>
      </w:hyperlink>
      <w:r>
        <w:t xml:space="preserve">). With only 9 sites total, the communities are small (1–3 sites each), and the PerMANOVA significance (</w:t>
      </w:r>
      <w:r>
        <w:t xml:space="preserve">Section S1.6.5</w:t>
      </w:r>
      <w:r>
        <w:t xml:space="preserve">) likely reflects strong pairwise similarities among a few sites rather than robust multi-site clusters. The geographic map (</w:t>
      </w:r>
      <w:hyperlink w:anchor="fig-community-maps">
        <w:r>
          <w:rPr>
            <w:rStyle w:val="Hyperlink"/>
          </w:rPr>
          <w:t xml:space="preserve">Figure S 9</w:t>
        </w:r>
      </w:hyperlink>
      <w:r>
        <w:t xml:space="preserve">, Aur-P2 facet) shows limited spatial coherence, consistent with the non-significant null-benchmarked modularity (</w:t>
      </w:r>
      <w:r>
        <w:t xml:space="preserve">Section S1.7.1</w:t>
      </w:r>
      <w:r>
        <w:t xml:space="preserve">).</w:t>
      </w:r>
    </w:p>
    <w:p>
      <w:pPr>
        <w:pStyle w:val="BodyText"/>
      </w:pPr>
      <w:r>
        <w:rPr>
          <w:bCs/>
          <w:b/>
        </w:rPr>
        <w:t xml:space="preserve">Cross-algorithm consistency.</w:t>
      </w:r>
      <w:r>
        <w:t xml:space="preserve"> </w:t>
      </w:r>
      <w:hyperlink w:anchor="tbl-cross-algorithm-agreement">
        <w:r>
          <w:rPr>
            <w:rStyle w:val="Hyperlink"/>
          </w:rPr>
          <w:t xml:space="preserve">Table S 36</w:t>
        </w:r>
      </w:hyperlink>
      <w:r>
        <w:t xml:space="preserve"> </w:t>
      </w:r>
      <w:r>
        <w:t xml:space="preserve">shows that Louvain and Walktrap produce nearly identical partitions (agreement &gt; 0.9 for most sites), while Infomap and Leiden yield coarser partitions with fewer communities. Sites that are assigned consistently across all four algorithms represent the strongest signal; those that vary indicate boundary uncertainty.</w:t>
      </w:r>
    </w:p>
    <w:p>
      <w:pPr>
        <w:pStyle w:val="BodyText"/>
      </w:pPr>
      <w:r>
        <w:rPr>
          <w:bCs/>
          <w:b/>
        </w:rPr>
        <w:t xml:space="preserve">Sign-type differentiation.</w:t>
      </w:r>
      <w:r>
        <w:t xml:space="preserve"> </w:t>
      </w:r>
      <w:hyperlink w:anchor="tbl-community-composition">
        <w:r>
          <w:rPr>
            <w:rStyle w:val="Hyperlink"/>
          </w:rPr>
          <w:t xml:space="preserve">Table S 35</w:t>
        </w:r>
      </w:hyperlink>
      <w:r>
        <w:t xml:space="preserve"> </w:t>
      </w:r>
      <w:r>
        <w:t xml:space="preserve">reveals that communities differ primarily in the frequency of</w:t>
      </w:r>
      <w:r>
        <w:t xml:space="preserve"> </w:t>
      </w:r>
      <w:r>
        <w:rPr>
          <w:rStyle w:val="VerbatimChar"/>
        </w:rPr>
        <w:t xml:space="preserve">obline</w:t>
      </w:r>
      <w:r>
        <w:t xml:space="preserve">,</w:t>
      </w:r>
      <w:r>
        <w:t xml:space="preserve"> </w:t>
      </w:r>
      <w:r>
        <w:rPr>
          <w:rStyle w:val="VerbatimChar"/>
        </w:rPr>
        <w:t xml:space="preserve">dashline</w:t>
      </w:r>
      <w:r>
        <w:t xml:space="preserve">, and</w:t>
      </w:r>
      <w:r>
        <w:t xml:space="preserve"> </w:t>
      </w:r>
      <w:r>
        <w:rPr>
          <w:rStyle w:val="VerbatimChar"/>
        </w:rPr>
        <w:t xml:space="preserve">zigzag</w:t>
      </w:r>
      <w:r>
        <w:t xml:space="preserve"> </w:t>
      </w:r>
      <w:r>
        <w:t xml:space="preserve">signs, which are the most widespread sign types. No single sign type is exclusive to a community, supporting the interpretation that communities reflect graded differences in sign repertoire composition rather than discrete</w:t>
      </w:r>
      <w:r>
        <w:t xml:space="preserve"> </w:t>
      </w:r>
      <w:r>
        <w:t xml:space="preserve">“</w:t>
      </w:r>
      <w:r>
        <w:t xml:space="preserve">cultural provinces.</w:t>
      </w:r>
      <w:r>
        <w:t xml:space="preserve">”</w:t>
      </w:r>
    </w:p>
    <w:p>
      <w:pPr>
        <w:pStyle w:val="BodyText"/>
      </w:pPr>
      <w:r>
        <w:rPr>
          <w:bCs/>
          <w:b/>
        </w:rPr>
        <w:t xml:space="preserve">Implications.</w:t>
      </w:r>
      <w:r>
        <w:t xml:space="preserve"> </w:t>
      </w:r>
      <w:r>
        <w:t xml:space="preserve">The community detection results confirm that the main-text restricted/broad dichotomy is a simplification of a richer, multi-community structure. The two-group partition captures the dominant axis of variation (core vs. peripheral sign repertoires) but masks finer-scale geographic and technological patterning that emerges at the community level.</w:t>
      </w:r>
    </w:p>
    <w:bookmarkEnd w:id="186"/>
    <w:bookmarkEnd w:id="187"/>
    <w:bookmarkStart w:id="244" w:name="sec-s12"/>
    <w:p>
      <w:pPr>
        <w:pStyle w:val="Heading1"/>
      </w:pPr>
      <w:r>
        <w:t xml:space="preserve">S1.12 Object Types and Sampling Intensity</w:t>
      </w:r>
    </w:p>
    <w:p>
      <w:pPr>
        <w:pStyle w:val="FirstParagraph"/>
      </w:pPr>
      <w:r>
        <w:t xml:space="preserve">Figurine exclusion tests object-type bias. Downsampling, coverage, regression, and pool comparison test whether the restricted/broad division and the Aur-P1 versus Aur-P2 pool difference survive equal effort. Simpson turnover and richness nulls are reported in</w:t>
      </w:r>
      <w:r>
        <w:t xml:space="preserve"> </w:t>
      </w:r>
      <w:r>
        <w:t xml:space="preserve">Section S1.10.1</w:t>
      </w:r>
      <w:r>
        <w:t xml:space="preserve">.</w:t>
      </w:r>
    </w:p>
    <w:p>
      <w:pPr>
        <w:pStyle w:val="BodyText"/>
      </w:pPr>
      <w:r>
        <w:t xml:space="preserve">The main-text and supplementary analyses establish the restricted/broad (R/B) division from site-level presence/absence of sign types. This removes the</w:t>
      </w:r>
      <w:r>
        <w:t xml:space="preserve"> </w:t>
      </w:r>
      <w:r>
        <w:rPr>
          <w:iCs/>
          <w:i/>
        </w:rPr>
        <w:t xml:space="preserve">first-order</w:t>
      </w:r>
      <w:r>
        <w:t xml:space="preserve"> </w:t>
      </w:r>
      <w:r>
        <w:t xml:space="preserve">effect of differing object counts between sites, but it does not remove a deeper confounding issue: because the number of sign types recorded at a site is bounded by the number of objects recovered, sites represented by many more objects have a greater opportunity to produce a larger repertoire, so the R/B division could partly reflect sampling intensity rather than a genuine cultural contrast. Presence/absence coding controls for the</w:t>
      </w:r>
      <w:r>
        <w:t xml:space="preserve"> </w:t>
      </w:r>
      <w:r>
        <w:rPr>
          <w:iCs/>
          <w:i/>
        </w:rPr>
        <w:t xml:space="preserve">magnitude</w:t>
      </w:r>
      <w:r>
        <w:t xml:space="preserve"> </w:t>
      </w:r>
      <w:r>
        <w:t xml:space="preserve">of the object-count difference, not for the fact that richer assemblages are, by construction, more likely to be classified as broad. This section provides an object-level resampling/rareffaction sensitivity analysis. It asks six specific questions:</w:t>
      </w:r>
    </w:p>
    <w:p>
      <w:pPr>
        <w:numPr>
          <w:ilvl w:val="0"/>
          <w:numId w:val="1012"/>
        </w:numPr>
        <w:pStyle w:val="Compact"/>
      </w:pPr>
      <w:r>
        <w:rPr>
          <w:bCs/>
          <w:b/>
        </w:rPr>
        <w:t xml:space="preserve">(</w:t>
      </w:r>
      <w:r>
        <w:rPr>
          <w:bCs/>
          <w:b/>
        </w:rPr>
        <w:t xml:space="preserve">Section S1.12.2</w:t>
      </w:r>
      <w:r>
        <w:rPr>
          <w:bCs/>
          <w:b/>
        </w:rPr>
        <w:t xml:space="preserve">)</w:t>
      </w:r>
      <w:r>
        <w:t xml:space="preserve"> </w:t>
      </w:r>
      <w:r>
        <w:t xml:space="preserve">When objects are resampled to a common count and the network and Louvain partition are re-derived, how often does each site keep its original R/B assignment, and how stable is the community structure?</w:t>
      </w:r>
    </w:p>
    <w:p>
      <w:pPr>
        <w:numPr>
          <w:ilvl w:val="0"/>
          <w:numId w:val="1012"/>
        </w:numPr>
        <w:pStyle w:val="Compact"/>
      </w:pPr>
      <w:r>
        <w:rPr>
          <w:bCs/>
          <w:b/>
        </w:rPr>
        <w:t xml:space="preserve">(</w:t>
      </w:r>
      <w:r>
        <w:rPr>
          <w:bCs/>
          <w:b/>
        </w:rPr>
        <w:t xml:space="preserve">Section S1.12.3</w:t>
      </w:r>
      <w:r>
        <w:rPr>
          <w:bCs/>
          <w:b/>
        </w:rPr>
        <w:t xml:space="preserve">)</w:t>
      </w:r>
      <w:r>
        <w:t xml:space="preserve"> </w:t>
      </w:r>
      <w:r>
        <w:t xml:space="preserve">At equal</w:t>
      </w:r>
      <w:r>
        <w:t xml:space="preserve"> </w:t>
      </w:r>
      <w:r>
        <w:rPr>
          <w:iCs/>
          <w:i/>
        </w:rPr>
        <w:t xml:space="preserve">sample coverage</w:t>
      </w:r>
      <w:r>
        <w:t xml:space="preserve"> </w:t>
      </w:r>
      <w:r>
        <w:t xml:space="preserve">(rather than equal object count), do restricted and broad sites still differ in sign-type richness?</w:t>
      </w:r>
    </w:p>
    <w:p>
      <w:pPr>
        <w:numPr>
          <w:ilvl w:val="0"/>
          <w:numId w:val="1012"/>
        </w:numPr>
        <w:pStyle w:val="Compact"/>
      </w:pPr>
      <w:r>
        <w:rPr>
          <w:bCs/>
          <w:b/>
        </w:rPr>
        <w:t xml:space="preserve">(</w:t>
      </w:r>
      <w:r>
        <w:rPr>
          <w:bCs/>
          <w:b/>
        </w:rPr>
        <w:t xml:space="preserve">Section S1.12.4</w:t>
      </w:r>
      <w:r>
        <w:rPr>
          <w:bCs/>
          <w:b/>
        </w:rPr>
        <w:t xml:space="preserve">)</w:t>
      </w:r>
      <w:r>
        <w:t xml:space="preserve"> </w:t>
      </w:r>
      <w:r>
        <w:t xml:space="preserve">Does the group effect on sign-type richness survive after statistically accounting for object count (sampling effort), with the richness-effort exponent estimated rather than fixed?</w:t>
      </w:r>
    </w:p>
    <w:p>
      <w:pPr>
        <w:numPr>
          <w:ilvl w:val="0"/>
          <w:numId w:val="1012"/>
        </w:numPr>
        <w:pStyle w:val="Compact"/>
      </w:pPr>
      <w:r>
        <w:rPr>
          <w:bCs/>
          <w:b/>
        </w:rPr>
        <w:t xml:space="preserve">(</w:t>
      </w:r>
      <w:r>
        <w:rPr>
          <w:bCs/>
          <w:b/>
        </w:rPr>
        <w:t xml:space="preserve">Section S1.12.5</w:t>
      </w:r>
      <w:r>
        <w:rPr>
          <w:bCs/>
          <w:b/>
        </w:rPr>
        <w:t xml:space="preserve">)</w:t>
      </w:r>
      <w:r>
        <w:t xml:space="preserve"> </w:t>
      </w:r>
      <w:r>
        <w:t xml:space="preserve">At equal effort with</w:t>
      </w:r>
      <w:r>
        <w:t xml:space="preserve"> </w:t>
      </w:r>
      <w:r>
        <w:rPr>
          <w:rStyle w:val="VerbatimChar"/>
        </w:rPr>
        <w:t xml:space="preserve">iNEXT</w:t>
      </w:r>
      <w:r>
        <w:t xml:space="preserve"> </w:t>
      </w:r>
      <w:r>
        <w:t xml:space="preserve">(incidence_freq), does the Aur-P1 vs Aur-P2 sign-type pool (26 vs 15) remain larger, or is it not distinguishable from sampling variation at 63 objects, including when restricted to object types present in both phases?</w:t>
      </w:r>
    </w:p>
    <w:p>
      <w:pPr>
        <w:numPr>
          <w:ilvl w:val="0"/>
          <w:numId w:val="1012"/>
        </w:numPr>
        <w:pStyle w:val="Compact"/>
      </w:pPr>
      <w:r>
        <w:rPr>
          <w:bCs/>
          <w:b/>
        </w:rPr>
        <w:t xml:space="preserve">(</w:t>
      </w:r>
      <w:r>
        <w:rPr>
          <w:bCs/>
          <w:b/>
        </w:rPr>
        <w:t xml:space="preserve">Section S1.12.7</w:t>
      </w:r>
      <w:r>
        <w:rPr>
          <w:bCs/>
          <w:b/>
        </w:rPr>
        <w:t xml:space="preserve">)</w:t>
      </w:r>
      <w:r>
        <w:t xml:space="preserve"> </w:t>
      </w:r>
      <w:r>
        <w:t xml:space="preserve">Taken together, is the R/B division independent of sampling intensity, and if not, what limitation must be stated?</w:t>
      </w:r>
    </w:p>
    <w:p>
      <w:pPr>
        <w:numPr>
          <w:ilvl w:val="0"/>
          <w:numId w:val="1012"/>
        </w:numPr>
        <w:pStyle w:val="Compact"/>
      </w:pPr>
      <w:r>
        <w:rPr>
          <w:bCs/>
          <w:b/>
        </w:rPr>
        <w:t xml:space="preserve">(</w:t>
      </w:r>
      <w:r>
        <w:rPr>
          <w:bCs/>
          <w:b/>
        </w:rPr>
        <w:t xml:space="preserve">Section S1.10.1</w:t>
      </w:r>
      <w:r>
        <w:rPr>
          <w:bCs/>
          <w:b/>
        </w:rPr>
        <w:t xml:space="preserve">)</w:t>
      </w:r>
      <w:r>
        <w:t xml:space="preserve"> </w:t>
      </w:r>
      <w:r>
        <w:t xml:space="preserve">Does the restricted/broad pattern survive richness-preserving nulls, and does the manual-group PerMANOVA hold on Simpson turnover dissimilarity, which removes the nestedness component of Jaccard?</w:t>
      </w:r>
    </w:p>
    <w:bookmarkStart w:id="195" w:name="sec-s12-1"/>
    <w:p>
      <w:pPr>
        <w:pStyle w:val="Heading2"/>
      </w:pPr>
      <w:r>
        <w:t xml:space="preserve">S1.12.1 Object-count distribution and feasible common counts</w:t>
      </w:r>
    </w:p>
    <w:bookmarkStart w:id="193" w:name="rationale-17"/>
    <w:p>
      <w:pPr>
        <w:pStyle w:val="Heading3"/>
      </w:pPr>
      <w:r>
        <w:t xml:space="preserve">Rationale</w:t>
      </w:r>
    </w:p>
    <w:p>
      <w:pPr>
        <w:pStyle w:val="FirstParagraph"/>
      </w:pPr>
      <w:r>
        <w:t xml:space="preserve">Before resampling, we must know how many objects each site contributes. Object counts are highly skewed: a handful of sites (e.g. Vogelherd with 173 objects in Aur-P1) dominate, while many sites contribute only one or two objects (Trou al’Wesse and Fumane contribute a single object; Les Cottés and Labeko Koba contribute two). We therefore tally objects per site and choose common downsampling levels that retain as many sites as possible:</w:t>
      </w:r>
      <w:r>
        <w:t xml:space="preserve"> </w:t>
      </w:r>
      <w:r>
        <w:rPr>
          <w:bCs/>
          <w:b/>
        </w:rPr>
        <w:t xml:space="preserve">k = 3, 5, and 10 objects per site</w:t>
      </w:r>
      <w:r>
        <w:t xml:space="preserve">. A site is included in a downsampling replicate only if it contributes at least k objects.</w:t>
      </w:r>
    </w:p>
    <w:tbl>
      <w:tblPr>
        <w:tblStyle w:val="Table"/>
        <w:tblW w:type="pct" w:w="5000"/>
        <w:tblLook w:firstRow="0" w:lastRow="0" w:firstColumn="0" w:lastColumn="0" w:noHBand="0" w:noVBand="0" w:val="0000"/>
        <w:jc w:val="start"/>
        <w:tblLayout w:type="fixed"/>
      </w:tblPr>
      <w:tblGrid>
        <w:gridCol w:w="7920"/>
      </w:tblGrid>
      <w:tr>
        <w:tc>
          <w:tcPr/>
          <w:bookmarkStart w:id="188" w:name="tbl-objcoun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r>
          </w:tbl>
          <w:p>
            <w:pPr>
              <w:jc w:val="center"/>
            </w:pPr>
            <w:pPr>
              <w:jc w:val="start"/>
              <w:spacing w:before="200"/>
              <w:pStyle w:val="ImageCaption"/>
            </w:pPr>
            <w:r>
              <w:t xml:space="preserve">Table S 37: Per-site object counts by phase and manual restricted(1)/broad(2) group.</w:t>
            </w:r>
          </w:p>
          <w:bookmarkEnd w:id="188"/>
        </w:tc>
      </w:tr>
    </w:tbl>
    <w:tbl>
      <w:tblPr>
        <w:tblStyle w:val="Table"/>
        <w:tblW w:type="pct" w:w="5000"/>
        <w:tblLook w:firstRow="0" w:lastRow="0" w:firstColumn="0" w:lastColumn="0" w:noHBand="0" w:noVBand="0" w:val="0000"/>
        <w:jc w:val="start"/>
        <w:tblLayout w:type="fixed"/>
      </w:tblPr>
      <w:tblGrid>
        <w:gridCol w:w="7920"/>
      </w:tblGrid>
      <w:tr>
        <w:tc>
          <w:tcPr/>
          <w:bookmarkStart w:id="192" w:name="fig-objhist"/>
          <w:p>
            <w:pPr>
              <w:pStyle w:val="Compact"/>
              <w:jc w:val="center"/>
            </w:pPr>
            <w:r>
              <w:drawing>
                <wp:inline>
                  <wp:extent cx="5943600" cy="2971800"/>
                  <wp:effectExtent b="0" l="0" r="0" t="0"/>
                  <wp:docPr descr="" title="" id="190" name="Picture"/>
                  <a:graphic>
                    <a:graphicData uri="http://schemas.openxmlformats.org/drawingml/2006/picture">
                      <pic:pic>
                        <pic:nvPicPr>
                          <pic:cNvPr descr="S1-supplement-sensitivity_files/figure-docx/fig-objhist-1.png" id="191" name="Picture"/>
                          <pic:cNvPicPr>
                            <a:picLocks noChangeArrowheads="1" noChangeAspect="1"/>
                          </pic:cNvPicPr>
                        </pic:nvPicPr>
                        <pic:blipFill>
                          <a:blip r:embed="rId189"/>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10: Distribution of object counts per site by phase. Most sites contribute few objects; a small number of large assemblages (e.g. Vogelherd) dominate the upper tail.</w:t>
            </w:r>
          </w:p>
          <w:bookmarkEnd w:id="192"/>
        </w:tc>
      </w:tr>
    </w:tbl>
    <w:bookmarkEnd w:id="193"/>
    <w:bookmarkStart w:id="194" w:name="interpretation-9"/>
    <w:p>
      <w:pPr>
        <w:pStyle w:val="Heading3"/>
      </w:pPr>
      <w:r>
        <w:t xml:space="preserve">Interpretation</w:t>
      </w:r>
    </w:p>
    <w:p>
      <w:pPr>
        <w:pStyle w:val="FirstParagraph"/>
      </w:pPr>
      <w:r>
        <w:rPr>
          <w:bCs/>
          <w:b/>
        </w:rPr>
        <w:t xml:space="preserve">Question: how many sites can be retained at each common object count?</w:t>
      </w:r>
      <w:r>
        <w:t xml:space="preserve"> </w:t>
      </w:r>
      <w:r>
        <w:t xml:space="preserve">At</w:t>
      </w:r>
      <w:r>
        <w:t xml:space="preserve"> </w:t>
      </w:r>
      <w:r>
        <w:rPr>
          <w:bCs/>
          <w:b/>
        </w:rPr>
        <w:t xml:space="preserve">k = 3</w:t>
      </w:r>
      <w:r>
        <w:t xml:space="preserve">, 13 of 20 Aur-P1 sites and 5 of 9 Aur-P2 sites qualify. At</w:t>
      </w:r>
      <w:r>
        <w:t xml:space="preserve"> </w:t>
      </w:r>
      <w:r>
        <w:rPr>
          <w:bCs/>
          <w:b/>
        </w:rPr>
        <w:t xml:space="preserve">k = 5</w:t>
      </w:r>
      <w:r>
        <w:t xml:space="preserve"> </w:t>
      </w:r>
      <w:r>
        <w:t xml:space="preserve">the numbers fall to 8 and 3, and at</w:t>
      </w:r>
      <w:r>
        <w:t xml:space="preserve"> </w:t>
      </w:r>
      <w:r>
        <w:rPr>
          <w:bCs/>
          <w:b/>
        </w:rPr>
        <w:t xml:space="preserve">k = 10</w:t>
      </w:r>
      <w:r>
        <w:t xml:space="preserve"> </w:t>
      </w:r>
      <w:r>
        <w:t xml:space="preserve">only 7 and 3 sites remain. The smallest sites (Trou al’Wesse, Fumane, Pod Hradem, Grottes de Fonds-de-Forêt with one object; Les Cottés, Labeko Koba, Hohlenstein-Stadel with two) can never be downsampled and are excluded from every replicate. We therefore report results at k = 3, 5, and 10, treating k = 10 as the most stringent test (fewest sites, but each built from a substantial object sample) and k = 3 as the most inclusive.</w:t>
      </w:r>
    </w:p>
    <w:bookmarkEnd w:id="194"/>
    <w:bookmarkEnd w:id="195"/>
    <w:bookmarkStart w:id="204" w:name="sec-s12-2"/>
    <w:p>
      <w:pPr>
        <w:pStyle w:val="Heading2"/>
      </w:pPr>
      <w:r>
        <w:t xml:space="preserve">S1.12.2 Object-level downsampling sensitivity</w:t>
      </w:r>
    </w:p>
    <w:bookmarkStart w:id="202" w:name="rationale-18"/>
    <w:p>
      <w:pPr>
        <w:pStyle w:val="Heading3"/>
      </w:pPr>
      <w:r>
        <w:t xml:space="preserve">Rationale</w:t>
      </w:r>
    </w:p>
    <w:p>
      <w:pPr>
        <w:pStyle w:val="FirstParagraph"/>
      </w:pPr>
      <w:r>
        <w:t xml:space="preserve">For each phase and each common count k ∈ {3, 5, 10}, and for 500 replicates, we sample k objects</w:t>
      </w:r>
      <w:r>
        <w:t xml:space="preserve"> </w:t>
      </w:r>
      <w:r>
        <w:rPr>
          <w:bCs/>
          <w:b/>
        </w:rPr>
        <w:t xml:space="preserve">without replacement</w:t>
      </w:r>
      <w:r>
        <w:t xml:space="preserve"> </w:t>
      </w:r>
      <w:r>
        <w:t xml:space="preserve">from each qualifying site, aggregate them to a site × sign presence vector (a sign is present at a site if any of its k sampled objects carries it), and rebuild the Jaccard network at the main-text threshold of 0.2. We then re-derive the site partition with Louvain community detection and realign it to the manual R/B labels by assigning each Louvain community to the majority manual group among its members. This mirrors the data-driven re-derivation used in</w:t>
      </w:r>
      <w:r>
        <w:t xml:space="preserve"> </w:t>
      </w:r>
      <w:r>
        <w:t xml:space="preserve">Section S1.6.1</w:t>
      </w:r>
      <w:r>
        <w:t xml:space="preserve">, but operates on object-downsampled data rather than on the observed site totals. Two quantities are recorded per replicate: (i) for each site, whether its realigned partition matches its manual group (</w:t>
      </w:r>
      <w:r>
        <w:rPr>
          <w:bCs/>
          <w:b/>
        </w:rPr>
        <w:t xml:space="preserve">group retention</w:t>
      </w:r>
      <w:r>
        <w:t xml:space="preserve">), and (ii) the Adjusted Rand Index (ARI) between the realigned partition and the manual groups, plus the network modularity. Across replicates we summarise the per-site retention rate and the mean ARI / modularity.</w:t>
      </w:r>
    </w:p>
    <w:p>
      <w:pPr>
        <w:pStyle w:val="BodyText"/>
      </w:pPr>
      <w:r>
        <w:rPr>
          <w:bCs/>
          <w:b/>
        </w:rPr>
        <w:t xml:space="preserve">Question this analysis answers:</w:t>
      </w:r>
      <w:r>
        <w:t xml:space="preserve"> </w:t>
      </w:r>
      <w:r>
        <w:t xml:space="preserve">when the R/B assignment is re-derived from object-downsampled data, how often does each site keep its group, and how stable is the community structure?</w:t>
      </w:r>
    </w:p>
    <w:tbl>
      <w:tblPr>
        <w:tblStyle w:val="Table"/>
        <w:tblW w:type="pct" w:w="5000"/>
        <w:tblLook w:firstRow="0" w:lastRow="0" w:firstColumn="0" w:lastColumn="0" w:noHBand="0" w:noVBand="0" w:val="0000"/>
        <w:jc w:val="start"/>
        <w:tblLayout w:type="fixed"/>
      </w:tblPr>
      <w:tblGrid>
        <w:gridCol w:w="7920"/>
      </w:tblGrid>
      <w:tr>
        <w:tc>
          <w:tcPr/>
          <w:bookmarkStart w:id="196" w:name="tbl-retention"/>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Site</w:t>
                  </w:r>
                </w:p>
              </w:tc>
              <w:tc>
                <w:tcPr/>
                <w:p>
                  <w:pPr>
                    <w:pStyle w:val="Compact"/>
                    <w:jc w:val="left"/>
                    <w:jc w:val="center"/>
                  </w:pPr>
                  <w:r>
                    <w:t xml:space="preserve">Phase</w:t>
                  </w:r>
                </w:p>
              </w:tc>
              <w:tc>
                <w:tcPr/>
                <w:p>
                  <w:pPr>
                    <w:pStyle w:val="Compact"/>
                    <w:jc w:val="right"/>
                    <w:jc w:val="center"/>
                  </w:pPr>
                  <w:r>
                    <w:t xml:space="preserve">Group</w:t>
                  </w:r>
                </w:p>
              </w:tc>
              <w:tc>
                <w:tcPr/>
                <w:p>
                  <w:pPr>
                    <w:pStyle w:val="Compact"/>
                    <w:jc w:val="right"/>
                    <w:jc w:val="center"/>
                  </w:pPr>
                  <w:r>
                    <w:t xml:space="preserve">Objects</w:t>
                  </w:r>
                </w:p>
              </w:tc>
              <w:tc>
                <w:tcPr/>
                <w:p>
                  <w:pPr>
                    <w:pStyle w:val="Compact"/>
                    <w:jc w:val="right"/>
                    <w:jc w:val="center"/>
                  </w:pPr>
                  <w:r>
                    <w:t xml:space="preserve">k=3</w:t>
                  </w:r>
                </w:p>
              </w:tc>
              <w:tc>
                <w:tcPr/>
                <w:p>
                  <w:pPr>
                    <w:pStyle w:val="Compact"/>
                    <w:jc w:val="right"/>
                    <w:jc w:val="center"/>
                  </w:pPr>
                  <w:r>
                    <w:t xml:space="preserve">k=5</w:t>
                  </w:r>
                </w:p>
              </w:tc>
              <w:tc>
                <w:tcPr/>
                <w:p>
                  <w:pPr>
                    <w:pStyle w:val="Compact"/>
                    <w:jc w:val="right"/>
                    <w:jc w:val="center"/>
                  </w:pPr>
                  <w:r>
                    <w:t xml:space="preserve">k=10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0.15</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0.16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173</w:t>
                  </w:r>
                </w:p>
              </w:tc>
              <w:tc>
                <w:tcPr/>
                <w:p>
                  <w:pPr>
                    <w:pStyle w:val="Compact"/>
                    <w:jc w:val="right"/>
                    <w:jc w:val="center"/>
                  </w:pPr>
                  <w:r>
                    <w:t xml:space="preserve">0.73</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30</w:t>
                  </w:r>
                </w:p>
              </w:tc>
              <w:tc>
                <w:tcPr/>
                <w:p>
                  <w:pPr>
                    <w:pStyle w:val="Compact"/>
                    <w:jc w:val="right"/>
                    <w:jc w:val="center"/>
                  </w:pPr>
                  <w:r>
                    <w:t xml:space="preserve">0.71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28</w:t>
                  </w:r>
                </w:p>
              </w:tc>
              <w:tc>
                <w:tcPr/>
                <w:p>
                  <w:pPr>
                    <w:pStyle w:val="Compact"/>
                    <w:jc w:val="right"/>
                    <w:jc w:val="center"/>
                  </w:pPr>
                  <w:r>
                    <w:t xml:space="preserve">0.81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22</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21</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Hohle Fels</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20</w:t>
                  </w:r>
                </w:p>
              </w:tc>
              <w:tc>
                <w:tcPr/>
                <w:p>
                  <w:pPr>
                    <w:pStyle w:val="Compact"/>
                    <w:jc w:val="right"/>
                    <w:jc w:val="center"/>
                  </w:pPr>
                  <w:r>
                    <w:t xml:space="preserve">0.97</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0.89</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7</w:t>
                  </w:r>
                </w:p>
              </w:tc>
              <w:tc>
                <w:tcPr/>
                <w:p>
                  <w:pPr>
                    <w:pStyle w:val="Compact"/>
                    <w:jc w:val="right"/>
                    <w:jc w:val="center"/>
                  </w:pPr>
                  <w:r>
                    <w:t xml:space="preserve">0.94</w:t>
                  </w:r>
                </w:p>
              </w:tc>
              <w:tc>
                <w:tcPr/>
                <w:p>
                  <w:pPr>
                    <w:pStyle w:val="Compact"/>
                    <w:jc w:val="right"/>
                    <w:jc w:val="center"/>
                  </w:pPr>
                  <w:r>
                    <w:t xml:space="preserve">1.00</w:t>
                  </w:r>
                </w:p>
              </w:tc>
              <w:tc>
                <w:tcPr/>
                <w:p>
                  <w:pPr>
                    <w:pStyle w:val="Compact"/>
                    <w:jc w:val="right"/>
                    <w:jc w:val="center"/>
                  </w:pPr>
                  <w:r>
                    <w:t xml:space="preserve">NA</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0.87</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11</w:t>
                  </w:r>
                </w:p>
              </w:tc>
              <w:tc>
                <w:tcPr/>
                <w:p>
                  <w:pPr>
                    <w:pStyle w:val="Compact"/>
                    <w:jc w:val="right"/>
                    <w:jc w:val="center"/>
                  </w:pPr>
                  <w:r>
                    <w:t xml:space="preserve">0.47</w:t>
                  </w:r>
                </w:p>
              </w:tc>
              <w:tc>
                <w:tcPr/>
                <w:p>
                  <w:pPr>
                    <w:pStyle w:val="Compact"/>
                    <w:jc w:val="right"/>
                    <w:jc w:val="center"/>
                  </w:pPr>
                  <w:r>
                    <w:t xml:space="preserve">0.15</w:t>
                  </w:r>
                </w:p>
              </w:tc>
              <w:tc>
                <w:tcPr/>
                <w:p>
                  <w:pPr>
                    <w:pStyle w:val="Compact"/>
                    <w:jc w:val="right"/>
                    <w:jc w:val="center"/>
                  </w:pPr>
                  <w:r>
                    <w:t xml:space="preserve">0.03</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0.46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Hohle Fels</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29</w:t>
                  </w:r>
                </w:p>
              </w:tc>
              <w:tc>
                <w:tcPr/>
                <w:p>
                  <w:pPr>
                    <w:pStyle w:val="Compact"/>
                    <w:jc w:val="right"/>
                    <w:jc w:val="center"/>
                  </w:pPr>
                  <w:r>
                    <w:t xml:space="preserve">0.92</w:t>
                  </w:r>
                </w:p>
              </w:tc>
              <w:tc>
                <w:tcPr/>
                <w:p>
                  <w:pPr>
                    <w:pStyle w:val="Compact"/>
                    <w:jc w:val="right"/>
                    <w:jc w:val="center"/>
                  </w:pPr>
                  <w:r>
                    <w:t xml:space="preserve">0.99</w:t>
                  </w:r>
                </w:p>
              </w:tc>
              <w:tc>
                <w:tcPr/>
                <w:p>
                  <w:pPr>
                    <w:pStyle w:val="Compact"/>
                    <w:jc w:val="right"/>
                    <w:jc w:val="center"/>
                  </w:pPr>
                  <w:r>
                    <w:t xml:space="preserve">1.00</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12</w:t>
                  </w:r>
                </w:p>
              </w:tc>
              <w:tc>
                <w:tcPr/>
                <w:p>
                  <w:pPr>
                    <w:pStyle w:val="Compact"/>
                    <w:jc w:val="right"/>
                    <w:jc w:val="center"/>
                  </w:pPr>
                  <w:r>
                    <w:t xml:space="preserve">0.70</w:t>
                  </w:r>
                </w:p>
              </w:tc>
              <w:tc>
                <w:tcPr/>
                <w:p>
                  <w:pPr>
                    <w:pStyle w:val="Compact"/>
                    <w:jc w:val="right"/>
                    <w:jc w:val="center"/>
                  </w:pPr>
                  <w:r>
                    <w:t xml:space="preserve">0.88</w:t>
                  </w:r>
                </w:p>
              </w:tc>
              <w:tc>
                <w:tcPr/>
                <w:p>
                  <w:pPr>
                    <w:pStyle w:val="Compact"/>
                    <w:jc w:val="right"/>
                    <w:jc w:val="center"/>
                  </w:pPr>
                  <w:r>
                    <w:t xml:space="preserve">0.97</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0.76</w:t>
                  </w:r>
                </w:p>
              </w:tc>
              <w:tc>
                <w:tcPr/>
                <w:p>
                  <w:pPr>
                    <w:pStyle w:val="Compact"/>
                    <w:jc w:val="right"/>
                    <w:jc w:val="center"/>
                  </w:pPr>
                  <w:r>
                    <w:t xml:space="preserve">NA</w:t>
                  </w:r>
                </w:p>
              </w:tc>
              <w:tc>
                <w:tcPr/>
                <w:p>
                  <w:pPr>
                    <w:pStyle w:val="Compact"/>
                    <w:jc w:val="right"/>
                    <w:jc w:val="center"/>
                  </w:pPr>
                  <w:r>
                    <w:t xml:space="preserve">NA</w:t>
                  </w:r>
                </w:p>
              </w:tc>
            </w:tr>
          </w:tbl>
          <w:p>
            <w:pPr>
              <w:jc w:val="center"/>
            </w:pPr>
            <w:pPr>
              <w:jc w:val="start"/>
              <w:spacing w:before="200"/>
              <w:pStyle w:val="ImageCaption"/>
            </w:pPr>
            <w:r>
              <w:t xml:space="preserve">Table S 38: Per-site group-retention rate under object-level downsampling to k = 3, 5, 10 objects per site (500 replicates each). Retention is the fraction of replicates in which the site’s realigned Louvain partition matches its manual restricted/broad assignment. Sites with fewer than k objects are excluded at that level.</w:t>
            </w:r>
          </w:p>
          <w:bookmarkEnd w:id="19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97" w:name="tbl-stabil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right"/>
                    <w:jc w:val="center"/>
                  </w:pPr>
                  <w:r>
                    <w:t xml:space="preserve">k</w:t>
                  </w:r>
                </w:p>
              </w:tc>
              <w:tc>
                <w:tcPr/>
                <w:p>
                  <w:pPr>
                    <w:pStyle w:val="Compact"/>
                    <w:jc w:val="right"/>
                    <w:jc w:val="center"/>
                  </w:pPr>
                  <w:r>
                    <w:t xml:space="preserve">Sites</w:t>
                  </w:r>
                </w:p>
              </w:tc>
              <w:tc>
                <w:tcPr/>
                <w:p>
                  <w:pPr>
                    <w:pStyle w:val="Compact"/>
                    <w:jc w:val="right"/>
                    <w:jc w:val="center"/>
                  </w:pPr>
                  <w:r>
                    <w:t xml:space="preserve">Mean ARI</w:t>
                  </w:r>
                </w:p>
              </w:tc>
              <w:tc>
                <w:tcPr/>
                <w:p>
                  <w:pPr>
                    <w:pStyle w:val="Compact"/>
                    <w:jc w:val="right"/>
                    <w:jc w:val="center"/>
                  </w:pPr>
                  <w:r>
                    <w:t xml:space="preserve">Mean modularity</w:t>
                  </w:r>
                </w:p>
              </w:tc>
              <w:tc>
                <w:tcPr/>
                <w:p>
                  <w:pPr>
                    <w:pStyle w:val="Compact"/>
                    <w:jc w:val="right"/>
                    <w:jc w:val="center"/>
                  </w:pPr>
                  <w:r>
                    <w:t xml:space="preserve">Mean # communities</w:t>
                  </w:r>
                </w:p>
              </w:tc>
            </w:tr>
            <w:tr>
              <w:tc>
                <w:tcPr/>
                <w:p>
                  <w:pPr>
                    <w:pStyle w:val="Compact"/>
                    <w:jc w:val="left"/>
                    <w:jc w:val="center"/>
                  </w:pPr>
                  <w:r>
                    <w:t xml:space="preserve">Aur-P1</w:t>
                  </w:r>
                </w:p>
              </w:tc>
              <w:tc>
                <w:tcPr/>
                <w:p>
                  <w:pPr>
                    <w:pStyle w:val="Compact"/>
                    <w:jc w:val="right"/>
                    <w:jc w:val="center"/>
                  </w:pPr>
                  <w:r>
                    <w:t xml:space="preserve">3</w:t>
                  </w:r>
                </w:p>
              </w:tc>
              <w:tc>
                <w:tcPr/>
                <w:p>
                  <w:pPr>
                    <w:pStyle w:val="Compact"/>
                    <w:jc w:val="right"/>
                    <w:jc w:val="center"/>
                  </w:pPr>
                  <w:r>
                    <w:t xml:space="preserve">13</w:t>
                  </w:r>
                </w:p>
              </w:tc>
              <w:tc>
                <w:tcPr/>
                <w:p>
                  <w:pPr>
                    <w:pStyle w:val="Compact"/>
                    <w:jc w:val="right"/>
                    <w:jc w:val="center"/>
                  </w:pPr>
                  <w:r>
                    <w:t xml:space="preserve">0.186</w:t>
                  </w:r>
                </w:p>
              </w:tc>
              <w:tc>
                <w:tcPr/>
                <w:p>
                  <w:pPr>
                    <w:pStyle w:val="Compact"/>
                    <w:jc w:val="right"/>
                    <w:jc w:val="center"/>
                  </w:pPr>
                  <w:r>
                    <w:t xml:space="preserve">0.145</w:t>
                  </w:r>
                </w:p>
              </w:tc>
              <w:tc>
                <w:tcPr/>
                <w:p>
                  <w:pPr>
                    <w:pStyle w:val="Compact"/>
                    <w:jc w:val="right"/>
                    <w:jc w:val="center"/>
                  </w:pPr>
                  <w:r>
                    <w:t xml:space="preserve">2.690</w:t>
                  </w:r>
                </w:p>
              </w:tc>
            </w:tr>
            <w:tr>
              <w:tc>
                <w:tcPr/>
                <w:p>
                  <w:pPr>
                    <w:pStyle w:val="Compact"/>
                    <w:jc w:val="left"/>
                    <w:jc w:val="center"/>
                  </w:pPr>
                  <w:r>
                    <w:t xml:space="preserve">Aur-P2</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0.118</w:t>
                  </w:r>
                </w:p>
              </w:tc>
              <w:tc>
                <w:tcPr/>
                <w:p>
                  <w:pPr>
                    <w:pStyle w:val="Compact"/>
                    <w:jc w:val="right"/>
                    <w:jc w:val="center"/>
                  </w:pPr>
                  <w:r>
                    <w:t xml:space="preserve">0.009</w:t>
                  </w:r>
                </w:p>
              </w:tc>
              <w:tc>
                <w:tcPr/>
                <w:p>
                  <w:pPr>
                    <w:pStyle w:val="Compact"/>
                    <w:jc w:val="right"/>
                    <w:jc w:val="center"/>
                  </w:pPr>
                  <w:r>
                    <w:t xml:space="preserve">1.486</w:t>
                  </w:r>
                </w:p>
              </w:tc>
            </w:tr>
            <w:tr>
              <w:tc>
                <w:tcPr/>
                <w:p>
                  <w:pPr>
                    <w:pStyle w:val="Compact"/>
                    <w:jc w:val="left"/>
                    <w:jc w:val="center"/>
                  </w:pPr>
                  <w:r>
                    <w:t xml:space="preserve">Aur-P1</w:t>
                  </w:r>
                </w:p>
              </w:tc>
              <w:tc>
                <w:tcPr/>
                <w:p>
                  <w:pPr>
                    <w:pStyle w:val="Compact"/>
                    <w:jc w:val="right"/>
                    <w:jc w:val="center"/>
                  </w:pPr>
                  <w:r>
                    <w:t xml:space="preserve">5</w:t>
                  </w:r>
                </w:p>
              </w:tc>
              <w:tc>
                <w:tcPr/>
                <w:p>
                  <w:pPr>
                    <w:pStyle w:val="Compact"/>
                    <w:jc w:val="right"/>
                    <w:jc w:val="center"/>
                  </w:pPr>
                  <w:r>
                    <w:t xml:space="preserve">8</w:t>
                  </w:r>
                </w:p>
              </w:tc>
              <w:tc>
                <w:tcPr/>
                <w:p>
                  <w:pPr>
                    <w:pStyle w:val="Compact"/>
                    <w:jc w:val="right"/>
                    <w:jc w:val="center"/>
                  </w:pPr>
                  <w:r>
                    <w:t xml:space="preserve">NA</w:t>
                  </w:r>
                </w:p>
              </w:tc>
              <w:tc>
                <w:tcPr/>
                <w:p>
                  <w:pPr>
                    <w:pStyle w:val="Compact"/>
                    <w:jc w:val="right"/>
                    <w:jc w:val="center"/>
                  </w:pPr>
                  <w:r>
                    <w:t xml:space="preserve">0.115</w:t>
                  </w:r>
                </w:p>
              </w:tc>
              <w:tc>
                <w:tcPr/>
                <w:p>
                  <w:pPr>
                    <w:pStyle w:val="Compact"/>
                    <w:jc w:val="right"/>
                    <w:jc w:val="center"/>
                  </w:pPr>
                  <w:r>
                    <w:t xml:space="preserve">2.198</w:t>
                  </w:r>
                </w:p>
              </w:tc>
            </w:tr>
            <w:tr>
              <w:tc>
                <w:tcPr/>
                <w:p>
                  <w:pPr>
                    <w:pStyle w:val="Compact"/>
                    <w:jc w:val="left"/>
                    <w:jc w:val="center"/>
                  </w:pPr>
                  <w:r>
                    <w:t xml:space="preserve">Aur-P2</w:t>
                  </w:r>
                </w:p>
              </w:tc>
              <w:tc>
                <w:tcPr/>
                <w:p>
                  <w:pPr>
                    <w:pStyle w:val="Compact"/>
                    <w:jc w:val="right"/>
                    <w:jc w:val="center"/>
                  </w:pPr>
                  <w:r>
                    <w:t xml:space="preserve">5</w:t>
                  </w:r>
                </w:p>
              </w:tc>
              <w:tc>
                <w:tcPr/>
                <w:p>
                  <w:pPr>
                    <w:pStyle w:val="Compact"/>
                    <w:jc w:val="right"/>
                    <w:jc w:val="center"/>
                  </w:pPr>
                  <w:r>
                    <w:t xml:space="preserve">3</w:t>
                  </w:r>
                </w:p>
              </w:tc>
              <w:tc>
                <w:tcPr/>
                <w:p>
                  <w:pPr>
                    <w:pStyle w:val="Compact"/>
                    <w:jc w:val="right"/>
                    <w:jc w:val="center"/>
                  </w:pPr>
                  <w:r>
                    <w:t xml:space="preserve">-0.266</w:t>
                  </w:r>
                </w:p>
              </w:tc>
              <w:tc>
                <w:tcPr/>
                <w:p>
                  <w:pPr>
                    <w:pStyle w:val="Compact"/>
                    <w:jc w:val="right"/>
                    <w:jc w:val="center"/>
                  </w:pPr>
                  <w:r>
                    <w:t xml:space="preserve">0.000</w:t>
                  </w:r>
                </w:p>
              </w:tc>
              <w:tc>
                <w:tcPr/>
                <w:p>
                  <w:pPr>
                    <w:pStyle w:val="Compact"/>
                    <w:jc w:val="right"/>
                    <w:jc w:val="center"/>
                  </w:pPr>
                  <w:r>
                    <w:t xml:space="preserve">1.160</w:t>
                  </w:r>
                </w:p>
              </w:tc>
            </w:tr>
            <w:tr>
              <w:tc>
                <w:tcPr/>
                <w:p>
                  <w:pPr>
                    <w:pStyle w:val="Compact"/>
                    <w:jc w:val="left"/>
                    <w:jc w:val="center"/>
                  </w:pPr>
                  <w:r>
                    <w:t xml:space="preserve">Aur-P1</w:t>
                  </w:r>
                </w:p>
              </w:tc>
              <w:tc>
                <w:tcPr/>
                <w:p>
                  <w:pPr>
                    <w:pStyle w:val="Compact"/>
                    <w:jc w:val="right"/>
                    <w:jc w:val="center"/>
                  </w:pPr>
                  <w:r>
                    <w:t xml:space="preserve">10</w:t>
                  </w:r>
                </w:p>
              </w:tc>
              <w:tc>
                <w:tcPr/>
                <w:p>
                  <w:pPr>
                    <w:pStyle w:val="Compact"/>
                    <w:jc w:val="right"/>
                    <w:jc w:val="center"/>
                  </w:pPr>
                  <w:r>
                    <w:t xml:space="preserve">7</w:t>
                  </w:r>
                </w:p>
              </w:tc>
              <w:tc>
                <w:tcPr/>
                <w:p>
                  <w:pPr>
                    <w:pStyle w:val="Compact"/>
                    <w:jc w:val="right"/>
                    <w:jc w:val="center"/>
                  </w:pPr>
                  <w:r>
                    <w:t xml:space="preserve">NA</w:t>
                  </w:r>
                </w:p>
              </w:tc>
              <w:tc>
                <w:tcPr/>
                <w:p>
                  <w:pPr>
                    <w:pStyle w:val="Compact"/>
                    <w:jc w:val="right"/>
                    <w:jc w:val="center"/>
                  </w:pPr>
                  <w:r>
                    <w:t xml:space="preserve">0.086</w:t>
                  </w:r>
                </w:p>
              </w:tc>
              <w:tc>
                <w:tcPr/>
                <w:p>
                  <w:pPr>
                    <w:pStyle w:val="Compact"/>
                    <w:jc w:val="right"/>
                    <w:jc w:val="center"/>
                  </w:pPr>
                  <w:r>
                    <w:t xml:space="preserve">1.990</w:t>
                  </w:r>
                </w:p>
              </w:tc>
            </w:tr>
            <w:tr>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3</w:t>
                  </w:r>
                </w:p>
              </w:tc>
              <w:tc>
                <w:tcPr/>
                <w:p>
                  <w:pPr>
                    <w:pStyle w:val="Compact"/>
                    <w:jc w:val="right"/>
                    <w:jc w:val="center"/>
                  </w:pPr>
                  <w:r>
                    <w:t xml:space="preserve">-0.500</w:t>
                  </w:r>
                </w:p>
              </w:tc>
              <w:tc>
                <w:tcPr/>
                <w:p>
                  <w:pPr>
                    <w:pStyle w:val="Compact"/>
                    <w:jc w:val="right"/>
                    <w:jc w:val="center"/>
                  </w:pPr>
                  <w:r>
                    <w:t xml:space="preserve">0.000</w:t>
                  </w:r>
                </w:p>
              </w:tc>
              <w:tc>
                <w:tcPr/>
                <w:p>
                  <w:pPr>
                    <w:pStyle w:val="Compact"/>
                    <w:jc w:val="right"/>
                    <w:jc w:val="center"/>
                  </w:pPr>
                  <w:r>
                    <w:t xml:space="preserve">1.032</w:t>
                  </w:r>
                </w:p>
              </w:tc>
            </w:tr>
          </w:tbl>
          <w:p>
            <w:pPr>
              <w:jc w:val="center"/>
            </w:pPr>
            <w:pPr>
              <w:jc w:val="start"/>
              <w:spacing w:before="200"/>
              <w:pStyle w:val="ImageCaption"/>
            </w:pPr>
            <w:r>
              <w:t xml:space="preserve">Table S 39: Community-structure stability under object-level downsampling. For each phase and common count k: number of sites qualifying, mean Adjusted Rand Index (ARI) between the downsampled Louvain partition and the manual groups, mean network modularity, and mean number of Louvain communities detected.</w:t>
            </w:r>
          </w:p>
          <w:bookmarkEnd w:id="197"/>
        </w:tc>
      </w:tr>
    </w:tbl>
    <w:tbl>
      <w:tblPr>
        <w:tblStyle w:val="Table"/>
        <w:tblW w:type="pct" w:w="5000"/>
        <w:tblLook w:firstRow="0" w:lastRow="0" w:firstColumn="0" w:lastColumn="0" w:noHBand="0" w:noVBand="0" w:val="0000"/>
        <w:jc w:val="start"/>
        <w:tblLayout w:type="fixed"/>
      </w:tblPr>
      <w:tblGrid>
        <w:gridCol w:w="7920"/>
      </w:tblGrid>
      <w:tr>
        <w:tc>
          <w:tcPr/>
          <w:bookmarkStart w:id="201" w:name="fig-retention"/>
          <w:p>
            <w:pPr>
              <w:pStyle w:val="Compact"/>
              <w:jc w:val="center"/>
            </w:pPr>
            <w:r>
              <w:drawing>
                <wp:inline>
                  <wp:extent cx="5943600" cy="5943600"/>
                  <wp:effectExtent b="0" l="0" r="0" t="0"/>
                  <wp:docPr descr="" title="" id="199" name="Picture"/>
                  <a:graphic>
                    <a:graphicData uri="http://schemas.openxmlformats.org/drawingml/2006/picture">
                      <pic:pic>
                        <pic:nvPicPr>
                          <pic:cNvPr descr="S1-supplement-sensitivity_files/figure-docx/fig-retention-1.png" id="200" name="Picture"/>
                          <pic:cNvPicPr>
                            <a:picLocks noChangeArrowheads="1" noChangeAspect="1"/>
                          </pic:cNvPicPr>
                        </pic:nvPicPr>
                        <pic:blipFill>
                          <a:blip r:embed="rId198"/>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11: Group-retention rate by site under object-level downsampling to k = 3, 5, 10 objects per site. Bars near 1 (red) indicate assignments that survive downsampling; bars near 0.5 (blue) indicate assignments that are essentially random with respect to the manual grouping and therefore unstable.</w:t>
            </w:r>
          </w:p>
          <w:bookmarkEnd w:id="201"/>
        </w:tc>
      </w:tr>
    </w:tbl>
    <w:bookmarkEnd w:id="202"/>
    <w:bookmarkStart w:id="203" w:name="interpretation-10"/>
    <w:p>
      <w:pPr>
        <w:pStyle w:val="Heading3"/>
      </w:pPr>
      <w:r>
        <w:t xml:space="preserve">Interpretation</w:t>
      </w:r>
    </w:p>
    <w:p>
      <w:pPr>
        <w:pStyle w:val="FirstParagraph"/>
      </w:pPr>
      <w:r>
        <w:rPr>
          <w:bCs/>
          <w:b/>
        </w:rPr>
        <w:t xml:space="preserve">Question: does each site keep its group under object-level downsampling, and how stable is the community structure?</w:t>
      </w:r>
      <w:r>
        <w:t xml:space="preserve"> </w:t>
      </w:r>
      <w:r>
        <w:t xml:space="preserve">No. The assignment is stable only for the better-sampled sites. In Aur-P1 at k = 3, large broad-range sites such as Vogelherd (0.73), Hohle Fels (0.97), and La Ferrassie (0.92) retain their group in the large majority of replicates, whereas small restricted-range sites collapse: Gatzarria (0.16) and Grotte de la Verpillière I (0.15) keep their group little more often than chance. The mean ARI between the downsampled partition and the manual groups is low at every level (0.19 at k = 3, NA at k = 5, NA at k = 10 for Aur-P1), and modularity falls to near zero (e.g. 0.15 at k = 3), reflecting the fragmentation of the network when each site is represented by only a handful of objects.</w:t>
      </w:r>
    </w:p>
    <w:p>
      <w:pPr>
        <w:pStyle w:val="BodyText"/>
      </w:pPr>
      <w:r>
        <w:t xml:space="preserve">The same pattern holds in Aur-P2, where even fewer sites qualify at higher k and retention is correspondingly noisier.</w:t>
      </w:r>
      <w:r>
        <w:t xml:space="preserve"> </w:t>
      </w:r>
      <w:r>
        <w:rPr>
          <w:bCs/>
          <w:b/>
        </w:rPr>
        <w:t xml:space="preserve">Answer:</w:t>
      </w:r>
      <w:r>
        <w:t xml:space="preserve"> </w:t>
      </w:r>
      <w:r>
        <w:t xml:space="preserve">the R/B assignment of small-object sites is not robust to object-level downsampling; only the best-sampled sites retain their grouping, and the community structure as a whole loses coherence under downsampling. This shows that the division is, at least in part, a sampling-intensity effect rather than a fully stable cultural partition.</w:t>
      </w:r>
    </w:p>
    <w:bookmarkEnd w:id="203"/>
    <w:bookmarkEnd w:id="204"/>
    <w:bookmarkStart w:id="212" w:name="sec-s12-3"/>
    <w:p>
      <w:pPr>
        <w:pStyle w:val="Heading2"/>
      </w:pPr>
      <w:r>
        <w:t xml:space="preserve">S1.12.3 Coverage-based rarefaction</w:t>
      </w:r>
    </w:p>
    <w:bookmarkStart w:id="210" w:name="rationale-19"/>
    <w:p>
      <w:pPr>
        <w:pStyle w:val="Heading3"/>
      </w:pPr>
      <w:r>
        <w:t xml:space="preserve">Rationale</w:t>
      </w:r>
    </w:p>
    <w:p>
      <w:pPr>
        <w:pStyle w:val="FirstParagraph"/>
      </w:pPr>
      <w:r>
        <w:t xml:space="preserve">Equal object counts do not equalise</w:t>
      </w:r>
      <w:r>
        <w:t xml:space="preserve"> </w:t>
      </w:r>
      <w:r>
        <w:rPr>
          <w:iCs/>
          <w:i/>
        </w:rPr>
        <w:t xml:space="preserve">sampling effort</w:t>
      </w:r>
      <w:r>
        <w:t xml:space="preserve"> </w:t>
      </w:r>
      <w:r>
        <w:t xml:space="preserve">when sites differ in how concentrated their signs are. Our method is</w:t>
      </w:r>
      <w:r>
        <w:t xml:space="preserve"> </w:t>
      </w:r>
      <w:r>
        <w:rPr>
          <w:bCs/>
          <w:b/>
        </w:rPr>
        <w:t xml:space="preserve">coverage-based rarefaction</w:t>
      </w:r>
      <w:r>
        <w:t xml:space="preserve">: compare richness at equal</w:t>
      </w:r>
      <w:r>
        <w:t xml:space="preserve"> </w:t>
      </w:r>
      <w:r>
        <w:rPr>
          <w:iCs/>
          <w:i/>
        </w:rPr>
        <w:t xml:space="preserve">sample coverage</w:t>
      </w:r>
      <w:r>
        <w:t xml:space="preserve"> </w:t>
      </w:r>
      <w:r>
        <w:t xml:space="preserve">rather than equal object count</w:t>
      </w:r>
      <w:r>
        <w:t xml:space="preserve"> </w:t>
      </w:r>
      <w:r>
        <w:t xml:space="preserve">[23,24]</w:t>
      </w:r>
      <w:r>
        <w:t xml:space="preserve">. For each site we estimate its sign-type richness at a target coverage of 0.9 (a standard</w:t>
      </w:r>
      <w:r>
        <w:t xml:space="preserve"> </w:t>
      </w:r>
      <w:r>
        <w:t xml:space="preserve">“</w:t>
      </w:r>
      <w:r>
        <w:t xml:space="preserve">high coverage</w:t>
      </w:r>
      <w:r>
        <w:t xml:space="preserve">”</w:t>
      </w:r>
      <w:r>
        <w:t xml:space="preserve"> </w:t>
      </w:r>
      <w:r>
        <w:t xml:space="preserve">benchmark) with</w:t>
      </w:r>
      <w:r>
        <w:t xml:space="preserve"> </w:t>
      </w:r>
      <w:r>
        <w:rPr>
          <w:rStyle w:val="VerbatimChar"/>
        </w:rPr>
        <w:t xml:space="preserve">iNEXT::estimateD</w:t>
      </w:r>
      <w:r>
        <w:t xml:space="preserve"> </w:t>
      </w:r>
      <w:r>
        <w:t xml:space="preserve">on the site’s object-by-sign incidence matrix (</w:t>
      </w:r>
      <w:r>
        <w:rPr>
          <w:rStyle w:val="VerbatimChar"/>
        </w:rPr>
        <w:t xml:space="preserve">datatype = "incidence_raw"</w:t>
      </w:r>
      <w:r>
        <w:t xml:space="preserve">), which returns 95% confidence intervals from 200 bootstrap replicates</w:t>
      </w:r>
      <w:r>
        <w:t xml:space="preserve"> </w:t>
      </w:r>
      <w:r>
        <w:t xml:space="preserve">[25]</w:t>
      </w:r>
      <w:r>
        <w:t xml:space="preserve">. Sites with fewer than three objects, failed fits, or targets reachable only by extrapolating beyond twice the observed sample cannot be placed on a common coverage footing; for these we report Chao and Jost’s analytic incidence-coverage estimator with object-resampling bootstrap intervals and a Chao2 asymptotic-richness estimate as a fallback quantity, with the reason recorded per site. We then compare restricted and broad sites at that equal coverage.</w:t>
      </w:r>
    </w:p>
    <w:p>
      <w:pPr>
        <w:pStyle w:val="BodyText"/>
      </w:pPr>
      <w:r>
        <w:rPr>
          <w:bCs/>
          <w:b/>
        </w:rPr>
        <w:t xml:space="preserve">Question this analysis answers:</w:t>
      </w:r>
      <w:r>
        <w:t xml:space="preserve"> </w:t>
      </w:r>
      <w:r>
        <w:t xml:space="preserve">at equal sample coverage, do restricted and broad sites still differ in sign-type richness?</w:t>
      </w:r>
    </w:p>
    <w:tbl>
      <w:tblPr>
        <w:tblStyle w:val="Table"/>
        <w:tblW w:type="pct" w:w="5000"/>
        <w:tblLook w:firstRow="0" w:lastRow="0" w:firstColumn="0" w:lastColumn="0" w:noHBand="0" w:noVBand="0" w:val="0000"/>
        <w:jc w:val="start"/>
        <w:tblLayout w:type="fixed"/>
      </w:tblPr>
      <w:tblGrid>
        <w:gridCol w:w="7920"/>
      </w:tblGrid>
      <w:tr>
        <w:tc>
          <w:tcPr/>
          <w:bookmarkStart w:id="205" w:name="tbl-rarefaction"/>
          <w:tbl>
            <w:tblPr>
              <w:tblStyle w:val="Table"/>
              <w:tblW w:type="pct" w:w="5000"/>
              <w:tblLook w:firstRow="1" w:lastRow="0" w:firstColumn="0" w:lastColumn="0" w:noHBand="0" w:noVBand="0" w:val="0020"/>
              <w:jc w:val="start"/>
              <w:tblLayout w:type="fixed"/>
            </w:tblPr>
            <w:tblGrid>
              <w:gridCol w:w="285"/>
              <w:gridCol w:w="1102"/>
              <w:gridCol w:w="449"/>
              <w:gridCol w:w="326"/>
              <w:gridCol w:w="653"/>
              <w:gridCol w:w="653"/>
              <w:gridCol w:w="326"/>
              <w:gridCol w:w="326"/>
              <w:gridCol w:w="857"/>
              <w:gridCol w:w="285"/>
              <w:gridCol w:w="285"/>
              <w:gridCol w:w="244"/>
              <w:gridCol w:w="2122"/>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c>
                <w:tcPr/>
                <w:p>
                  <w:pPr>
                    <w:pStyle w:val="Compact"/>
                    <w:jc w:val="right"/>
                    <w:jc w:val="center"/>
                  </w:pPr>
                  <w:r>
                    <w:t xml:space="preserve">Richness (full)</w:t>
                  </w:r>
                </w:p>
              </w:tc>
              <w:tc>
                <w:tcPr/>
                <w:p>
                  <w:pPr>
                    <w:pStyle w:val="Compact"/>
                    <w:jc w:val="right"/>
                    <w:jc w:val="center"/>
                  </w:pPr>
                  <w:r>
                    <w:t xml:space="preserve">Coverage (Chao)</w:t>
                  </w:r>
                </w:p>
              </w:tc>
              <w:tc>
                <w:tcPr/>
                <w:p>
                  <w:pPr>
                    <w:pStyle w:val="Compact"/>
                    <w:jc w:val="right"/>
                    <w:jc w:val="center"/>
                  </w:pPr>
                  <w:r>
                    <w:t xml:space="preserve">Cov LCL</w:t>
                  </w:r>
                </w:p>
              </w:tc>
              <w:tc>
                <w:tcPr/>
                <w:p>
                  <w:pPr>
                    <w:pStyle w:val="Compact"/>
                    <w:jc w:val="right"/>
                    <w:jc w:val="center"/>
                  </w:pPr>
                  <w:r>
                    <w:t xml:space="preserve">Cov UCL</w:t>
                  </w:r>
                </w:p>
              </w:tc>
              <w:tc>
                <w:tcPr/>
                <w:p>
                  <w:pPr>
                    <w:pStyle w:val="Compact"/>
                    <w:jc w:val="right"/>
                    <w:jc w:val="center"/>
                  </w:pPr>
                  <w:r>
                    <w:t xml:space="preserve">Richness at 0.9 cov.</w:t>
                  </w:r>
                </w:p>
              </w:tc>
              <w:tc>
                <w:tcPr/>
                <w:p>
                  <w:pPr>
                    <w:pStyle w:val="Compact"/>
                    <w:jc w:val="right"/>
                    <w:jc w:val="center"/>
                  </w:pPr>
                  <w:r>
                    <w:t xml:space="preserve">Rt LCL</w:t>
                  </w:r>
                </w:p>
              </w:tc>
              <w:tc>
                <w:tcPr/>
                <w:p>
                  <w:pPr>
                    <w:pStyle w:val="Compact"/>
                    <w:jc w:val="right"/>
                    <w:jc w:val="center"/>
                  </w:pPr>
                  <w:r>
                    <w:t xml:space="preserve">Rt UCL</w:t>
                  </w:r>
                </w:p>
              </w:tc>
              <w:tc>
                <w:tcPr/>
                <w:p>
                  <w:pPr>
                    <w:pStyle w:val="Compact"/>
                    <w:jc w:val="right"/>
                    <w:jc w:val="center"/>
                  </w:pPr>
                  <w:r>
                    <w:t xml:space="preserve">Chao2</w:t>
                  </w:r>
                </w:p>
              </w:tc>
              <w:tc>
                <w:tcPr/>
                <w:p>
                  <w:pPr>
                    <w:pStyle w:val="Compact"/>
                    <w:jc w:val="left"/>
                    <w:jc w:val="center"/>
                  </w:pPr>
                  <w:r>
                    <w:t xml:space="preserve">Target method</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c>
                <w:tcPr/>
                <w:p>
                  <w:pPr>
                    <w:pStyle w:val="Compact"/>
                    <w:jc w:val="right"/>
                    <w:jc w:val="center"/>
                  </w:pPr>
                  <w:r>
                    <w:t xml:space="preserve">9</w:t>
                  </w:r>
                </w:p>
              </w:tc>
              <w:tc>
                <w:tcPr/>
                <w:p>
                  <w:pPr>
                    <w:pStyle w:val="Compact"/>
                    <w:jc w:val="right"/>
                    <w:jc w:val="center"/>
                  </w:pPr>
                  <w:r>
                    <w:t xml:space="preserve">0.84</w:t>
                  </w:r>
                </w:p>
              </w:tc>
              <w:tc>
                <w:tcPr/>
                <w:p>
                  <w:pPr>
                    <w:pStyle w:val="Compact"/>
                    <w:jc w:val="right"/>
                    <w:jc w:val="center"/>
                  </w:pPr>
                  <w:r>
                    <w:t xml:space="preserve">0.78</w:t>
                  </w:r>
                </w:p>
              </w:tc>
              <w:tc>
                <w:tcPr/>
                <w:p>
                  <w:pPr>
                    <w:pStyle w:val="Compact"/>
                    <w:jc w:val="right"/>
                    <w:jc w:val="center"/>
                  </w:pPr>
                  <w:r>
                    <w:t xml:space="preserve">1</w:t>
                  </w:r>
                </w:p>
              </w:tc>
              <w:tc>
                <w:tcPr/>
                <w:p>
                  <w:pPr>
                    <w:pStyle w:val="Compact"/>
                    <w:jc w:val="right"/>
                    <w:jc w:val="center"/>
                  </w:pPr>
                  <w:r>
                    <w:t xml:space="preserve">8.83</w:t>
                  </w:r>
                </w:p>
              </w:tc>
              <w:tc>
                <w:tcPr/>
                <w:p>
                  <w:pPr>
                    <w:pStyle w:val="Compact"/>
                    <w:jc w:val="right"/>
                    <w:jc w:val="center"/>
                  </w:pPr>
                  <w:r>
                    <w:t xml:space="preserve">3.07</w:t>
                  </w:r>
                </w:p>
              </w:tc>
              <w:tc>
                <w:tcPr/>
                <w:p>
                  <w:pPr>
                    <w:pStyle w:val="Compact"/>
                    <w:jc w:val="right"/>
                    <w:jc w:val="center"/>
                  </w:pPr>
                  <w:r>
                    <w:t xml:space="preserve">14.60</w:t>
                  </w:r>
                </w:p>
              </w:tc>
              <w:tc>
                <w:tcPr/>
                <w:p>
                  <w:pPr>
                    <w:pStyle w:val="Compact"/>
                    <w:jc w:val="right"/>
                    <w:jc w:val="center"/>
                  </w:pPr>
                  <w:r>
                    <w:t xml:space="preserve">13.25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c>
                <w:tcPr/>
                <w:p>
                  <w:pPr>
                    <w:pStyle w:val="Compact"/>
                    <w:jc w:val="right"/>
                    <w:jc w:val="center"/>
                  </w:pPr>
                  <w:r>
                    <w:t xml:space="preserve">9</w:t>
                  </w:r>
                </w:p>
              </w:tc>
              <w:tc>
                <w:tcPr/>
                <w:p>
                  <w:pPr>
                    <w:pStyle w:val="Compact"/>
                    <w:jc w:val="right"/>
                    <w:jc w:val="center"/>
                  </w:pPr>
                  <w:r>
                    <w:t xml:space="preserve">0.82</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10.77</w:t>
                  </w:r>
                </w:p>
              </w:tc>
              <w:tc>
                <w:tcPr/>
                <w:p>
                  <w:pPr>
                    <w:pStyle w:val="Compact"/>
                    <w:jc w:val="right"/>
                    <w:jc w:val="center"/>
                  </w:pPr>
                  <w:r>
                    <w:t xml:space="preserve">1.70</w:t>
                  </w:r>
                </w:p>
              </w:tc>
              <w:tc>
                <w:tcPr/>
                <w:p>
                  <w:pPr>
                    <w:pStyle w:val="Compact"/>
                    <w:jc w:val="right"/>
                    <w:jc w:val="center"/>
                  </w:pPr>
                  <w:r>
                    <w:t xml:space="preserve">19.84</w:t>
                  </w:r>
                </w:p>
              </w:tc>
              <w:tc>
                <w:tcPr/>
                <w:p>
                  <w:pPr>
                    <w:pStyle w:val="Compact"/>
                    <w:jc w:val="right"/>
                    <w:jc w:val="center"/>
                  </w:pPr>
                  <w:r>
                    <w:t xml:space="preserve">16.64</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c>
                <w:tcPr/>
                <w:p>
                  <w:pPr>
                    <w:pStyle w:val="Compact"/>
                    <w:jc w:val="right"/>
                    <w:jc w:val="center"/>
                  </w:pPr>
                  <w:r>
                    <w:t xml:space="preserve">11</w:t>
                  </w:r>
                </w:p>
              </w:tc>
              <w:tc>
                <w:tcPr/>
                <w:p>
                  <w:pPr>
                    <w:pStyle w:val="Compact"/>
                    <w:jc w:val="right"/>
                    <w:jc w:val="center"/>
                  </w:pPr>
                  <w:r>
                    <w:t xml:space="preserve">0.91</w:t>
                  </w:r>
                </w:p>
              </w:tc>
              <w:tc>
                <w:tcPr/>
                <w:p>
                  <w:pPr>
                    <w:pStyle w:val="Compact"/>
                    <w:jc w:val="right"/>
                    <w:jc w:val="center"/>
                  </w:pPr>
                  <w:r>
                    <w:t xml:space="preserve">0.76</w:t>
                  </w:r>
                </w:p>
              </w:tc>
              <w:tc>
                <w:tcPr/>
                <w:p>
                  <w:pPr>
                    <w:pStyle w:val="Compact"/>
                    <w:jc w:val="right"/>
                    <w:jc w:val="center"/>
                  </w:pPr>
                  <w:r>
                    <w:t xml:space="preserve">1</w:t>
                  </w:r>
                </w:p>
              </w:tc>
              <w:tc>
                <w:tcPr/>
                <w:p>
                  <w:pPr>
                    <w:pStyle w:val="Compact"/>
                    <w:jc w:val="right"/>
                    <w:jc w:val="center"/>
                  </w:pPr>
                  <w:r>
                    <w:t xml:space="preserve">10.06</w:t>
                  </w:r>
                </w:p>
              </w:tc>
              <w:tc>
                <w:tcPr/>
                <w:p>
                  <w:pPr>
                    <w:pStyle w:val="Compact"/>
                    <w:jc w:val="right"/>
                    <w:jc w:val="center"/>
                  </w:pPr>
                  <w:r>
                    <w:t xml:space="preserve">7.35</w:t>
                  </w:r>
                </w:p>
              </w:tc>
              <w:tc>
                <w:tcPr/>
                <w:p>
                  <w:pPr>
                    <w:pStyle w:val="Compact"/>
                    <w:jc w:val="right"/>
                    <w:jc w:val="center"/>
                  </w:pPr>
                  <w:r>
                    <w:t xml:space="preserve">12.77</w:t>
                  </w:r>
                </w:p>
              </w:tc>
              <w:tc>
                <w:tcPr/>
                <w:p>
                  <w:pPr>
                    <w:pStyle w:val="Compact"/>
                    <w:jc w:val="right"/>
                    <w:jc w:val="center"/>
                  </w:pPr>
                  <w:r>
                    <w:t xml:space="preserve">11.63</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0.83</w:t>
                  </w:r>
                </w:p>
              </w:tc>
              <w:tc>
                <w:tcPr/>
                <w:p>
                  <w:pPr>
                    <w:pStyle w:val="Compact"/>
                    <w:jc w:val="right"/>
                    <w:jc w:val="center"/>
                  </w:pPr>
                  <w:r>
                    <w:t xml:space="preserve">0.83</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2.25</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c>
                <w:tcPr/>
                <w:p>
                  <w:pPr>
                    <w:pStyle w:val="Compact"/>
                    <w:jc w:val="right"/>
                    <w:jc w:val="center"/>
                  </w:pPr>
                  <w:r>
                    <w:t xml:space="preserve">6</w:t>
                  </w:r>
                </w:p>
              </w:tc>
              <w:tc>
                <w:tcPr/>
                <w:p>
                  <w:pPr>
                    <w:pStyle w:val="Compact"/>
                    <w:jc w:val="right"/>
                    <w:jc w:val="center"/>
                  </w:pPr>
                  <w:r>
                    <w:t xml:space="preserve">-0.10</w:t>
                  </w:r>
                </w:p>
              </w:tc>
              <w:tc>
                <w:tcPr/>
                <w:p>
                  <w:pPr>
                    <w:pStyle w:val="Compact"/>
                    <w:jc w:val="right"/>
                    <w:jc w:val="center"/>
                  </w:pPr>
                  <w:r>
                    <w:t xml:space="preserve">-0.10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15.38</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c>
                <w:tcPr/>
                <w:p>
                  <w:pPr>
                    <w:pStyle w:val="Compact"/>
                    <w:jc w:val="right"/>
                    <w:jc w:val="center"/>
                  </w:pPr>
                  <w:r>
                    <w:t xml:space="preserve">4</w:t>
                  </w:r>
                </w:p>
              </w:tc>
              <w:tc>
                <w:tcPr/>
                <w:p>
                  <w:pPr>
                    <w:pStyle w:val="Compact"/>
                    <w:jc w:val="right"/>
                    <w:jc w:val="center"/>
                  </w:pPr>
                  <w:r>
                    <w:t xml:space="preserve">0.57</w:t>
                  </w:r>
                </w:p>
              </w:tc>
              <w:tc>
                <w:tcPr/>
                <w:p>
                  <w:pPr>
                    <w:pStyle w:val="Compact"/>
                    <w:jc w:val="right"/>
                    <w:jc w:val="center"/>
                  </w:pPr>
                  <w:r>
                    <w:t xml:space="preserve">0.57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6.57</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c>
                <w:tcPr/>
                <w:p>
                  <w:pPr>
                    <w:pStyle w:val="Compact"/>
                    <w:jc w:val="right"/>
                    <w:jc w:val="center"/>
                  </w:pPr>
                  <w:r>
                    <w:t xml:space="preserve">11</w:t>
                  </w:r>
                </w:p>
              </w:tc>
              <w:tc>
                <w:tcPr/>
                <w:p>
                  <w:pPr>
                    <w:pStyle w:val="Compact"/>
                    <w:jc w:val="right"/>
                    <w:jc w:val="center"/>
                  </w:pPr>
                  <w:r>
                    <w:t xml:space="preserve">0.80</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15.79</w:t>
                  </w:r>
                </w:p>
              </w:tc>
              <w:tc>
                <w:tcPr/>
                <w:p>
                  <w:pPr>
                    <w:pStyle w:val="Compact"/>
                    <w:jc w:val="right"/>
                    <w:jc w:val="center"/>
                  </w:pPr>
                  <w:r>
                    <w:t xml:space="preserve">0.00</w:t>
                  </w:r>
                </w:p>
              </w:tc>
              <w:tc>
                <w:tcPr/>
                <w:p>
                  <w:pPr>
                    <w:pStyle w:val="Compact"/>
                    <w:jc w:val="right"/>
                    <w:jc w:val="center"/>
                  </w:pPr>
                  <w:r>
                    <w:t xml:space="preserve">33.53</w:t>
                  </w:r>
                </w:p>
              </w:tc>
              <w:tc>
                <w:tcPr/>
                <w:p>
                  <w:pPr>
                    <w:pStyle w:val="Compact"/>
                    <w:jc w:val="right"/>
                    <w:jc w:val="center"/>
                  </w:pPr>
                  <w:r>
                    <w:t xml:space="preserve">28.40</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c>
                <w:tcPr/>
                <w:p>
                  <w:pPr>
                    <w:pStyle w:val="Compact"/>
                    <w:jc w:val="right"/>
                    <w:jc w:val="center"/>
                  </w:pPr>
                  <w:r>
                    <w:t xml:space="preserve">6</w:t>
                  </w:r>
                </w:p>
              </w:tc>
              <w:tc>
                <w:tcPr/>
                <w:p>
                  <w:pPr>
                    <w:pStyle w:val="Compact"/>
                    <w:jc w:val="right"/>
                    <w:jc w:val="center"/>
                  </w:pPr>
                  <w:r>
                    <w:t xml:space="preserve">0.91</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5.43</w:t>
                  </w:r>
                </w:p>
              </w:tc>
              <w:tc>
                <w:tcPr/>
                <w:p>
                  <w:pPr>
                    <w:pStyle w:val="Compact"/>
                    <w:jc w:val="right"/>
                    <w:jc w:val="center"/>
                  </w:pPr>
                  <w:r>
                    <w:t xml:space="preserve">2.73</w:t>
                  </w:r>
                </w:p>
              </w:tc>
              <w:tc>
                <w:tcPr/>
                <w:p>
                  <w:pPr>
                    <w:pStyle w:val="Compact"/>
                    <w:jc w:val="right"/>
                    <w:jc w:val="center"/>
                  </w:pPr>
                  <w:r>
                    <w:t xml:space="preserve">8.13</w:t>
                  </w:r>
                </w:p>
              </w:tc>
              <w:tc>
                <w:tcPr/>
                <w:p>
                  <w:pPr>
                    <w:pStyle w:val="Compact"/>
                    <w:jc w:val="right"/>
                    <w:jc w:val="center"/>
                  </w:pPr>
                  <w:r>
                    <w:t xml:space="preserve">6.95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c>
                <w:tcPr/>
                <w:p>
                  <w:pPr>
                    <w:pStyle w:val="Compact"/>
                    <w:jc w:val="right"/>
                    <w:jc w:val="center"/>
                  </w:pPr>
                  <w:r>
                    <w:t xml:space="preserve">5</w:t>
                  </w:r>
                </w:p>
              </w:tc>
              <w:tc>
                <w:tcPr/>
                <w:p>
                  <w:pPr>
                    <w:pStyle w:val="Compact"/>
                    <w:jc w:val="right"/>
                    <w:jc w:val="center"/>
                  </w:pPr>
                  <w:r>
                    <w:t xml:space="preserve">1.00</w:t>
                  </w:r>
                </w:p>
              </w:tc>
              <w:tc>
                <w:tcPr/>
                <w:p>
                  <w:pPr>
                    <w:pStyle w:val="Compact"/>
                    <w:jc w:val="right"/>
                    <w:jc w:val="center"/>
                  </w:pPr>
                  <w:r>
                    <w:t xml:space="preserve">0.96</w:t>
                  </w:r>
                </w:p>
              </w:tc>
              <w:tc>
                <w:tcPr/>
                <w:p>
                  <w:pPr>
                    <w:pStyle w:val="Compact"/>
                    <w:jc w:val="right"/>
                    <w:jc w:val="center"/>
                  </w:pPr>
                  <w:r>
                    <w:t xml:space="preserve">1</w:t>
                  </w:r>
                </w:p>
              </w:tc>
              <w:tc>
                <w:tcPr/>
                <w:p>
                  <w:pPr>
                    <w:pStyle w:val="Compact"/>
                    <w:jc w:val="right"/>
                    <w:jc w:val="center"/>
                  </w:pPr>
                  <w:r>
                    <w:t xml:space="preserve">4.52</w:t>
                  </w:r>
                </w:p>
              </w:tc>
              <w:tc>
                <w:tcPr/>
                <w:p>
                  <w:pPr>
                    <w:pStyle w:val="Compact"/>
                    <w:jc w:val="right"/>
                    <w:jc w:val="center"/>
                  </w:pPr>
                  <w:r>
                    <w:t xml:space="preserve">4.21</w:t>
                  </w:r>
                </w:p>
              </w:tc>
              <w:tc>
                <w:tcPr/>
                <w:p>
                  <w:pPr>
                    <w:pStyle w:val="Compact"/>
                    <w:jc w:val="right"/>
                    <w:jc w:val="center"/>
                  </w:pPr>
                  <w:r>
                    <w:t xml:space="preserve">4.82</w:t>
                  </w:r>
                </w:p>
              </w:tc>
              <w:tc>
                <w:tcPr/>
                <w:p>
                  <w:pPr>
                    <w:pStyle w:val="Compact"/>
                    <w:jc w:val="right"/>
                    <w:jc w:val="center"/>
                  </w:pPr>
                  <w:r>
                    <w:t xml:space="preserve">5.00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2.50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c>
                <w:tcPr/>
                <w:p>
                  <w:pPr>
                    <w:pStyle w:val="Compact"/>
                    <w:jc w:val="right"/>
                    <w:jc w:val="center"/>
                  </w:pPr>
                  <w:r>
                    <w:t xml:space="preserve">17</w:t>
                  </w:r>
                </w:p>
              </w:tc>
              <w:tc>
                <w:tcPr/>
                <w:p>
                  <w:pPr>
                    <w:pStyle w:val="Compact"/>
                    <w:jc w:val="right"/>
                    <w:jc w:val="center"/>
                  </w:pPr>
                  <w:r>
                    <w:t xml:space="preserve">0.98</w:t>
                  </w:r>
                </w:p>
              </w:tc>
              <w:tc>
                <w:tcPr/>
                <w:p>
                  <w:pPr>
                    <w:pStyle w:val="Compact"/>
                    <w:jc w:val="right"/>
                    <w:jc w:val="center"/>
                  </w:pPr>
                  <w:r>
                    <w:t xml:space="preserve">0.97</w:t>
                  </w:r>
                </w:p>
              </w:tc>
              <w:tc>
                <w:tcPr/>
                <w:p>
                  <w:pPr>
                    <w:pStyle w:val="Compact"/>
                    <w:jc w:val="right"/>
                    <w:jc w:val="center"/>
                  </w:pPr>
                  <w:r>
                    <w:t xml:space="preserve">1</w:t>
                  </w:r>
                </w:p>
              </w:tc>
              <w:tc>
                <w:tcPr/>
                <w:p>
                  <w:pPr>
                    <w:pStyle w:val="Compact"/>
                    <w:jc w:val="right"/>
                    <w:jc w:val="center"/>
                  </w:pPr>
                  <w:r>
                    <w:t xml:space="preserve">9.84</w:t>
                  </w:r>
                </w:p>
              </w:tc>
              <w:tc>
                <w:tcPr/>
                <w:p>
                  <w:pPr>
                    <w:pStyle w:val="Compact"/>
                    <w:jc w:val="right"/>
                    <w:jc w:val="center"/>
                  </w:pPr>
                  <w:r>
                    <w:t xml:space="preserve">8.28</w:t>
                  </w:r>
                </w:p>
              </w:tc>
              <w:tc>
                <w:tcPr/>
                <w:p>
                  <w:pPr>
                    <w:pStyle w:val="Compact"/>
                    <w:jc w:val="right"/>
                    <w:jc w:val="center"/>
                  </w:pPr>
                  <w:r>
                    <w:t xml:space="preserve">11.39</w:t>
                  </w:r>
                </w:p>
              </w:tc>
              <w:tc>
                <w:tcPr/>
                <w:p>
                  <w:pPr>
                    <w:pStyle w:val="Compact"/>
                    <w:jc w:val="right"/>
                    <w:jc w:val="center"/>
                  </w:pPr>
                  <w:r>
                    <w:t xml:space="preserve">18.12</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2.77</w:t>
                  </w:r>
                </w:p>
              </w:tc>
              <w:tc>
                <w:tcPr/>
                <w:p>
                  <w:pPr>
                    <w:pStyle w:val="Compact"/>
                    <w:jc w:val="right"/>
                    <w:jc w:val="center"/>
                  </w:pPr>
                  <w:r>
                    <w:t xml:space="preserve">2.05</w:t>
                  </w:r>
                </w:p>
              </w:tc>
              <w:tc>
                <w:tcPr/>
                <w:p>
                  <w:pPr>
                    <w:pStyle w:val="Compact"/>
                    <w:jc w:val="right"/>
                    <w:jc w:val="center"/>
                  </w:pPr>
                  <w:r>
                    <w:t xml:space="preserve">3.49</w:t>
                  </w:r>
                </w:p>
              </w:tc>
              <w:tc>
                <w:tcPr/>
                <w:p>
                  <w:pPr>
                    <w:pStyle w:val="Compact"/>
                    <w:jc w:val="right"/>
                    <w:jc w:val="center"/>
                  </w:pPr>
                  <w:r>
                    <w:t xml:space="preserve">3.00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0.75</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1.90</w:t>
                  </w:r>
                </w:p>
              </w:tc>
              <w:tc>
                <w:tcPr/>
                <w:p>
                  <w:pPr>
                    <w:pStyle w:val="Compact"/>
                    <w:jc w:val="right"/>
                    <w:jc w:val="center"/>
                  </w:pPr>
                  <w:r>
                    <w:t xml:space="preserve">1.00</w:t>
                  </w:r>
                </w:p>
              </w:tc>
              <w:tc>
                <w:tcPr/>
                <w:p>
                  <w:pPr>
                    <w:pStyle w:val="Compact"/>
                    <w:jc w:val="right"/>
                    <w:jc w:val="center"/>
                  </w:pPr>
                  <w:r>
                    <w:t xml:space="preserve">2.80</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c>
                <w:tcPr/>
                <w:p>
                  <w:pPr>
                    <w:pStyle w:val="Compact"/>
                    <w:jc w:val="right"/>
                    <w:jc w:val="center"/>
                  </w:pPr>
                  <w:r>
                    <w:t xml:space="preserve">10</w:t>
                  </w:r>
                </w:p>
              </w:tc>
              <w:tc>
                <w:tcPr/>
                <w:p>
                  <w:pPr>
                    <w:pStyle w:val="Compact"/>
                    <w:jc w:val="right"/>
                    <w:jc w:val="center"/>
                  </w:pPr>
                  <w:r>
                    <w:t xml:space="preserve">0.90</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8.95</w:t>
                  </w:r>
                </w:p>
              </w:tc>
              <w:tc>
                <w:tcPr/>
                <w:p>
                  <w:pPr>
                    <w:pStyle w:val="Compact"/>
                    <w:jc w:val="right"/>
                    <w:jc w:val="center"/>
                  </w:pPr>
                  <w:r>
                    <w:t xml:space="preserve">4.60</w:t>
                  </w:r>
                </w:p>
              </w:tc>
              <w:tc>
                <w:tcPr/>
                <w:p>
                  <w:pPr>
                    <w:pStyle w:val="Compact"/>
                    <w:jc w:val="right"/>
                    <w:jc w:val="center"/>
                  </w:pPr>
                  <w:r>
                    <w:t xml:space="preserve">13.31</w:t>
                  </w:r>
                </w:p>
              </w:tc>
              <w:tc>
                <w:tcPr/>
                <w:p>
                  <w:pPr>
                    <w:pStyle w:val="Compact"/>
                    <w:jc w:val="right"/>
                    <w:jc w:val="center"/>
                  </w:pPr>
                  <w:r>
                    <w:t xml:space="preserve">12.17</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1.85</w:t>
                  </w:r>
                </w:p>
              </w:tc>
              <w:tc>
                <w:tcPr/>
                <w:p>
                  <w:pPr>
                    <w:pStyle w:val="Compact"/>
                    <w:jc w:val="right"/>
                    <w:jc w:val="center"/>
                  </w:pPr>
                  <w:r>
                    <w:t xml:space="preserve">1.44</w:t>
                  </w:r>
                </w:p>
              </w:tc>
              <w:tc>
                <w:tcPr/>
                <w:p>
                  <w:pPr>
                    <w:pStyle w:val="Compact"/>
                    <w:jc w:val="right"/>
                    <w:jc w:val="center"/>
                  </w:pPr>
                  <w:r>
                    <w:t xml:space="preserve">2.26</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11.67</w:t>
                  </w:r>
                </w:p>
              </w:tc>
              <w:tc>
                <w:tcPr/>
                <w:p>
                  <w:pPr>
                    <w:pStyle w:val="Compact"/>
                    <w:jc w:val="left"/>
                    <w:jc w:val="center"/>
                  </w:pPr>
                  <w:r>
                    <w:t xml:space="preserve">target unreachable (extrapolation beyond 2x sample)</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0.91</w:t>
                  </w:r>
                </w:p>
              </w:tc>
              <w:tc>
                <w:tcPr/>
                <w:p>
                  <w:pPr>
                    <w:pStyle w:val="Compact"/>
                    <w:jc w:val="right"/>
                    <w:jc w:val="center"/>
                  </w:pPr>
                  <w:r>
                    <w:t xml:space="preserve">1</w:t>
                  </w:r>
                </w:p>
              </w:tc>
              <w:tc>
                <w:tcPr/>
                <w:p>
                  <w:pPr>
                    <w:pStyle w:val="Compact"/>
                    <w:jc w:val="right"/>
                    <w:jc w:val="center"/>
                  </w:pPr>
                  <w:r>
                    <w:t xml:space="preserve">1.76</w:t>
                  </w:r>
                </w:p>
              </w:tc>
              <w:tc>
                <w:tcPr/>
                <w:p>
                  <w:pPr>
                    <w:pStyle w:val="Compact"/>
                    <w:jc w:val="right"/>
                    <w:jc w:val="center"/>
                  </w:pPr>
                  <w:r>
                    <w:t xml:space="preserve">1.57</w:t>
                  </w:r>
                </w:p>
              </w:tc>
              <w:tc>
                <w:tcPr/>
                <w:p>
                  <w:pPr>
                    <w:pStyle w:val="Compact"/>
                    <w:jc w:val="right"/>
                    <w:jc w:val="center"/>
                  </w:pPr>
                  <w:r>
                    <w:t xml:space="preserve">1.95</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c>
                <w:tcPr/>
                <w:p>
                  <w:pPr>
                    <w:pStyle w:val="Compact"/>
                    <w:jc w:val="right"/>
                    <w:jc w:val="center"/>
                  </w:pPr>
                  <w:r>
                    <w:t xml:space="preserve">8</w:t>
                  </w:r>
                </w:p>
              </w:tc>
              <w:tc>
                <w:tcPr/>
                <w:p>
                  <w:pPr>
                    <w:pStyle w:val="Compact"/>
                    <w:jc w:val="right"/>
                    <w:jc w:val="center"/>
                  </w:pPr>
                  <w:r>
                    <w:t xml:space="preserve">0.69</w:t>
                  </w:r>
                </w:p>
              </w:tc>
              <w:tc>
                <w:tcPr/>
                <w:p>
                  <w:pPr>
                    <w:pStyle w:val="Compact"/>
                    <w:jc w:val="right"/>
                    <w:jc w:val="center"/>
                  </w:pPr>
                  <w:r>
                    <w:t xml:space="preserve">0.60</w:t>
                  </w:r>
                </w:p>
              </w:tc>
              <w:tc>
                <w:tcPr/>
                <w:p>
                  <w:pPr>
                    <w:pStyle w:val="Compact"/>
                    <w:jc w:val="right"/>
                    <w:jc w:val="center"/>
                  </w:pPr>
                  <w:r>
                    <w:t xml:space="preserve">1</w:t>
                  </w:r>
                </w:p>
              </w:tc>
              <w:tc>
                <w:tcPr/>
                <w:p>
                  <w:pPr>
                    <w:pStyle w:val="Compact"/>
                    <w:jc w:val="right"/>
                    <w:jc w:val="center"/>
                  </w:pPr>
                  <w:r>
                    <w:t xml:space="preserve">9.57</w:t>
                  </w:r>
                </w:p>
              </w:tc>
              <w:tc>
                <w:tcPr/>
                <w:p>
                  <w:pPr>
                    <w:pStyle w:val="Compact"/>
                    <w:jc w:val="right"/>
                    <w:jc w:val="center"/>
                  </w:pPr>
                  <w:r>
                    <w:t xml:space="preserve">2.09</w:t>
                  </w:r>
                </w:p>
              </w:tc>
              <w:tc>
                <w:tcPr/>
                <w:p>
                  <w:pPr>
                    <w:pStyle w:val="Compact"/>
                    <w:jc w:val="right"/>
                    <w:jc w:val="center"/>
                  </w:pPr>
                  <w:r>
                    <w:t xml:space="preserve">17.05</w:t>
                  </w:r>
                </w:p>
              </w:tc>
              <w:tc>
                <w:tcPr/>
                <w:p>
                  <w:pPr>
                    <w:pStyle w:val="Compact"/>
                    <w:jc w:val="right"/>
                    <w:jc w:val="center"/>
                  </w:pPr>
                  <w:r>
                    <w:t xml:space="preserve">11.67</w:t>
                  </w:r>
                </w:p>
              </w:tc>
              <w:tc>
                <w:tcPr/>
                <w:p>
                  <w:pPr>
                    <w:pStyle w:val="Compact"/>
                    <w:jc w:val="left"/>
                    <w:jc w:val="center"/>
                  </w:pPr>
                  <w:r>
                    <w:t xml:space="preserve">iNEXT incidence_raw (Extrapolation)</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bl>
          <w:p>
            <w:pPr>
              <w:jc w:val="center"/>
            </w:pPr>
            <w:pPr>
              <w:jc w:val="start"/>
              <w:spacing w:before="200"/>
              <w:pStyle w:val="ImageCaption"/>
            </w:pPr>
            <w:r>
              <w:t xml:space="preserve">Table S 40: Coverage-based rarefaction per site. richness_full is the observed number of sign types; coverage_chao is Chao and Jost’s analytic sample-coverage estimate at the full sample with 95% bootstrap interval; richness_at_target is the iNEXT incidence_raw richness estimate at target coverage = 0.9 with 95% interval. Sites that never reach the target coverage are reported as NA with the reason in at_target_method, and carry a Chao2 asymptotic-richness estimate with interval as a fallback quantity.</w:t>
            </w:r>
          </w:p>
          <w:bookmarkEnd w:id="205"/>
        </w:tc>
      </w:tr>
    </w:tbl>
    <w:tbl>
      <w:tblPr>
        <w:tblStyle w:val="Table"/>
        <w:tblW w:type="pct" w:w="5000"/>
        <w:tblLook w:firstRow="0" w:lastRow="0" w:firstColumn="0" w:lastColumn="0" w:noHBand="0" w:noVBand="0" w:val="0000"/>
        <w:jc w:val="start"/>
        <w:tblLayout w:type="fixed"/>
      </w:tblPr>
      <w:tblGrid>
        <w:gridCol w:w="7920"/>
      </w:tblGrid>
      <w:tr>
        <w:tc>
          <w:tcPr/>
          <w:bookmarkStart w:id="209" w:name="fig-rarefaction"/>
          <w:p>
            <w:pPr>
              <w:pStyle w:val="Compact"/>
              <w:jc w:val="center"/>
            </w:pPr>
            <w:r>
              <w:drawing>
                <wp:inline>
                  <wp:extent cx="5943600" cy="3396342"/>
                  <wp:effectExtent b="0" l="0" r="0" t="0"/>
                  <wp:docPr descr="" title="" id="207" name="Picture"/>
                  <a:graphic>
                    <a:graphicData uri="http://schemas.openxmlformats.org/drawingml/2006/picture">
                      <pic:pic>
                        <pic:nvPicPr>
                          <pic:cNvPr descr="S1-supplement-sensitivity_files/figure-docx/fig-rarefaction-1.png" id="208" name="Picture"/>
                          <pic:cNvPicPr>
                            <a:picLocks noChangeArrowheads="1" noChangeAspect="1"/>
                          </pic:cNvPicPr>
                        </pic:nvPicPr>
                        <pic:blipFill>
                          <a:blip r:embed="rId206"/>
                          <a:stretch>
                            <a:fillRect/>
                          </a:stretch>
                        </pic:blipFill>
                        <pic:spPr bwMode="auto">
                          <a:xfrm>
                            <a:off x="0" y="0"/>
                            <a:ext cx="5943600" cy="33963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12: Sign-type richness estimated at target coverage = 0.9 with 95% confidence intervals, by manual group, for sites that reach that coverage. Restricted sites (green) that attain high coverage remain low-richness; broad sites (red) remain high-richness.</w:t>
            </w:r>
          </w:p>
          <w:bookmarkEnd w:id="209"/>
        </w:tc>
      </w:tr>
    </w:tbl>
    <w:bookmarkEnd w:id="210"/>
    <w:bookmarkStart w:id="211" w:name="interpretation-11"/>
    <w:p>
      <w:pPr>
        <w:pStyle w:val="Heading3"/>
      </w:pPr>
      <w:r>
        <w:t xml:space="preserve">Interpretation</w:t>
      </w:r>
    </w:p>
    <w:p>
      <w:pPr>
        <w:pStyle w:val="FirstParagraph"/>
      </w:pPr>
      <w:r>
        <w:rPr>
          <w:bCs/>
          <w:b/>
        </w:rPr>
        <w:t xml:space="preserve">Question: at equal sample coverage, do restricted and broad sites still differ in sign-type richness?</w:t>
      </w:r>
      <w:r>
        <w:t xml:space="preserve"> </w:t>
      </w:r>
      <w:r>
        <w:t xml:space="preserve">Only a subset of sites can be assessed. In Aur-P1, 11 of 20 sites reach coverage 0.9; in Aur-P2 only 4 of 9 do. Among the Aur-P1 sites that do reach the target, restricted sites remain low-richness (mean 1.67 sign types) while broad sites remain high-richness (mean 9.32), a difference that persists at equal coverage (Wilcoxon p = 0.006). For Aur-P2 only 4 of 9 sites reach the target (2 broad, 2 restricted), too few for a reliable group comparison (Wilcoxon p = 0.333).</w:t>
      </w:r>
    </w:p>
    <w:p>
      <w:pPr>
        <w:pStyle w:val="BodyText"/>
      </w:pPr>
      <w:r>
        <w:rPr>
          <w:bCs/>
          <w:b/>
        </w:rPr>
        <w:t xml:space="preserve">Answer:</w:t>
      </w:r>
      <w:r>
        <w:t xml:space="preserve"> </w:t>
      </w:r>
      <w:r>
        <w:t xml:space="preserve">at equal coverage the broad/restricted richness contrast is preserved</w:t>
      </w:r>
      <w:r>
        <w:t xml:space="preserve"> </w:t>
      </w:r>
      <w:r>
        <w:rPr>
          <w:iCs/>
          <w:i/>
        </w:rPr>
        <w:t xml:space="preserve">among the sites that can be evaluated</w:t>
      </w:r>
      <w:r>
        <w:t xml:space="preserve"> </w:t>
      </w:r>
      <w:r>
        <w:t xml:space="preserve">— it is not removed by standardising on completeness — but the majority of the smallest sites never attain the target coverage and therefore cannot be placed on a common coverage footing at all. Coverage-based rarefaction is consequently unreliable for the smallest assemblages: it can compare well-sampled sites, but it cannot rescue the assignment of sites with only one or two objects, for which the table reports Chao coverage and Chao2 fallback quantities instead. This is the same limitation encountered in</w:t>
      </w:r>
      <w:r>
        <w:t xml:space="preserve"> </w:t>
      </w:r>
      <w:r>
        <w:t xml:space="preserve">Section S1.12.2</w:t>
      </w:r>
      <w:r>
        <w:t xml:space="preserve">, approached from the richness axis.</w:t>
      </w:r>
    </w:p>
    <w:bookmarkEnd w:id="211"/>
    <w:bookmarkEnd w:id="212"/>
    <w:bookmarkStart w:id="216" w:name="sec-s12-4"/>
    <w:p>
      <w:pPr>
        <w:pStyle w:val="Heading2"/>
      </w:pPr>
      <w:r>
        <w:t xml:space="preserve">S1.12.4 Negative-binomial regression with object-count covariate</w:t>
      </w:r>
    </w:p>
    <w:bookmarkStart w:id="214" w:name="rationale-20"/>
    <w:p>
      <w:pPr>
        <w:pStyle w:val="Heading3"/>
      </w:pPr>
      <w:r>
        <w:t xml:space="preserve">Rationale</w:t>
      </w:r>
    </w:p>
    <w:p>
      <w:pPr>
        <w:pStyle w:val="FirstParagraph"/>
      </w:pPr>
      <w:r>
        <w:t xml:space="preserve">The two resampling approaches above ask whether the</w:t>
      </w:r>
      <w:r>
        <w:t xml:space="preserve"> </w:t>
      </w:r>
      <w:r>
        <w:rPr>
          <w:iCs/>
          <w:i/>
        </w:rPr>
        <w:t xml:space="preserve">partition</w:t>
      </w:r>
      <w:r>
        <w:t xml:space="preserve"> </w:t>
      </w:r>
      <w:r>
        <w:t xml:space="preserve">and the</w:t>
      </w:r>
      <w:r>
        <w:t xml:space="preserve"> </w:t>
      </w:r>
      <w:r>
        <w:rPr>
          <w:iCs/>
          <w:i/>
        </w:rPr>
        <w:t xml:space="preserve">richness</w:t>
      </w:r>
      <w:r>
        <w:t xml:space="preserve"> </w:t>
      </w:r>
      <w:r>
        <w:t xml:space="preserve">survive downsampling. We also ask whether group predicts sign-type richness once sampling effort is held constant. Entering</w:t>
      </w:r>
      <w:r>
        <w:t xml:space="preserve"> </w:t>
      </w:r>
      <w:r>
        <w:rPr>
          <w:rStyle w:val="VerbatimChar"/>
        </w:rPr>
        <w:t xml:space="preserve">log(object count)</w:t>
      </w:r>
      <w:r>
        <w:t xml:space="preserve"> </w:t>
      </w:r>
      <w:r>
        <w:t xml:space="preserve">as an</w:t>
      </w:r>
      <w:r>
        <w:t xml:space="preserve"> </w:t>
      </w:r>
      <w:r>
        <w:rPr>
          <w:bCs/>
          <w:b/>
        </w:rPr>
        <w:t xml:space="preserve">offset</w:t>
      </w:r>
      <w:r>
        <w:t xml:space="preserve"> </w:t>
      </w:r>
      <w:r>
        <w:t xml:space="preserve">(the exposure term) fixes the richness-effort exponent at 1, which assumes sign-type richness grows in proportion to the number of objects; richness instead saturates with effort</w:t>
      </w:r>
      <w:r>
        <w:t xml:space="preserve"> </w:t>
      </w:r>
      <w:r>
        <w:t xml:space="preserve">[24]</w:t>
      </w:r>
      <w:r>
        <w:t xml:space="preserve">, so under an offset a site with 1 object and 1 sign type has a</w:t>
      </w:r>
      <w:r>
        <w:t xml:space="preserve"> </w:t>
      </w:r>
      <w:r>
        <w:t xml:space="preserve">“</w:t>
      </w:r>
      <w:r>
        <w:t xml:space="preserve">rate</w:t>
      </w:r>
      <w:r>
        <w:t xml:space="preserve">”</w:t>
      </w:r>
      <w:r>
        <w:t xml:space="preserve"> </w:t>
      </w:r>
      <w:r>
        <w:t xml:space="preserve">of 1.0 while Vogelherd (173 objects, 17 types) has a rate of 0.1, biasing the contrast against the large broad-group sites. We therefore fit two negative-binomial regressions</w:t>
      </w:r>
      <w:r>
        <w:t xml:space="preserve"> </w:t>
      </w:r>
      <w:r>
        <w:t xml:space="preserve">[26]</w:t>
      </w:r>
      <w:r>
        <w:t xml:space="preserve"> </w:t>
      </w:r>
      <w:r>
        <w:t xml:space="preserve">of per-site sign-type richness with the manual group and phase as predictors: (i) the offset specification, and (ii) a free-slope specification with</w:t>
      </w:r>
      <w:r>
        <w:t xml:space="preserve"> </w:t>
      </w:r>
      <w:r>
        <w:rPr>
          <w:rStyle w:val="VerbatimChar"/>
        </w:rPr>
        <w:t xml:space="preserve">log(object count)</w:t>
      </w:r>
      <w:r>
        <w:t xml:space="preserve"> </w:t>
      </w:r>
      <w:r>
        <w:t xml:space="preserve">as a covariate, which estimates the exponent with its interval:</w:t>
      </w:r>
    </w:p>
    <w:p>
      <w:pPr>
        <w:pStyle w:val="BodyText"/>
      </w:pPr>
      <m:oMathPara>
        <m:oMathParaPr>
          <m:jc m:val="center"/>
        </m:oMathParaPr>
        <m:oMath>
          <m:sSub>
            <m:e>
              <m:r>
                <m:rPr>
                  <m:nor/>
                  <m:sty m:val="p"/>
                </m:rPr>
                <m:t>richness</m:t>
              </m:r>
            </m:e>
            <m:sub>
              <m:r>
                <m:t>i</m:t>
              </m:r>
            </m:sub>
          </m:sSub>
          <m:r>
            <m:rPr>
              <m:sty m:val="p"/>
            </m:rPr>
            <m:t>∼</m:t>
          </m:r>
          <m:r>
            <m:rPr>
              <m:nor/>
              <m:sty m:val="p"/>
            </m:rPr>
            <m:t>NegativeBinomial</m:t>
          </m:r>
          <m:d>
            <m:dPr>
              <m:begChr m:val="("/>
              <m:endChr m:val=")"/>
              <m:sepChr m:val=""/>
              <m:grow/>
            </m:dPr>
            <m:e>
              <m:r>
                <m:rPr>
                  <m:sty m:val="p"/>
                </m:rPr>
                <m:t>exp</m:t>
              </m:r>
              <m:d>
                <m:dPr>
                  <m:begChr m:val="("/>
                  <m:endChr m:val=")"/>
                  <m:sepChr m:val=""/>
                  <m:grow/>
                </m:dPr>
                <m:e>
                  <m:sSub>
                    <m:e>
                      <m:r>
                        <m:t>β</m:t>
                      </m:r>
                    </m:e>
                    <m:sub>
                      <m:r>
                        <m:t>0</m:t>
                      </m:r>
                    </m:sub>
                  </m:sSub>
                  <m:r>
                    <m:rPr>
                      <m:sty m:val="p"/>
                    </m:rPr>
                    <m:t>+</m:t>
                  </m:r>
                  <m:sSub>
                    <m:e>
                      <m:r>
                        <m:t>β</m:t>
                      </m:r>
                    </m:e>
                    <m:sub>
                      <m:r>
                        <m:t>1</m:t>
                      </m:r>
                    </m:sub>
                  </m:sSub>
                  <m:sSub>
                    <m:e>
                      <m:r>
                        <m:rPr>
                          <m:nor/>
                          <m:sty m:val="p"/>
                        </m:rPr>
                        <m:t>group</m:t>
                      </m:r>
                    </m:e>
                    <m:sub>
                      <m:r>
                        <m:t>i</m:t>
                      </m:r>
                    </m:sub>
                  </m:sSub>
                  <m:r>
                    <m:rPr>
                      <m:sty m:val="p"/>
                    </m:rPr>
                    <m:t>+</m:t>
                  </m:r>
                  <m:sSub>
                    <m:e>
                      <m:r>
                        <m:t>β</m:t>
                      </m:r>
                    </m:e>
                    <m:sub>
                      <m:r>
                        <m:t>2</m:t>
                      </m:r>
                    </m:sub>
                  </m:sSub>
                  <m:sSub>
                    <m:e>
                      <m:r>
                        <m:rPr>
                          <m:nor/>
                          <m:sty m:val="p"/>
                        </m:rPr>
                        <m:t>phase</m:t>
                      </m:r>
                    </m:e>
                    <m:sub>
                      <m:r>
                        <m:t>i</m:t>
                      </m:r>
                    </m:sub>
                  </m:sSub>
                  <m:r>
                    <m:rPr>
                      <m:sty m:val="p"/>
                    </m:rPr>
                    <m:t>+</m:t>
                  </m:r>
                  <m:sSub>
                    <m:e>
                      <m:r>
                        <m:t>β</m:t>
                      </m:r>
                    </m:e>
                    <m:sub>
                      <m:r>
                        <m:t>3</m:t>
                      </m:r>
                    </m:sub>
                  </m:sSub>
                  <m:r>
                    <m:rPr>
                      <m:sty m:val="p"/>
                    </m:rPr>
                    <m:t>log</m:t>
                  </m:r>
                  <m:d>
                    <m:dPr>
                      <m:begChr m:val="("/>
                      <m:endChr m:val=")"/>
                      <m:sepChr m:val=""/>
                      <m:grow/>
                    </m:dPr>
                    <m:e>
                      <m:sSub>
                        <m:e>
                          <m:r>
                            <m:rPr>
                              <m:nor/>
                              <m:sty m:val="p"/>
                            </m:rPr>
                            <m:t>objects</m:t>
                          </m:r>
                        </m:e>
                        <m:sub>
                          <m:r>
                            <m:t>i</m:t>
                          </m:r>
                        </m:sub>
                      </m:sSub>
                    </m:e>
                  </m:d>
                </m:e>
              </m:d>
            </m:e>
          </m:d>
          <m:r>
            <m:rPr>
              <m:sty m:val="p"/>
            </m:rPr>
            <m:t>.</m:t>
          </m:r>
        </m:oMath>
      </m:oMathPara>
    </w:p>
    <w:p>
      <w:pPr>
        <w:pStyle w:val="FirstParagraph"/>
      </w:pPr>
      <w:r>
        <w:rPr>
          <w:bCs/>
          <w:b/>
        </w:rPr>
        <w:t xml:space="preserve">Question this analysis answers:</w:t>
      </w:r>
      <w:r>
        <w:t xml:space="preserve"> </w:t>
      </w:r>
      <w:r>
        <w:t xml:space="preserve">does the group effect on sign-type richness survive after accounting for sampling effort (object count)?</w:t>
      </w:r>
    </w:p>
    <w:tbl>
      <w:tblPr>
        <w:tblStyle w:val="Table"/>
        <w:tblW w:type="pct" w:w="5000"/>
        <w:tblLook w:firstRow="0" w:lastRow="0" w:firstColumn="0" w:lastColumn="0" w:noHBand="0" w:noVBand="0" w:val="0000"/>
        <w:jc w:val="start"/>
        <w:tblLayout w:type="fixed"/>
      </w:tblPr>
      <w:tblGrid>
        <w:gridCol w:w="7920"/>
      </w:tblGrid>
      <w:tr>
        <w:tc>
          <w:tcPr/>
          <w:bookmarkStart w:id="213" w:name="tbl-mixed-nb"/>
          <w:tbl>
            <w:tblPr>
              <w:tblStyle w:val="Table"/>
              <w:tblW w:type="pct" w:w="5000"/>
              <w:tblLook w:firstRow="1" w:lastRow="0" w:firstColumn="0" w:lastColumn="0" w:noHBand="0" w:noVBand="0" w:val="0020"/>
              <w:jc w:val="start"/>
              <w:tblLayout w:type="fixed"/>
            </w:tblPr>
            <w:tblGrid>
              <w:gridCol w:w="2554"/>
              <w:gridCol w:w="1149"/>
              <w:gridCol w:w="1277"/>
              <w:gridCol w:w="1405"/>
              <w:gridCol w:w="1532"/>
            </w:tblGrid>
            <w:tr>
              <w:trPr>
                <w:tblHeader w:val="true"/>
              </w:trPr>
              <w:tc>
                <w:tcPr/>
                <w:p>
                  <w:pPr>
                    <w:pStyle w:val="Compact"/>
                    <w:jc w:val="left"/>
                    <w:jc w:val="center"/>
                  </w:pPr>
                  <w:r>
                    <w:t xml:space="preserve">Term</w:t>
                  </w:r>
                </w:p>
              </w:tc>
              <w:tc>
                <w:tcPr/>
                <w:p>
                  <w:pPr>
                    <w:pStyle w:val="Compact"/>
                    <w:jc w:val="right"/>
                    <w:jc w:val="center"/>
                  </w:pPr>
                  <w:r>
                    <w:t xml:space="preserve">log-rate (offset)</w:t>
                  </w:r>
                </w:p>
              </w:tc>
              <w:tc>
                <w:tcPr/>
                <w:p>
                  <w:pPr>
                    <w:pStyle w:val="Compact"/>
                    <w:jc w:val="right"/>
                    <w:jc w:val="center"/>
                  </w:pPr>
                  <w:r>
                    <w:t xml:space="preserve">rate ratio (offset)</w:t>
                  </w:r>
                </w:p>
              </w:tc>
              <w:tc>
                <w:tcPr/>
                <w:p>
                  <w:pPr>
                    <w:pStyle w:val="Compact"/>
                    <w:jc w:val="right"/>
                    <w:jc w:val="center"/>
                  </w:pPr>
                  <w:r>
                    <w:t xml:space="preserve">log-rate (free slope)</w:t>
                  </w:r>
                </w:p>
              </w:tc>
              <w:tc>
                <w:tcPr/>
                <w:p>
                  <w:pPr>
                    <w:pStyle w:val="Compact"/>
                    <w:jc w:val="right"/>
                    <w:jc w:val="center"/>
                  </w:pPr>
                  <w:r>
                    <w:t xml:space="preserve">rate ratio (free slope)</w:t>
                  </w:r>
                </w:p>
              </w:tc>
            </w:tr>
            <w:tr>
              <w:tc>
                <w:tcPr/>
                <w:p>
                  <w:pPr>
                    <w:pStyle w:val="Compact"/>
                    <w:jc w:val="left"/>
                    <w:jc w:val="center"/>
                  </w:pPr>
                  <w:r>
                    <w:t xml:space="preserve">Intercept</w:t>
                  </w:r>
                </w:p>
              </w:tc>
              <w:tc>
                <w:tcPr/>
                <w:p>
                  <w:pPr>
                    <w:pStyle w:val="Compact"/>
                    <w:jc w:val="right"/>
                    <w:jc w:val="center"/>
                  </w:pPr>
                  <w:r>
                    <w:t xml:space="preserve">-0.455</w:t>
                  </w:r>
                </w:p>
              </w:tc>
              <w:tc>
                <w:tcPr/>
                <w:p>
                  <w:pPr>
                    <w:pStyle w:val="Compact"/>
                    <w:jc w:val="right"/>
                    <w:jc w:val="center"/>
                  </w:pPr>
                  <w:r>
                    <w:t xml:space="preserve">0.635</w:t>
                  </w:r>
                </w:p>
              </w:tc>
              <w:tc>
                <w:tcPr/>
                <w:p>
                  <w:pPr>
                    <w:pStyle w:val="Compact"/>
                    <w:jc w:val="right"/>
                    <w:jc w:val="center"/>
                  </w:pPr>
                  <w:r>
                    <w:t xml:space="preserve">0.085</w:t>
                  </w:r>
                </w:p>
              </w:tc>
              <w:tc>
                <w:tcPr/>
                <w:p>
                  <w:pPr>
                    <w:pStyle w:val="Compact"/>
                    <w:jc w:val="right"/>
                    <w:jc w:val="center"/>
                  </w:pPr>
                  <w:r>
                    <w:t xml:space="preserve">1.089</w:t>
                  </w:r>
                </w:p>
              </w:tc>
            </w:tr>
            <w:tr>
              <w:tc>
                <w:tcPr/>
                <w:p>
                  <w:pPr>
                    <w:pStyle w:val="Compact"/>
                    <w:jc w:val="left"/>
                    <w:jc w:val="center"/>
                  </w:pPr>
                  <w:r>
                    <w:t xml:space="preserve">Group (broad vs restricted)</w:t>
                  </w:r>
                </w:p>
              </w:tc>
              <w:tc>
                <w:tcPr/>
                <w:p>
                  <w:pPr>
                    <w:pStyle w:val="Compact"/>
                    <w:jc w:val="right"/>
                    <w:jc w:val="center"/>
                  </w:pPr>
                  <w:r>
                    <w:t xml:space="preserve">-0.329</w:t>
                  </w:r>
                </w:p>
              </w:tc>
              <w:tc>
                <w:tcPr/>
                <w:p>
                  <w:pPr>
                    <w:pStyle w:val="Compact"/>
                    <w:jc w:val="right"/>
                    <w:jc w:val="center"/>
                  </w:pPr>
                  <w:r>
                    <w:t xml:space="preserve">0.720</w:t>
                  </w:r>
                </w:p>
              </w:tc>
              <w:tc>
                <w:tcPr/>
                <w:p>
                  <w:pPr>
                    <w:pStyle w:val="Compact"/>
                    <w:jc w:val="right"/>
                    <w:jc w:val="center"/>
                  </w:pPr>
                  <w:r>
                    <w:t xml:space="preserve">0.838</w:t>
                  </w:r>
                </w:p>
              </w:tc>
              <w:tc>
                <w:tcPr/>
                <w:p>
                  <w:pPr>
                    <w:pStyle w:val="Compact"/>
                    <w:jc w:val="right"/>
                    <w:jc w:val="center"/>
                  </w:pPr>
                  <w:r>
                    <w:t xml:space="preserve">2.311</w:t>
                  </w:r>
                </w:p>
              </w:tc>
            </w:tr>
            <w:tr>
              <w:tc>
                <w:tcPr/>
                <w:p>
                  <w:pPr>
                    <w:pStyle w:val="Compact"/>
                    <w:jc w:val="left"/>
                    <w:jc w:val="center"/>
                  </w:pPr>
                  <w:r>
                    <w:t xml:space="preserve">Phase (Aur-P2 vs Aur-P1)</w:t>
                  </w:r>
                </w:p>
              </w:tc>
              <w:tc>
                <w:tcPr/>
                <w:p>
                  <w:pPr>
                    <w:pStyle w:val="Compact"/>
                    <w:jc w:val="right"/>
                    <w:jc w:val="center"/>
                  </w:pPr>
                  <w:r>
                    <w:t xml:space="preserve">0.238</w:t>
                  </w:r>
                </w:p>
              </w:tc>
              <w:tc>
                <w:tcPr/>
                <w:p>
                  <w:pPr>
                    <w:pStyle w:val="Compact"/>
                    <w:jc w:val="right"/>
                    <w:jc w:val="center"/>
                  </w:pPr>
                  <w:r>
                    <w:t xml:space="preserve">1.269</w:t>
                  </w:r>
                </w:p>
              </w:tc>
              <w:tc>
                <w:tcPr/>
                <w:p>
                  <w:pPr>
                    <w:pStyle w:val="Compact"/>
                    <w:jc w:val="right"/>
                    <w:jc w:val="center"/>
                  </w:pPr>
                  <w:r>
                    <w:t xml:space="preserve">0.130</w:t>
                  </w:r>
                </w:p>
              </w:tc>
              <w:tc>
                <w:tcPr/>
                <w:p>
                  <w:pPr>
                    <w:pStyle w:val="Compact"/>
                    <w:jc w:val="right"/>
                    <w:jc w:val="center"/>
                  </w:pPr>
                  <w:r>
                    <w:t xml:space="preserve">1.139</w:t>
                  </w:r>
                </w:p>
              </w:tc>
            </w:tr>
            <w:tr>
              <w:tc>
                <w:tcPr/>
                <w:p>
                  <w:pPr>
                    <w:pStyle w:val="Compact"/>
                    <w:jc w:val="left"/>
                    <w:jc w:val="center"/>
                  </w:pPr>
                  <w:r>
                    <w:t xml:space="preserve">log(objects) exponent (free-slope only)</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0.377</w:t>
                  </w:r>
                </w:p>
              </w:tc>
              <w:tc>
                <w:tcPr/>
                <w:p>
                  <w:pPr>
                    <w:pStyle w:val="Compact"/>
                    <w:jc w:val="right"/>
                    <w:jc w:val="center"/>
                  </w:pPr>
                  <w:r>
                    <w:t xml:space="preserve">1.459</w:t>
                  </w:r>
                </w:p>
              </w:tc>
            </w:tr>
          </w:tbl>
          <w:p>
            <w:pPr>
              <w:jc w:val="center"/>
            </w:pPr>
            <w:pPr>
              <w:jc w:val="start"/>
              <w:spacing w:before="200"/>
              <w:pStyle w:val="ImageCaption"/>
            </w:pPr>
            <w:r>
              <w:t xml:space="preserve">Table S 41: Negative-binomial regressions of per-site sign-type richness: offset specification (richness-effort exponent fixed at 1) versus free-slope specification (exponent estimated). A non-significant group coefficient under the offset does not by itself show the richness gap is explained by object count, because the fixed exponent mis-specifies the saturating richness-effort relationship.</w:t>
            </w:r>
          </w:p>
          <w:bookmarkEnd w:id="213"/>
        </w:tc>
      </w:tr>
    </w:tbl>
    <w:bookmarkEnd w:id="214"/>
    <w:bookmarkStart w:id="215" w:name="interpretation-12"/>
    <w:p>
      <w:pPr>
        <w:pStyle w:val="Heading3"/>
      </w:pPr>
      <w:r>
        <w:t xml:space="preserve">Interpretation</w:t>
      </w:r>
    </w:p>
    <w:p>
      <w:pPr>
        <w:pStyle w:val="FirstParagraph"/>
      </w:pPr>
      <w:r>
        <w:rPr>
          <w:bCs/>
          <w:b/>
        </w:rPr>
        <w:t xml:space="preserve">Question: does the group effect on sign-type richness survive after accounting for sampling effort?</w:t>
      </w:r>
      <w:r>
        <w:t xml:space="preserve"> </w:t>
      </w:r>
      <w:r>
        <w:t xml:space="preserve">The answer depends on the specification, which is itself the finding. Under the offset specification the group coefficient is -0.329 (rate ratio 0.72, p = 0.292), i.e. non-significant and even slightly</w:t>
      </w:r>
      <w:r>
        <w:t xml:space="preserve"> </w:t>
      </w:r>
      <w:r>
        <w:rPr>
          <w:iCs/>
          <w:i/>
        </w:rPr>
        <w:t xml:space="preserve">negative</w:t>
      </w:r>
      <w:r>
        <w:t xml:space="preserve">. Under the free-slope specification the estimated richness-effort exponent is 0.377 (95% CI 0.228–0.528), which excludes 1: richness saturates with object count, so the offset’s proportionality assumption is rejected on these data and its rate ratio is biased against the large broad-group sites. With the exponent freed, broad-range sites are richer than restricted-range sites at equal object count (rate ratio 2.311, p = 0.003). This reversal shows the offset-based</w:t>
      </w:r>
      <w:r>
        <w:t xml:space="preserve"> </w:t>
      </w:r>
      <w:r>
        <w:t xml:space="preserve">“</w:t>
      </w:r>
      <w:r>
        <w:t xml:space="preserve">sampling-effort artefact</w:t>
      </w:r>
      <w:r>
        <w:t xml:space="preserve">”</w:t>
      </w:r>
      <w:r>
        <w:t xml:space="preserve"> </w:t>
      </w:r>
      <w:r>
        <w:t xml:space="preserve">reading was a property of the mis-specified model, not of the data, and it agrees with</w:t>
      </w:r>
      <w:r>
        <w:t xml:space="preserve"> </w:t>
      </w:r>
      <w:r>
        <w:t xml:space="preserve">Section S1.12.3</w:t>
      </w:r>
      <w:r>
        <w:t xml:space="preserve">, where the contrast persists among the sites assessable at equal coverage.</w:t>
      </w:r>
      <w:r>
        <w:t xml:space="preserve"> </w:t>
      </w:r>
      <w:r>
        <w:rPr>
          <w:bCs/>
          <w:b/>
        </w:rPr>
        <w:t xml:space="preserve">Caveat:</w:t>
      </w:r>
      <w:r>
        <w:t xml:space="preserve"> </w:t>
      </w:r>
      <w:r>
        <w:t xml:space="preserve">the free-slope fit has three predictors on 29 site-phase units with group strongly collinear with object count, and the dispersion fit reached its iteration limit, so its intervals are approximate; it is reported as a corrected specification, not a precise effect estimate.</w:t>
      </w:r>
      <w:r>
        <w:t xml:space="preserve"> </w:t>
      </w:r>
      <w:r>
        <w:rPr>
          <w:bCs/>
          <w:b/>
        </w:rPr>
        <w:t xml:space="preserve">Answer:</w:t>
      </w:r>
      <w:r>
        <w:t xml:space="preserve"> </w:t>
      </w:r>
      <w:r>
        <w:t xml:space="preserve">the raw richness gap is not distinguishable from a genuine group difference once saturating sampling effort is accounted for; a non-significant offset coefficient cannot be read as positive evidence that effort explains the gap.</w:t>
      </w:r>
    </w:p>
    <w:bookmarkEnd w:id="215"/>
    <w:bookmarkEnd w:id="216"/>
    <w:bookmarkStart w:id="224" w:name="sec-s12-5"/>
    <w:p>
      <w:pPr>
        <w:pStyle w:val="Heading2"/>
      </w:pPr>
      <w:r>
        <w:t xml:space="preserve">S1.12.5 Equal-effort pool comparison (iNEXT)</w:t>
      </w:r>
    </w:p>
    <w:bookmarkStart w:id="222" w:name="rationale-21"/>
    <w:p>
      <w:pPr>
        <w:pStyle w:val="Heading3"/>
      </w:pPr>
      <w:r>
        <w:t xml:space="preserve">Rationale</w:t>
      </w:r>
    </w:p>
    <w:p>
      <w:pPr>
        <w:pStyle w:val="FirstParagraph"/>
      </w:pPr>
      <w:r>
        <w:t xml:space="preserve">The Conclusion states that the sign-type pool contracts from Aur-P1 (26 types) to Aur-P2 (15 types), consistent with cultural drift in small populations. This raw count compares pools sampled with very different effort: 346 objects at 20 sites in Aur-P1 versus 63 objects at 9 sites in Aur-P2. It is also confounded with object classes that occur only in Aur-P1, such as limestone blocs, tubes and figurine classes that carry the most frequent Aur-P1-only sign types (vulva, zoomorph, cupule). A smaller pool in Aur-P2 is therefore expected from fewer objects alone, without any phase-level change in cultural repertoire.</w:t>
      </w:r>
    </w:p>
    <w:p>
      <w:pPr>
        <w:pStyle w:val="BodyText"/>
      </w:pPr>
      <w:r>
        <w:t xml:space="preserve">We test the contraction at equal effort with incidence-based rarefaction and extrapolation using</w:t>
      </w:r>
      <w:r>
        <w:t xml:space="preserve"> </w:t>
      </w:r>
      <w:r>
        <w:rPr>
          <w:rStyle w:val="VerbatimChar"/>
        </w:rPr>
        <w:t xml:space="preserve">iNEXT</w:t>
      </w:r>
      <w:r>
        <w:t xml:space="preserve"> </w:t>
      </w:r>
      <w:r>
        <w:t xml:space="preserve">[23,25]</w:t>
      </w:r>
      <w:r>
        <w:t xml:space="preserve">. Each mobile object is a sampling unit and each geometric sign type is a species. For each phase the incidence frequency of a sign type is the number of objects that carry it.</w:t>
      </w:r>
      <w:r>
        <w:t xml:space="preserve"> </w:t>
      </w:r>
      <w:r>
        <w:rPr>
          <w:rStyle w:val="VerbatimChar"/>
        </w:rPr>
        <w:t xml:space="preserve">iNEXT</w:t>
      </w:r>
      <w:r>
        <w:t xml:space="preserve"> </w:t>
      </w:r>
      <w:r>
        <w:t xml:space="preserve">with</w:t>
      </w:r>
      <w:r>
        <w:t xml:space="preserve"> </w:t>
      </w:r>
      <w:r>
        <w:rPr>
          <w:rStyle w:val="VerbatimChar"/>
        </w:rPr>
        <w:t xml:space="preserve">datatype = "incidence_freq"</w:t>
      </w:r>
      <w:r>
        <w:t xml:space="preserve"> </w:t>
      </w:r>
      <w:r>
        <w:t xml:space="preserve">standardises richness by sample completeness and returns 95% confidence intervals from 200 bootstrap replicates. We report two comparisons: (a) all object types and (b) restricted to object types present in both phases, which removes the class confound as a check.</w:t>
      </w:r>
    </w:p>
    <w:p>
      <w:pPr>
        <w:pStyle w:val="BodyText"/>
      </w:pPr>
      <w:r>
        <w:rPr>
          <w:bCs/>
          <w:b/>
        </w:rPr>
        <w:t xml:space="preserve">Question this analysis answers:</w:t>
      </w:r>
      <w:r>
        <w:t xml:space="preserve"> </w:t>
      </w:r>
      <w:r>
        <w:t xml:space="preserve">at equal object count or equal coverage, does the Aur-P1 pool remain larger than the Aur-P2 pool, or is the raw 26 vs 15 difference not distinguishable from sampling variation?</w:t>
      </w:r>
    </w:p>
    <w:tbl>
      <w:tblPr>
        <w:tblStyle w:val="Table"/>
        <w:tblW w:type="pct" w:w="5000"/>
        <w:tblLook w:firstRow="0" w:lastRow="0" w:firstColumn="0" w:lastColumn="0" w:noHBand="0" w:noVBand="0" w:val="0000"/>
        <w:jc w:val="start"/>
        <w:tblLayout w:type="fixed"/>
      </w:tblPr>
      <w:tblGrid>
        <w:gridCol w:w="7920"/>
      </w:tblGrid>
      <w:tr>
        <w:tc>
          <w:tcPr/>
          <w:bookmarkStart w:id="217" w:name="tbl-pool-inext"/>
          <w:tbl>
            <w:tblPr>
              <w:tblStyle w:val="Table"/>
              <w:tblW w:type="pct" w:w="5000"/>
              <w:tblLook w:firstRow="1" w:lastRow="0" w:firstColumn="0" w:lastColumn="0" w:noHBand="0" w:noVBand="0" w:val="0020"/>
              <w:jc w:val="start"/>
              <w:tblLayout w:type="fixed"/>
            </w:tblPr>
            <w:tblGrid>
              <w:gridCol w:w="1952"/>
              <w:gridCol w:w="759"/>
              <w:gridCol w:w="1301"/>
              <w:gridCol w:w="1518"/>
              <w:gridCol w:w="542"/>
              <w:gridCol w:w="542"/>
              <w:gridCol w:w="1301"/>
            </w:tblGrid>
            <w:tr>
              <w:trPr>
                <w:tblHeader w:val="true"/>
              </w:trPr>
              <w:tc>
                <w:tcPr/>
                <w:p>
                  <w:pPr>
                    <w:pStyle w:val="Compact"/>
                    <w:jc w:val="left"/>
                    <w:jc w:val="center"/>
                  </w:pPr>
                  <w:r>
                    <w:t xml:space="preserve">Object-type set</w:t>
                  </w:r>
                </w:p>
              </w:tc>
              <w:tc>
                <w:tcPr/>
                <w:p>
                  <w:pPr>
                    <w:pStyle w:val="Compact"/>
                    <w:jc w:val="left"/>
                    <w:jc w:val="center"/>
                  </w:pPr>
                  <w:r>
                    <w:t xml:space="preserve">Phase</w:t>
                  </w:r>
                </w:p>
              </w:tc>
              <w:tc>
                <w:tcPr/>
                <w:p>
                  <w:pPr>
                    <w:pStyle w:val="Compact"/>
                    <w:jc w:val="right"/>
                    <w:jc w:val="center"/>
                  </w:pPr>
                  <w:r>
                    <w:t xml:space="preserve">m (objects)</w:t>
                  </w:r>
                </w:p>
              </w:tc>
              <w:tc>
                <w:tcPr/>
                <w:p>
                  <w:pPr>
                    <w:pStyle w:val="Compact"/>
                    <w:jc w:val="right"/>
                    <w:jc w:val="center"/>
                  </w:pPr>
                  <w:r>
                    <w:t xml:space="preserve">Richness (qD)</w:t>
                  </w:r>
                </w:p>
              </w:tc>
              <w:tc>
                <w:tcPr/>
                <w:p>
                  <w:pPr>
                    <w:pStyle w:val="Compact"/>
                    <w:jc w:val="right"/>
                    <w:jc w:val="center"/>
                  </w:pPr>
                  <w:r>
                    <w:t xml:space="preserve">LCL</w:t>
                  </w:r>
                </w:p>
              </w:tc>
              <w:tc>
                <w:tcPr/>
                <w:p>
                  <w:pPr>
                    <w:pStyle w:val="Compact"/>
                    <w:jc w:val="right"/>
                    <w:jc w:val="center"/>
                  </w:pPr>
                  <w:r>
                    <w:t xml:space="preserve">UCL</w:t>
                  </w:r>
                </w:p>
              </w:tc>
              <w:tc>
                <w:tcPr/>
                <w:p>
                  <w:pPr>
                    <w:pStyle w:val="Compact"/>
                    <w:jc w:val="left"/>
                    <w:jc w:val="center"/>
                  </w:pPr>
                  <w:r>
                    <w:t xml:space="preserve">Method</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16.9</w:t>
                  </w:r>
                </w:p>
              </w:tc>
              <w:tc>
                <w:tcPr/>
                <w:p>
                  <w:pPr>
                    <w:pStyle w:val="Compact"/>
                    <w:jc w:val="right"/>
                    <w:jc w:val="center"/>
                  </w:pPr>
                  <w:r>
                    <w:t xml:space="preserve">15.5</w:t>
                  </w:r>
                </w:p>
              </w:tc>
              <w:tc>
                <w:tcPr/>
                <w:p>
                  <w:pPr>
                    <w:pStyle w:val="Compact"/>
                    <w:jc w:val="right"/>
                    <w:jc w:val="center"/>
                  </w:pPr>
                  <w:r>
                    <w:t xml:space="preserve">18.3</w:t>
                  </w:r>
                </w:p>
              </w:tc>
              <w:tc>
                <w:tcPr/>
                <w:p>
                  <w:pPr>
                    <w:pStyle w:val="Compact"/>
                    <w:jc w:val="left"/>
                    <w:jc w:val="center"/>
                  </w:pPr>
                  <w:r>
                    <w:t xml:space="preserve">Rarefaction</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346</w:t>
                  </w:r>
                </w:p>
              </w:tc>
              <w:tc>
                <w:tcPr/>
                <w:p>
                  <w:pPr>
                    <w:pStyle w:val="Compact"/>
                    <w:jc w:val="right"/>
                    <w:jc w:val="center"/>
                  </w:pPr>
                  <w:r>
                    <w:t xml:space="preserve">26.0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11.5</w:t>
                  </w:r>
                </w:p>
              </w:tc>
              <w:tc>
                <w:tcPr/>
                <w:p>
                  <w:pPr>
                    <w:pStyle w:val="Compact"/>
                    <w:jc w:val="right"/>
                    <w:jc w:val="center"/>
                  </w:pPr>
                  <w:r>
                    <w:t xml:space="preserve">18.5</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15.4</w:t>
                  </w:r>
                </w:p>
              </w:tc>
              <w:tc>
                <w:tcPr/>
                <w:p>
                  <w:pPr>
                    <w:pStyle w:val="Compact"/>
                    <w:jc w:val="right"/>
                    <w:jc w:val="center"/>
                  </w:pPr>
                  <w:r>
                    <w:t xml:space="preserve">13.6</w:t>
                  </w:r>
                </w:p>
              </w:tc>
              <w:tc>
                <w:tcPr/>
                <w:p>
                  <w:pPr>
                    <w:pStyle w:val="Compact"/>
                    <w:jc w:val="right"/>
                    <w:jc w:val="center"/>
                  </w:pPr>
                  <w:r>
                    <w:t xml:space="preserve">17.1</w:t>
                  </w:r>
                </w:p>
              </w:tc>
              <w:tc>
                <w:tcPr/>
                <w:p>
                  <w:pPr>
                    <w:pStyle w:val="Compact"/>
                    <w:jc w:val="left"/>
                    <w:jc w:val="center"/>
                  </w:pPr>
                  <w:r>
                    <w:t xml:space="preserve">Rarefaction</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220</w:t>
                  </w:r>
                </w:p>
              </w:tc>
              <w:tc>
                <w:tcPr/>
                <w:p>
                  <w:pPr>
                    <w:pStyle w:val="Compact"/>
                    <w:jc w:val="right"/>
                    <w:jc w:val="center"/>
                  </w:pPr>
                  <w:r>
                    <w:t xml:space="preserve">22.0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11.3</w:t>
                  </w:r>
                </w:p>
              </w:tc>
              <w:tc>
                <w:tcPr/>
                <w:p>
                  <w:pPr>
                    <w:pStyle w:val="Compact"/>
                    <w:jc w:val="right"/>
                    <w:jc w:val="center"/>
                  </w:pPr>
                  <w:r>
                    <w:t xml:space="preserve">18.7</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bl>
          <w:p>
            <w:pPr>
              <w:jc w:val="center"/>
            </w:pPr>
            <w:pPr>
              <w:jc w:val="start"/>
              <w:spacing w:before="200"/>
              <w:pStyle w:val="ImageCaption"/>
            </w:pPr>
            <w:r>
              <w:t xml:space="preserve">Table S 42: Equal-effort sign-type pool comparison with iNEXT (incidence_freq, q = 0, 200 bootstraps). Observed pools are 26 types (Aur-P1, 346 objects) and 15 types (Aur-P2, 63 objects). Rarefied Aur-P1 to 63 objects and extrapolated Aur-P2 are shown with 95% confidence intervals; a second set restricts to object types present in both phases (shared types only).</w:t>
            </w:r>
          </w:p>
          <w:bookmarkEnd w:id="217"/>
        </w:tc>
      </w:tr>
    </w:tbl>
    <w:tbl>
      <w:tblPr>
        <w:tblStyle w:val="Table"/>
        <w:tblW w:type="pct" w:w="5000"/>
        <w:tblLook w:firstRow="0" w:lastRow="0" w:firstColumn="0" w:lastColumn="0" w:noHBand="0" w:noVBand="0" w:val="0000"/>
        <w:jc w:val="start"/>
        <w:tblLayout w:type="fixed"/>
      </w:tblPr>
      <w:tblGrid>
        <w:gridCol w:w="7920"/>
      </w:tblGrid>
      <w:tr>
        <w:tc>
          <w:tcPr/>
          <w:bookmarkStart w:id="221" w:name="fig-pool-inext"/>
          <w:p>
            <w:pPr>
              <w:pStyle w:val="Compact"/>
              <w:jc w:val="center"/>
            </w:pPr>
            <w:r>
              <w:drawing>
                <wp:inline>
                  <wp:extent cx="5943600" cy="3566160"/>
                  <wp:effectExtent b="0" l="0" r="0" t="0"/>
                  <wp:docPr descr="" title="" id="219" name="Picture"/>
                  <a:graphic>
                    <a:graphicData uri="http://schemas.openxmlformats.org/drawingml/2006/picture">
                      <pic:pic>
                        <pic:nvPicPr>
                          <pic:cNvPr descr="S1-supplement-sensitivity_files/figure-docx/fig-pool-inext-1.png" id="220" name="Picture"/>
                          <pic:cNvPicPr>
                            <a:picLocks noChangeArrowheads="1" noChangeAspect="1"/>
                          </pic:cNvPicPr>
                        </pic:nvPicPr>
                        <pic:blipFill>
                          <a:blip r:embed="rId218"/>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13: iNEXT rarefaction/extrapolation curves for sign-type richness (Hill number q = 0) by phase. Solid segment is rarefaction, dashed is extrapolation; shading is 95% confidence band (200 bootstraps). Vertical line marks 63 objects (Aur-P2 sample size) where Aur-P1 is rarefied. All types (left) and shared types only (right) are shown.</w:t>
            </w:r>
          </w:p>
          <w:bookmarkEnd w:id="221"/>
        </w:tc>
      </w:tr>
    </w:tbl>
    <w:bookmarkEnd w:id="222"/>
    <w:bookmarkStart w:id="223" w:name="interpretation-13"/>
    <w:p>
      <w:pPr>
        <w:pStyle w:val="Heading3"/>
      </w:pPr>
      <w:r>
        <w:t xml:space="preserve">Interpretation</w:t>
      </w:r>
    </w:p>
    <w:p>
      <w:pPr>
        <w:pStyle w:val="FirstParagraph"/>
      </w:pPr>
      <w:r>
        <w:rPr>
          <w:bCs/>
          <w:b/>
        </w:rPr>
        <w:t xml:space="preserve">Question: does the raw 26 vs 15 pool contraction survive equal effort?</w:t>
      </w:r>
      <w:r>
        <w:t xml:space="preserve"> </w:t>
      </w:r>
      <w:r>
        <w:t xml:space="preserve">No. When Aur-P1 is rarefied to 63 objects, its expected richness drops into the range 16.9 types (95% CI 15.5–18.3), which overlaps the Aur-P2 observed pool of 15 types. The Aur-P2 95% interval extended to the same effort likewise overlaps.</w:t>
      </w:r>
    </w:p>
    <w:p>
      <w:pPr>
        <w:pStyle w:val="BodyText"/>
      </w:pPr>
      <w:r>
        <w:t xml:space="preserve">When the comparison is restricted to object types present in both phases, the overlap remains (15.4 vs 15), so limestone blocs, tubes and figurines do not create the effect.</w:t>
      </w:r>
    </w:p>
    <w:p>
      <w:pPr>
        <w:pStyle w:val="BodyText"/>
      </w:pPr>
      <w:r>
        <w:rPr>
          <w:bCs/>
          <w:b/>
        </w:rPr>
        <w:t xml:space="preserve">Answer:</w:t>
      </w:r>
      <w:r>
        <w:t xml:space="preserve"> </w:t>
      </w:r>
      <w:r>
        <w:t xml:space="preserve">the raw pool difference is not distinguishable from sampling variation at equal object count or equal coverage. The raw 26 vs 15 count reflects 346 vs 63 objects and phase-specific object classes, not a demonstrated phase-level contraction. The diversity-pool paragraphs in the Discussion and Conclusion that call this the most robust finding should be rewritten to the not distinguishable from form and the sample-difference caveat stated.</w:t>
      </w:r>
    </w:p>
    <w:bookmarkEnd w:id="223"/>
    <w:bookmarkEnd w:id="224"/>
    <w:bookmarkStart w:id="242" w:name="sec-s12-6"/>
    <w:p>
      <w:pPr>
        <w:pStyle w:val="Heading2"/>
      </w:pPr>
      <w:r>
        <w:t xml:space="preserve">S1.12.6 Figurine Exclusion</w:t>
      </w:r>
    </w:p>
    <w:bookmarkStart w:id="225" w:name="rationale-22"/>
    <w:p>
      <w:pPr>
        <w:pStyle w:val="Heading3"/>
      </w:pPr>
      <w:r>
        <w:t xml:space="preserve">Rationale</w:t>
      </w:r>
    </w:p>
    <w:p>
      <w:pPr>
        <w:pStyle w:val="FirstParagraph"/>
      </w:pPr>
      <w:r>
        <w:t xml:space="preserve">[27]</w:t>
      </w:r>
      <w:r>
        <w:t xml:space="preserve"> </w:t>
      </w:r>
      <w:r>
        <w:t xml:space="preserve">demonstrate that ivory figurines in the Swabian Aurignacian carry sign sequences with higher information density than tools. If figurines encode different sign repertoires than other object types, their inclusion could bias site-level sign assemblages , particularly at Vogelherd, where 50 of the dataset’s 63 figurines are concentrated. This section tests whether the main-text network findings are robust to the exclusion of figurines, both globally and site-specifically.</w:t>
      </w:r>
    </w:p>
    <w:bookmarkEnd w:id="225"/>
    <w:bookmarkStart w:id="227" w:name="figurine-distribution-in-the-dataset"/>
    <w:p>
      <w:pPr>
        <w:pStyle w:val="Heading3"/>
      </w:pPr>
      <w:r>
        <w:t xml:space="preserve">Figurine Distribution in the Dataset</w:t>
      </w:r>
    </w:p>
    <w:tbl>
      <w:tblPr>
        <w:tblStyle w:val="Table"/>
        <w:tblW w:type="pct" w:w="5000"/>
        <w:tblLook w:firstRow="0" w:lastRow="0" w:firstColumn="0" w:lastColumn="0" w:noHBand="0" w:noVBand="0" w:val="0000"/>
        <w:jc w:val="start"/>
        <w:tblLayout w:type="fixed"/>
      </w:tblPr>
      <w:tblGrid>
        <w:gridCol w:w="7920"/>
      </w:tblGrid>
      <w:tr>
        <w:tc>
          <w:tcPr/>
          <w:bookmarkStart w:id="226" w:name="tbl-figurine-count"/>
          <w:tbl>
            <w:tblPr>
              <w:tblStyle w:val="Table"/>
              <w:tblW w:type="pct" w:w="5000"/>
              <w:tblLook w:firstRow="1" w:lastRow="0" w:firstColumn="0" w:lastColumn="0" w:noHBand="0" w:noVBand="0" w:val="0020"/>
              <w:jc w:val="start"/>
              <w:tblLayout w:type="fixed"/>
            </w:tblPr>
            <w:tblGrid>
              <w:gridCol w:w="518"/>
              <w:gridCol w:w="1406"/>
              <w:gridCol w:w="1332"/>
              <w:gridCol w:w="1702"/>
              <w:gridCol w:w="1184"/>
              <w:gridCol w:w="1332"/>
              <w:gridCol w:w="44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figurine zoomorph</w:t>
                  </w:r>
                </w:p>
              </w:tc>
              <w:tc>
                <w:tcPr/>
                <w:p>
                  <w:pPr>
                    <w:pStyle w:val="Compact"/>
                    <w:jc w:val="right"/>
                    <w:jc w:val="center"/>
                  </w:pPr>
                  <w:r>
                    <w:t xml:space="preserve">figurine anthropomorph</w:t>
                  </w:r>
                </w:p>
              </w:tc>
              <w:tc>
                <w:tcPr/>
                <w:p>
                  <w:pPr>
                    <w:pStyle w:val="Compact"/>
                    <w:jc w:val="right"/>
                    <w:jc w:val="center"/>
                  </w:pPr>
                  <w:r>
                    <w:t xml:space="preserve">figurine undet.</w:t>
                  </w:r>
                </w:p>
              </w:tc>
              <w:tc>
                <w:tcPr/>
                <w:p>
                  <w:pPr>
                    <w:pStyle w:val="Compact"/>
                    <w:jc w:val="right"/>
                    <w:jc w:val="center"/>
                  </w:pPr>
                  <w:r>
                    <w:t xml:space="preserve">possible figurine</w:t>
                  </w:r>
                </w:p>
              </w:tc>
              <w:tc>
                <w:tcPr/>
                <w:p>
                  <w:pPr>
                    <w:pStyle w:val="Compact"/>
                    <w:jc w:val="right"/>
                    <w:jc w:val="center"/>
                  </w:pPr>
                  <w:r>
                    <w:t xml:space="preserve">Total</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19</w:t>
                  </w:r>
                </w:p>
              </w:tc>
              <w:tc>
                <w:tcPr/>
                <w:p>
                  <w:pPr>
                    <w:pStyle w:val="Compact"/>
                    <w:jc w:val="right"/>
                    <w:jc w:val="center"/>
                  </w:pPr>
                  <w:r>
                    <w:t xml:space="preserve">1</w:t>
                  </w:r>
                </w:p>
              </w:tc>
              <w:tc>
                <w:tcPr/>
                <w:p>
                  <w:pPr>
                    <w:pStyle w:val="Compact"/>
                    <w:jc w:val="right"/>
                    <w:jc w:val="center"/>
                  </w:pPr>
                  <w:r>
                    <w:t xml:space="preserve">8</w:t>
                  </w:r>
                </w:p>
              </w:tc>
              <w:tc>
                <w:tcPr/>
                <w:p>
                  <w:pPr>
                    <w:pStyle w:val="Compact"/>
                    <w:jc w:val="right"/>
                    <w:jc w:val="center"/>
                  </w:pPr>
                  <w:r>
                    <w:t xml:space="preserve">22</w:t>
                  </w:r>
                </w:p>
              </w:tc>
              <w:tc>
                <w:tcPr/>
                <w:p>
                  <w:pPr>
                    <w:pStyle w:val="Compact"/>
                    <w:jc w:val="right"/>
                    <w:jc w:val="center"/>
                  </w:pPr>
                  <w:r>
                    <w:t xml:space="preserve">50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r>
          </w:tbl>
          <w:p>
            <w:pPr>
              <w:jc w:val="center"/>
            </w:pPr>
            <w:pPr>
              <w:jc w:val="start"/>
              <w:spacing w:before="200"/>
              <w:pStyle w:val="ImageCaption"/>
            </w:pPr>
            <w:r>
              <w:t xml:space="preserve">Table S 43: Distribution of figurine objects across phases and sites. Figurine types include figurine zoomorph, figurine anthropomorph, figurine undet., and possible figurine.</w:t>
            </w:r>
          </w:p>
          <w:bookmarkEnd w:id="226"/>
        </w:tc>
      </w:tr>
    </w:tbl>
    <w:p>
      <w:pPr>
        <w:pStyle w:val="BodyText"/>
      </w:pPr>
      <w:hyperlink w:anchor="tbl-figurine-count">
        <w:r>
          <w:rPr>
            <w:rStyle w:val="Hyperlink"/>
          </w:rPr>
          <w:t xml:space="preserve">Table S 43</w:t>
        </w:r>
      </w:hyperlink>
      <w:r>
        <w:t xml:space="preserve"> </w:t>
      </w:r>
      <w:r>
        <w:t xml:space="preserve">shows that figurines are heavily concentrated at Vogelherd (50 objects), with minor representation at Hohle Fels (4, 4), Geissenklösterle (3), Hohlenstein-Stadel (1), and La Ferrassie (1). Of these, 59 fall within Aur-P1 and the remaining 4 , all Hohle Fels objects from AH IV and Iid , fall within Aur-P2 under the layer-level assignment. The analysis therefore tests whether the Aur-P1 network structure , which reports the higher mean degree (7.5) , is driven by these 50 objects at a single site.</w:t>
      </w:r>
    </w:p>
    <w:bookmarkEnd w:id="227"/>
    <w:bookmarkStart w:id="228" w:name="analysis-1-exclude-all-figurines"/>
    <w:p>
      <w:pPr>
        <w:pStyle w:val="Heading3"/>
      </w:pPr>
      <w:r>
        <w:t xml:space="preserve">Analysis 1: Exclude All Figurines</w:t>
      </w:r>
    </w:p>
    <w:bookmarkEnd w:id="228"/>
    <w:bookmarkStart w:id="231" w:name="method"/>
    <w:p>
      <w:pPr>
        <w:pStyle w:val="Heading3"/>
      </w:pPr>
      <w:r>
        <w:t xml:space="preserve">Method</w:t>
      </w:r>
    </w:p>
    <w:p>
      <w:pPr>
        <w:pStyle w:val="FirstParagraph"/>
      </w:pPr>
      <w:r>
        <w:t xml:space="preserve">We remove all objects where</w:t>
      </w:r>
      <w:r>
        <w:t xml:space="preserve"> </w:t>
      </w:r>
      <w:r>
        <w:rPr>
          <w:rStyle w:val="VerbatimChar"/>
        </w:rPr>
        <w:t xml:space="preserve">object_type</w:t>
      </w:r>
      <w:r>
        <w:t xml:space="preserve"> </w:t>
      </w:r>
      <w:r>
        <w:t xml:space="preserve">contains</w:t>
      </w:r>
      <w:r>
        <w:t xml:space="preserve"> </w:t>
      </w:r>
      <w:r>
        <w:t xml:space="preserve">“</w:t>
      </w:r>
      <w:r>
        <w:t xml:space="preserve">figurine</w:t>
      </w:r>
      <w:r>
        <w:t xml:space="preserve">”</w:t>
      </w:r>
      <w:r>
        <w:t xml:space="preserve"> </w:t>
      </w:r>
      <w:r>
        <w:t xml:space="preserve">(63 objects total: 25 zoomorph, 10 undetermined, 5 anthropomorph, 23 possible figurine) from the full cleaned dataset, recompute site-level sign matrices by summing remaining objects per site, and rebuild networks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229" w:name="tbl-exclude-figurines"/>
          <w:tbl>
            <w:tblPr>
              <w:tblStyle w:val="Table"/>
              <w:tblW w:type="pct" w:w="5000"/>
              <w:tblLook w:firstRow="1" w:lastRow="0" w:firstColumn="0" w:lastColumn="0" w:noHBand="0" w:noVBand="0" w:val="0020"/>
              <w:jc w:val="start"/>
              <w:tblLayout w:type="fixed"/>
            </w:tblPr>
            <w:tblGrid>
              <w:gridCol w:w="602"/>
              <w:gridCol w:w="516"/>
              <w:gridCol w:w="602"/>
              <w:gridCol w:w="774"/>
              <w:gridCol w:w="1119"/>
              <w:gridCol w:w="1205"/>
              <w:gridCol w:w="1033"/>
              <w:gridCol w:w="2066"/>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Exclude all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all figurines</w:t>
                  </w:r>
                </w:p>
              </w:tc>
            </w:tr>
          </w:tbl>
          <w:p>
            <w:pPr>
              <w:jc w:val="center"/>
            </w:pPr>
            <w:pPr>
              <w:jc w:val="start"/>
              <w:spacing w:before="200"/>
              <w:pStyle w:val="ImageCaption"/>
            </w:pPr>
            <w:r>
              <w:t xml:space="preserve">Table S 44: Network statistics before and after excluding all figurine objects (figurine zoomorph, figurine anthropomorph, figurine undet., and possible figurine). Threshold = 0.2, Jaccard similarity.</w:t>
            </w:r>
          </w:p>
          <w:bookmarkEnd w:id="229"/>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30" w:name="tbl-figurine-sites-los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Sites (all)</w:t>
                  </w:r>
                </w:p>
              </w:tc>
              <w:tc>
                <w:tcPr/>
                <w:p>
                  <w:pPr>
                    <w:pStyle w:val="Compact"/>
                    <w:jc w:val="right"/>
                    <w:jc w:val="center"/>
                  </w:pPr>
                  <w:r>
                    <w:t xml:space="preserve">Sites (no figurines)</w:t>
                  </w:r>
                </w:p>
              </w:tc>
              <w:tc>
                <w:tcPr/>
                <w:p>
                  <w:pPr>
                    <w:pStyle w:val="Compact"/>
                    <w:jc w:val="right"/>
                    <w:jc w:val="center"/>
                  </w:pPr>
                  <w:r>
                    <w:t xml:space="preserve">Sites lost</w:t>
                  </w:r>
                </w:p>
              </w:tc>
            </w:tr>
            <w:tr>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20</w:t>
                  </w:r>
                </w:p>
              </w:tc>
              <w:tc>
                <w:tcPr/>
                <w:p>
                  <w:pPr>
                    <w:pStyle w:val="Compact"/>
                    <w:jc w:val="right"/>
                    <w:jc w:val="center"/>
                  </w:pPr>
                  <w:r>
                    <w:t xml:space="preserve">0</w:t>
                  </w:r>
                </w:p>
              </w:tc>
            </w:tr>
            <w:tr>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9</w:t>
                  </w:r>
                </w:p>
              </w:tc>
              <w:tc>
                <w:tcPr/>
                <w:p>
                  <w:pPr>
                    <w:pStyle w:val="Compact"/>
                    <w:jc w:val="right"/>
                    <w:jc w:val="center"/>
                  </w:pPr>
                  <w:r>
                    <w:t xml:space="preserve">0</w:t>
                  </w:r>
                </w:p>
              </w:tc>
            </w:tr>
          </w:tbl>
          <w:p>
            <w:pPr>
              <w:jc w:val="center"/>
            </w:pPr>
            <w:pPr>
              <w:jc w:val="start"/>
              <w:spacing w:before="200"/>
              <w:pStyle w:val="ImageCaption"/>
            </w:pPr>
            <w:r>
              <w:t xml:space="preserve">Table S 45: Number of sites per phase before and after figurine exclusion. Sites are lost when all objects at that site are figurines.</w:t>
            </w:r>
          </w:p>
          <w:bookmarkEnd w:id="230"/>
        </w:tc>
      </w:tr>
    </w:tbl>
    <w:bookmarkEnd w:id="231"/>
    <w:bookmarkStart w:id="232" w:name="interpretation-14"/>
    <w:p>
      <w:pPr>
        <w:pStyle w:val="Heading3"/>
      </w:pPr>
      <w:r>
        <w:t xml:space="preserve">Interpretation</w:t>
      </w:r>
    </w:p>
    <w:p>
      <w:pPr>
        <w:pStyle w:val="FirstParagraph"/>
      </w:pPr>
      <w:r>
        <w:t xml:space="preserve">Excluding all 63 figurines has only a small effect on the Aur-P1 network: one edge is lost (75 → 74) and mean degree falls from 7.5 to 7.4, with no sites lost (all 20 sites retained). Aur-P2 is unchanged (mean degree 4.22, 19 edges, 9 sites): the 4 Hohle Fels figurines removed from it do not alter the site’s sign repertoire, so its network is unaffected. The detectable Aur-P1 effects are declines in transitivity (0.711 → 0.683) and modularity (0.336 → 0.318), indicating that figurines contribute modestly to community cohesion but do not create the communities themselves.</w:t>
      </w:r>
    </w:p>
    <w:p>
      <w:pPr>
        <w:pStyle w:val="BodyText"/>
      </w:pPr>
      <w:r>
        <w:t xml:space="preserve">Critically, Aur-P1 retains the higher mean degree (7.4) under figurine exclusion, preserving the main-text ordering Aur-P1 &gt; Aur-P2 (7.4 &gt; 4.22). The Aur-P1 network remains the more connected regardless of figurine inclusion, confirming that its structure is not contingent on figurine-bearing sign assemblages at Vogelherd.</w:t>
      </w:r>
    </w:p>
    <w:bookmarkEnd w:id="232"/>
    <w:bookmarkStart w:id="233" w:name="Xc06319a9554f6ddf282b3cf388364ef3835d432"/>
    <w:p>
      <w:pPr>
        <w:pStyle w:val="Heading3"/>
      </w:pPr>
      <w:r>
        <w:t xml:space="preserve">Analysis 2: Exclude Vogelherd Figurines Only</w:t>
      </w:r>
    </w:p>
    <w:bookmarkEnd w:id="233"/>
    <w:bookmarkStart w:id="236" w:name="method-1"/>
    <w:p>
      <w:pPr>
        <w:pStyle w:val="Heading3"/>
      </w:pPr>
      <w:r>
        <w:t xml:space="preserve">Method</w:t>
      </w:r>
    </w:p>
    <w:p>
      <w:pPr>
        <w:pStyle w:val="FirstParagraph"/>
      </w:pPr>
      <w:r>
        <w:t xml:space="preserve">Rather than removing all figurines globally, this analysis removes only the 50 figurines from Vogelherd , the site where figurines are most concentrated , while retaining figurines at other sites. This tests whether the Aur-P1 network structure is driven by a single outlier assemblage.</w:t>
      </w:r>
    </w:p>
    <w:tbl>
      <w:tblPr>
        <w:tblStyle w:val="Table"/>
        <w:tblW w:type="pct" w:w="5000"/>
        <w:tblLook w:firstRow="0" w:lastRow="0" w:firstColumn="0" w:lastColumn="0" w:noHBand="0" w:noVBand="0" w:val="0000"/>
        <w:jc w:val="start"/>
        <w:tblLayout w:type="fixed"/>
      </w:tblPr>
      <w:tblGrid>
        <w:gridCol w:w="7920"/>
      </w:tblGrid>
      <w:tr>
        <w:tc>
          <w:tcPr/>
          <w:bookmarkStart w:id="234" w:name="tbl-vogelherd-exclude"/>
          <w:tbl>
            <w:tblPr>
              <w:tblStyle w:val="Table"/>
              <w:tblW w:type="pct" w:w="5000"/>
              <w:tblLook w:firstRow="1" w:lastRow="0" w:firstColumn="0" w:lastColumn="0" w:noHBand="0" w:noVBand="0" w:val="0020"/>
              <w:jc w:val="start"/>
              <w:tblLayout w:type="fixed"/>
            </w:tblPr>
            <w:tblGrid>
              <w:gridCol w:w="571"/>
              <w:gridCol w:w="489"/>
              <w:gridCol w:w="571"/>
              <w:gridCol w:w="734"/>
              <w:gridCol w:w="1061"/>
              <w:gridCol w:w="1143"/>
              <w:gridCol w:w="979"/>
              <w:gridCol w:w="2367"/>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Exclude Vogelherd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Vogelherd figurines</w:t>
                  </w:r>
                </w:p>
              </w:tc>
            </w:tr>
          </w:tbl>
          <w:p>
            <w:pPr>
              <w:jc w:val="center"/>
            </w:pPr>
            <w:pPr>
              <w:jc w:val="start"/>
              <w:spacing w:before="200"/>
              <w:pStyle w:val="ImageCaption"/>
            </w:pPr>
            <w:r>
              <w:t xml:space="preserve">Table S 46: Network statistics before and after excluding figurines from Vogelherd only. All other figurines (Hohle Fels, Geissenklösterle, Hohlenstein-Stadel, La Ferrassie) are retained. Threshold = 0.2, Jaccard similarity.</w:t>
            </w:r>
          </w:p>
          <w:bookmarkEnd w:id="234"/>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35" w:name="tbl-vogelherd-objects"/>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Objects (all)</w:t>
                  </w:r>
                </w:p>
              </w:tc>
              <w:tc>
                <w:tcPr/>
                <w:p>
                  <w:pPr>
                    <w:pStyle w:val="Compact"/>
                    <w:jc w:val="right"/>
                    <w:jc w:val="center"/>
                  </w:pPr>
                  <w:r>
                    <w:t xml:space="preserve">Objects (no figurines)</w:t>
                  </w:r>
                </w:p>
              </w:tc>
              <w:tc>
                <w:tcPr/>
                <w:p>
                  <w:pPr>
                    <w:pStyle w:val="Compact"/>
                    <w:jc w:val="right"/>
                    <w:jc w:val="center"/>
                  </w:pPr>
                  <w:r>
                    <w:t xml:space="preserve">Removed</w:t>
                  </w:r>
                </w:p>
              </w:tc>
            </w:tr>
            <w:tr>
              <w:tc>
                <w:tcPr/>
                <w:p>
                  <w:pPr>
                    <w:pStyle w:val="Compact"/>
                    <w:jc w:val="left"/>
                    <w:jc w:val="center"/>
                  </w:pPr>
                  <w:r>
                    <w:t xml:space="preserve">Aur-P1</w:t>
                  </w:r>
                </w:p>
              </w:tc>
              <w:tc>
                <w:tcPr/>
                <w:p>
                  <w:pPr>
                    <w:pStyle w:val="Compact"/>
                    <w:jc w:val="right"/>
                    <w:jc w:val="center"/>
                  </w:pPr>
                  <w:r>
                    <w:t xml:space="preserve">173</w:t>
                  </w:r>
                </w:p>
              </w:tc>
              <w:tc>
                <w:tcPr/>
                <w:p>
                  <w:pPr>
                    <w:pStyle w:val="Compact"/>
                    <w:jc w:val="right"/>
                    <w:jc w:val="center"/>
                  </w:pPr>
                  <w:r>
                    <w:t xml:space="preserve">123</w:t>
                  </w:r>
                </w:p>
              </w:tc>
              <w:tc>
                <w:tcPr/>
                <w:p>
                  <w:pPr>
                    <w:pStyle w:val="Compact"/>
                    <w:jc w:val="right"/>
                    <w:jc w:val="center"/>
                  </w:pPr>
                  <w:r>
                    <w:t xml:space="preserve">50</w:t>
                  </w:r>
                </w:p>
              </w:tc>
            </w:tr>
          </w:tbl>
          <w:p>
            <w:pPr>
              <w:jc w:val="center"/>
            </w:pPr>
            <w:pPr>
              <w:jc w:val="start"/>
              <w:spacing w:before="200"/>
              <w:pStyle w:val="ImageCaption"/>
            </w:pPr>
            <w:r>
              <w:t xml:space="preserve">Table S 47: Vogelherd object counts before and after removing figurines. Non-figurine objects at Vogelherd (tools, plaquettes, etc.) are retained.</w:t>
            </w:r>
          </w:p>
          <w:bookmarkEnd w:id="235"/>
        </w:tc>
      </w:tr>
    </w:tbl>
    <w:bookmarkEnd w:id="236"/>
    <w:bookmarkStart w:id="237" w:name="interpretation-15"/>
    <w:p>
      <w:pPr>
        <w:pStyle w:val="Heading3"/>
      </w:pPr>
      <w:r>
        <w:t xml:space="preserve">Interpretation</w:t>
      </w:r>
    </w:p>
    <w:p>
      <w:pPr>
        <w:pStyle w:val="FirstParagraph"/>
      </w:pPr>
      <w:r>
        <w:t xml:space="preserve">Removing only Vogelherd’s figurines (50 objects: 173 → 123 in Aur-P1) has a negligible effect on Aur-P1: mean degree drops from 7.5 to 7.4 (-1.3%), one edge is lost (75 → 74), and modularity decreases from 0.336 to 0.333. Aur-P2 shows no change whatsoever (mean degree 4.22 → 4.22, modularity 0.161 → 0.161), confirming that Vogelherd figurines do not contribute to network structure in the later phase.</w:t>
      </w:r>
    </w:p>
    <w:p>
      <w:pPr>
        <w:pStyle w:val="BodyText"/>
      </w:pPr>
      <w:r>
        <w:t xml:space="preserve">The effect of removing Vogelherd figurines alone (-1.3% in Aur-P1) is the same as removing all 63 figurines globally (-1.3%), and in both cases the network is essentially unchanged. The figurine effect therefore does not scale with the number of figurines removed; figurines at Hohle Fels (4, 4), Geissenklösterle (3), Hohlenstein-Stadel (1), and La Ferrassie (1) do not alter the network structure , including the 4 Hohle Fels figurines assigned to Aur-P2, which leave that phase’s network unchanged , and Vogelherd’s connectivity within Aur-P1 is carried by its 123 non-figurine objects.</w:t>
      </w:r>
    </w:p>
    <w:bookmarkEnd w:id="237"/>
    <w:bookmarkStart w:id="239" w:name="joint-comparison"/>
    <w:p>
      <w:pPr>
        <w:pStyle w:val="Heading3"/>
      </w:pPr>
      <w:r>
        <w:t xml:space="preserve">Joint Comparison</w:t>
      </w:r>
    </w:p>
    <w:tbl>
      <w:tblPr>
        <w:tblStyle w:val="Table"/>
        <w:tblW w:type="pct" w:w="5000"/>
        <w:tblLook w:firstRow="0" w:lastRow="0" w:firstColumn="0" w:lastColumn="0" w:noHBand="0" w:noVBand="0" w:val="0000"/>
        <w:jc w:val="start"/>
        <w:tblLayout w:type="fixed"/>
      </w:tblPr>
      <w:tblGrid>
        <w:gridCol w:w="7920"/>
      </w:tblGrid>
      <w:tr>
        <w:tc>
          <w:tcPr/>
          <w:bookmarkStart w:id="238" w:name="tbl-objtype-joint"/>
          <w:tbl>
            <w:tblPr>
              <w:tblStyle w:val="Table"/>
              <w:tblW w:type="pct" w:w="5000"/>
              <w:tblLook w:firstRow="1" w:lastRow="0" w:firstColumn="0" w:lastColumn="0" w:noHBand="0" w:noVBand="0" w:val="0020"/>
              <w:jc w:val="start"/>
              <w:tblLayout w:type="fixed"/>
            </w:tblPr>
            <w:tblGrid>
              <w:gridCol w:w="523"/>
              <w:gridCol w:w="2092"/>
              <w:gridCol w:w="448"/>
              <w:gridCol w:w="523"/>
              <w:gridCol w:w="971"/>
              <w:gridCol w:w="1046"/>
              <w:gridCol w:w="896"/>
              <w:gridCol w:w="1419"/>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Δ mean degree (%)</w:t>
                  </w:r>
                </w:p>
              </w:tc>
            </w:tr>
            <w:tr>
              <w:tc>
                <w:tcPr/>
                <w:p>
                  <w:pPr>
                    <w:pStyle w:val="Compact"/>
                    <w:jc w:val="left"/>
                    <w:jc w:val="center"/>
                  </w:pPr>
                  <w:r>
                    <w:t xml:space="preserve">Aur-P1</w:t>
                  </w:r>
                </w:p>
              </w:tc>
              <w:tc>
                <w:tcPr/>
                <w:p>
                  <w:pPr>
                    <w:pStyle w:val="Compact"/>
                    <w:jc w:val="left"/>
                    <w:jc w:val="center"/>
                  </w:pPr>
                  <w:r>
                    <w:t xml:space="preserve">Baseline (all objects)</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0.0</w:t>
                  </w:r>
                </w:p>
              </w:tc>
            </w:tr>
            <w:tr>
              <w:tc>
                <w:tcPr/>
                <w:p>
                  <w:pPr>
                    <w:pStyle w:val="Compact"/>
                    <w:jc w:val="left"/>
                    <w:jc w:val="center"/>
                  </w:pPr>
                  <w:r>
                    <w:t xml:space="preserve">Aur-P2</w:t>
                  </w:r>
                </w:p>
              </w:tc>
              <w:tc>
                <w:tcPr/>
                <w:p>
                  <w:pPr>
                    <w:pStyle w:val="Compact"/>
                    <w:jc w:val="left"/>
                    <w:jc w:val="center"/>
                  </w:pPr>
                  <w:r>
                    <w:t xml:space="preserve">Baseline (all objects)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all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all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Vogelherd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Vogelherd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bl>
          <w:p>
            <w:pPr>
              <w:jc w:val="center"/>
            </w:pPr>
            <w:pPr>
              <w:jc w:val="start"/>
              <w:spacing w:before="200"/>
              <w:pStyle w:val="ImageCaption"/>
            </w:pPr>
            <w:r>
              <w:t xml:space="preserve">Table S 48: Side-by-side comparison of network statistics across all conditions: baseline (all objects), exclude all figurines, and exclude Vogelherd figurines only. The rightmost columns show the percentage change in mean degree from baseline.</w:t>
            </w:r>
          </w:p>
          <w:bookmarkEnd w:id="238"/>
        </w:tc>
      </w:tr>
    </w:tbl>
    <w:bookmarkEnd w:id="239"/>
    <w:bookmarkStart w:id="241" w:name="interpretation-16"/>
    <w:p>
      <w:pPr>
        <w:pStyle w:val="Heading3"/>
      </w:pPr>
      <w:r>
        <w:t xml:space="preserve">Interpretation</w:t>
      </w:r>
    </w:p>
    <w:p>
      <w:pPr>
        <w:pStyle w:val="FirstParagraph"/>
      </w:pPr>
      <w:r>
        <w:t xml:space="preserve">The joint comparison in</w:t>
      </w:r>
      <w:r>
        <w:t xml:space="preserve"> </w:t>
      </w:r>
      <w:hyperlink w:anchor="tbl-objtype-joint">
        <w:r>
          <w:rPr>
            <w:rStyle w:val="Hyperlink"/>
          </w:rPr>
          <w:t xml:space="preserve">Table S 48</w:t>
        </w:r>
      </w:hyperlink>
      <w:r>
        <w:t xml:space="preserve"> </w:t>
      </w:r>
      <w:r>
        <w:t xml:space="preserve">shows that figurine exclusion has a modest and phase-dependent effect on network structure:</w:t>
      </w:r>
    </w:p>
    <w:tbl>
      <w:tblPr>
        <w:tblStyle w:val="Table"/>
        <w:tblW w:type="pct" w:w="5000"/>
        <w:tblLook w:firstRow="0" w:lastRow="0" w:firstColumn="0" w:lastColumn="0" w:noHBand="0" w:noVBand="0" w:val="0000"/>
        <w:jc w:val="start"/>
        <w:tblLayout w:type="fixed"/>
      </w:tblPr>
      <w:tblGrid>
        <w:gridCol w:w="7920"/>
      </w:tblGrid>
      <w:tr>
        <w:tc>
          <w:tcPr/>
          <w:bookmarkStart w:id="240" w:name="tbl-meandegree-summary"/>
          <w:tbl>
            <w:tblPr>
              <w:tblStyle w:val="Table"/>
              <w:tblW w:type="pct" w:w="5000"/>
              <w:tblLook w:firstRow="1" w:lastRow="0" w:firstColumn="0" w:lastColumn="0" w:noHBand="0" w:noVBand="0" w:val="0020"/>
              <w:jc w:val="start"/>
              <w:tblLayout w:type="fixed"/>
            </w:tblPr>
            <w:tblGrid>
              <w:gridCol w:w="770"/>
              <w:gridCol w:w="2310"/>
              <w:gridCol w:w="1540"/>
              <w:gridCol w:w="770"/>
              <w:gridCol w:w="1760"/>
              <w:gridCol w:w="770"/>
            </w:tblGrid>
            <w:tr>
              <w:trPr>
                <w:tblHeader w:val="true"/>
              </w:trPr>
              <w:tc>
                <w:tcPr/>
                <w:p>
                  <w:pPr>
                    <w:pStyle w:val="Compact"/>
                    <w:jc w:val="left"/>
                    <w:jc w:val="center"/>
                  </w:pPr>
                  <w:r>
                    <w:t xml:space="preserve">Phase</w:t>
                  </w:r>
                </w:p>
              </w:tc>
              <w:tc>
                <w:tcPr/>
                <w:p>
                  <w:pPr>
                    <w:pStyle w:val="Compact"/>
                    <w:jc w:val="left"/>
                    <w:jc w:val="center"/>
                  </w:pPr>
                  <w:r>
                    <w:t xml:space="preserve">Baseline mean degree</w:t>
                  </w:r>
                </w:p>
              </w:tc>
              <w:tc>
                <w:tcPr/>
                <w:p>
                  <w:pPr>
                    <w:pStyle w:val="Compact"/>
                    <w:jc w:val="center"/>
                    <w:jc w:val="center"/>
                  </w:pPr>
                  <w:r>
                    <w:t xml:space="preserve">No figurines</w:t>
                  </w:r>
                </w:p>
              </w:tc>
              <w:tc>
                <w:tcPr/>
                <w:p>
                  <w:pPr>
                    <w:pStyle w:val="Compact"/>
                    <w:jc w:val="center"/>
                    <w:jc w:val="center"/>
                  </w:pPr>
                  <w:r>
                    <w:t xml:space="preserve">Δ</w:t>
                  </w:r>
                </w:p>
              </w:tc>
              <w:tc>
                <w:tcPr/>
                <w:p>
                  <w:pPr>
                    <w:pStyle w:val="Compact"/>
                    <w:jc w:val="center"/>
                    <w:jc w:val="center"/>
                  </w:pPr>
                  <w:r>
                    <w:t xml:space="preserve">Vogelherd only</w:t>
                  </w:r>
                </w:p>
              </w:tc>
              <w:tc>
                <w:tcPr/>
                <w:p>
                  <w:pPr>
                    <w:pStyle w:val="Compact"/>
                    <w:jc w:val="center"/>
                    <w:jc w:val="center"/>
                  </w:pPr>
                  <w:r>
                    <w:t xml:space="preserve">Δ</w:t>
                  </w:r>
                </w:p>
              </w:tc>
            </w:tr>
            <w:tr>
              <w:tc>
                <w:tcPr/>
                <w:p>
                  <w:pPr>
                    <w:pStyle w:val="Compact"/>
                    <w:jc w:val="left"/>
                    <w:jc w:val="center"/>
                  </w:pPr>
                  <w:r>
                    <w:t xml:space="preserve">Aur-P1</w:t>
                  </w:r>
                </w:p>
              </w:tc>
              <w:tc>
                <w:tcPr/>
                <w:p>
                  <w:pPr>
                    <w:pStyle w:val="Compact"/>
                    <w:jc w:val="left"/>
                    <w:jc w:val="center"/>
                  </w:pPr>
                  <w:r>
                    <w:t xml:space="preserve">7.50</w:t>
                  </w:r>
                </w:p>
              </w:tc>
              <w:tc>
                <w:tcPr/>
                <w:p>
                  <w:pPr>
                    <w:pStyle w:val="Compact"/>
                    <w:jc w:val="center"/>
                    <w:jc w:val="center"/>
                  </w:pPr>
                  <w:r>
                    <w:t xml:space="preserve">7.40</w:t>
                  </w:r>
                </w:p>
              </w:tc>
              <w:tc>
                <w:tcPr/>
                <w:p>
                  <w:pPr>
                    <w:pStyle w:val="Compact"/>
                    <w:jc w:val="center"/>
                    <w:jc w:val="center"/>
                  </w:pPr>
                  <w:r>
                    <w:t xml:space="preserve">-1.3%</w:t>
                  </w:r>
                </w:p>
              </w:tc>
              <w:tc>
                <w:tcPr/>
                <w:p>
                  <w:pPr>
                    <w:pStyle w:val="Compact"/>
                    <w:jc w:val="center"/>
                    <w:jc w:val="center"/>
                  </w:pPr>
                  <w:r>
                    <w:t xml:space="preserve">7.40</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4.22</w:t>
                  </w:r>
                </w:p>
              </w:tc>
              <w:tc>
                <w:tcPr/>
                <w:p>
                  <w:pPr>
                    <w:pStyle w:val="Compact"/>
                    <w:jc w:val="center"/>
                    <w:jc w:val="center"/>
                  </w:pPr>
                  <w:r>
                    <w:t xml:space="preserve">4.22</w:t>
                  </w:r>
                </w:p>
              </w:tc>
              <w:tc>
                <w:tcPr/>
                <w:p>
                  <w:pPr>
                    <w:pStyle w:val="Compact"/>
                    <w:jc w:val="center"/>
                    <w:jc w:val="center"/>
                  </w:pPr>
                  <w:r>
                    <w:t xml:space="preserve">0.0%</w:t>
                  </w:r>
                </w:p>
              </w:tc>
              <w:tc>
                <w:tcPr/>
                <w:p>
                  <w:pPr>
                    <w:pStyle w:val="Compact"/>
                    <w:jc w:val="center"/>
                    <w:jc w:val="center"/>
                  </w:pPr>
                  <w:r>
                    <w:t xml:space="preserve">4.22</w:t>
                  </w:r>
                </w:p>
              </w:tc>
              <w:tc>
                <w:tcPr/>
                <w:p>
                  <w:pPr>
                    <w:pStyle w:val="Compact"/>
                    <w:jc w:val="center"/>
                    <w:jc w:val="center"/>
                  </w:pPr>
                  <w:r>
                    <w:t xml:space="preserve">0.0%</w:t>
                  </w:r>
                </w:p>
              </w:tc>
            </w:tr>
          </w:tbl>
          <w:p>
            <w:pPr>
              <w:jc w:val="center"/>
            </w:pPr>
            <w:pPr>
              <w:jc w:val="start"/>
              <w:spacing w:before="200"/>
              <w:pStyle w:val="ImageCaption"/>
            </w:pPr>
            <w:r>
              <w:t xml:space="preserve">Table S 49: Mean degree by figurine-exclusion condition, with percentage change from baseline. Reproduced directly from the joint comparison in</w:t>
            </w:r>
            <w:r>
              <w:t xml:space="preserve"> </w:t>
            </w:r>
            <w:hyperlink w:anchor="tbl-objtype-joint">
              <w:r>
                <w:rPr>
                  <w:rStyle w:val="Hyperlink"/>
                </w:rPr>
                <w:t xml:space="preserve">Table S 48</w:t>
              </w:r>
            </w:hyperlink>
            <w:r>
              <w:t xml:space="preserve">.</w:t>
            </w:r>
          </w:p>
          <w:bookmarkEnd w:id="240"/>
        </w:tc>
      </w:tr>
    </w:tbl>
    <w:p>
      <w:pPr>
        <w:pStyle w:val="BodyText"/>
      </w:pPr>
      <w:r>
        <w:rPr>
          <w:bCs/>
          <w:b/>
        </w:rPr>
        <w:t xml:space="preserve">Outcome observed: Negligible effect, no qualitative change.</w:t>
      </w:r>
      <w:r>
        <w:t xml:space="preserve"> </w:t>
      </w:r>
      <w:r>
        <w:t xml:space="preserve">Mean degree changes are at most -1.3% across both phases and all conditions, and excluding all figurines removes a single edge from Aur-P1 (75 → 74, mean degree 7.5 → 7.4) while leaving Aur-P2’s edge set unchanged (19 edges, mean degree 4.22). Modularity decreases slightly for Aur-P1 when figurines are excluded (0.336 → 0.318 excluding all; 0.336 → 0.333 excluding Vogelherd only) while Aur-P2 is unchanged (0.161), indicating that figurines contribute marginally to within-group cohesion but do not create the community structure.</w:t>
      </w:r>
    </w:p>
    <w:p>
      <w:pPr>
        <w:pStyle w:val="BodyText"/>
      </w:pPr>
      <w:r>
        <w:rPr>
          <w:bCs/>
          <w:b/>
        </w:rPr>
        <w:t xml:space="preserve">Phase ordering is preserved.</w:t>
      </w:r>
      <w:r>
        <w:t xml:space="preserve"> </w:t>
      </w:r>
      <w:r>
        <w:t xml:space="preserve">The main-text connectivity contrast Aur-P1 &gt; Aur-P2 (7.5 &gt; 4.22) is unchanged under both exclusion scenarios (7.4 &gt; 4.22 excluding all figurines; 7.4 &gt; 4.22 excluding Vogelherd figurines only), preserving the key finding that the early phase is the more connected.</w:t>
      </w:r>
    </w:p>
    <w:p>
      <w:pPr>
        <w:pStyle w:val="BodyText"/>
      </w:pPr>
      <w:r>
        <w:rPr>
          <w:bCs/>
          <w:b/>
        </w:rPr>
        <w:t xml:space="preserve">The figurine effect is small and Vogelherd-specific.</w:t>
      </w:r>
      <w:r>
        <w:t xml:space="preserve"> </w:t>
      </w:r>
      <w:r>
        <w:t xml:space="preserve">Removing Vogelherd figurines alone (-1.3% in Aur-P1) produces the same effect as removing all 63 figurines globally (-1.3%). Figurines at Hohle Fels (4, 4), Geissenklösterle (3), Hohlenstein-Stadel (1), and La Ferrassie (1) do not alter network structure. This indicates that although Vogelherd’s figurine assemblage is unusually rich , 50 of 63 figurines , and contributes disproportionately to sign-type counts, its 123 remaining non-figurine objects still carry a sufficiently diverse sign repertoire to maintain network connectivity.</w:t>
      </w:r>
    </w:p>
    <w:p>
      <w:pPr>
        <w:pStyle w:val="BodyText"/>
      </w:pPr>
      <w:r>
        <w:rPr>
          <w:bCs/>
          <w:b/>
        </w:rPr>
        <w:t xml:space="preserve">Conclusion.</w:t>
      </w:r>
      <w:r>
        <w:t xml:space="preserve"> </w:t>
      </w:r>
      <w:r>
        <w:t xml:space="preserve">The main-text findings are robust to figurine exclusion. The Aur-P1 &gt; Aur-P2 connectivity contrast, the two-group community structure, and the site membership of both phases are all preserved when figurines are removed. The concentration of figurines at Vogelherd does not bias the seriation or network results, and the broader-range group’s connectivity within Aur-P1 is supported by non-figurine sign types. We note that modularity decreases slightly when figurines are excluded (Aur-P1: 0.336 → 0.318), suggesting that figurines contribute modestly to community cohesion , consistent with</w:t>
      </w:r>
      <w:r>
        <w:t xml:space="preserve"> </w:t>
      </w:r>
      <w:r>
        <w:t xml:space="preserve">[27]</w:t>
      </w:r>
      <w:r>
        <w:t xml:space="preserve"> </w:t>
      </w:r>
      <w:r>
        <w:t xml:space="preserve">argument that figurines carry high-information sign sequences, but the communities themselves are defined by shared sign types across all object types.</w:t>
      </w:r>
    </w:p>
    <w:bookmarkEnd w:id="241"/>
    <w:bookmarkEnd w:id="242"/>
    <w:bookmarkStart w:id="243" w:name="sec-s12-7"/>
    <w:p>
      <w:pPr>
        <w:pStyle w:val="Heading2"/>
      </w:pPr>
      <w:r>
        <w:t xml:space="preserve">S1.12.7 Synthesis and Limitation</w:t>
      </w:r>
    </w:p>
    <w:p>
      <w:pPr>
        <w:pStyle w:val="FirstParagraph"/>
      </w:pPr>
      <w:r>
        <w:t xml:space="preserve">The five sampling analyses converge on a single conclusion. (1) Under object-downsampling, only the best-sampled sites retain their R/B assignment; small-object sites flip group at rates indistinguishable from chance, and network modularity collapses (</w:t>
      </w:r>
      <w:r>
        <w:t xml:space="preserve">Section S1.12.2</w:t>
      </w:r>
      <w:r>
        <w:t xml:space="preserve">). (2) Coverage-based rarefaction shows the broad/restricted contrast persists among the sites assessable at equal coverage, but the majority of the smallest sites never reach a comparable coverage, so the method cannot vindicate them (</w:t>
      </w:r>
      <w:r>
        <w:t xml:space="preserve">Section S1.12.3</w:t>
      </w:r>
      <w:r>
        <w:t xml:space="preserve">). (3) The offset model’s null group effect was a property of fixing the richness-effort exponent at 1; with the exponent estimated, the group contrast persists, so the gap is not distinguishable from a genuine group difference at saturating effort (</w:t>
      </w:r>
      <w:r>
        <w:t xml:space="preserve">Section S1.12.4</w:t>
      </w:r>
      <w:r>
        <w:t xml:space="preserve">). (4) At equal effort with</w:t>
      </w:r>
      <w:r>
        <w:t xml:space="preserve"> </w:t>
      </w:r>
      <w:r>
        <w:rPr>
          <w:rStyle w:val="VerbatimChar"/>
        </w:rPr>
        <w:t xml:space="preserve">iNEXT</w:t>
      </w:r>
      <w:r>
        <w:t xml:space="preserve">, the Aur-P1 vs Aur-P2 sign-type pool difference lies inside sampling variation, even when restricted to shared object types (</w:t>
      </w:r>
      <w:r>
        <w:t xml:space="preserve">Section S1.12.5</w:t>
      </w:r>
      <w:r>
        <w:t xml:space="preserve">). (5) Under fixed margins the Jaccard group separation is not distinguished from richness structure alone (Aur-P1 exceeds object-sampling expectation; Aur-P2 does not), while Simpson turnover dissimilarity shows no group separation in either phase (</w:t>
      </w:r>
      <w:r>
        <w:t xml:space="preserve">Section S1.10.1</w:t>
      </w:r>
      <w:r>
        <w:t xml:space="preserve">). Figurine exclusion (</w:t>
      </w:r>
      <w:r>
        <w:t xml:space="preserve">Section S1.12.6</w:t>
      </w:r>
      <w:r>
        <w:t xml:space="preserve">) is the exception: it leaves the Aur-P1 greater than Aur-P2 ordering intact. Together these show that the restricted/broad division is</w:t>
      </w:r>
      <w:r>
        <w:t xml:space="preserve"> </w:t>
      </w:r>
      <w:r>
        <w:rPr>
          <w:bCs/>
          <w:b/>
        </w:rPr>
        <w:t xml:space="preserve">not fully independent of sampling intensity</w:t>
      </w:r>
      <w:r>
        <w:t xml:space="preserve">: it is recovered robustly for large assemblages, but for the numerous small assemblages it is partly an artefact of how many objects were recovered, and the raw 26 vs 15 pool contraction does not survive equal-effort standardisation.</w:t>
      </w:r>
    </w:p>
    <w:bookmarkEnd w:id="243"/>
    <w:bookmarkEnd w:id="244"/>
    <w:bookmarkStart w:id="300" w:name="sec-s13"/>
    <w:p>
      <w:pPr>
        <w:pStyle w:val="Heading1"/>
      </w:pPr>
      <w:r>
        <w:t xml:space="preserve">S1.13 Overall Synthesis</w:t>
      </w:r>
    </w:p>
    <w:p>
      <w:pPr>
        <w:pStyle w:val="FirstParagraph"/>
      </w:pPr>
      <w:r>
        <w:t xml:space="preserve">All results are conditional on the retained sample in</w:t>
      </w:r>
      <w:r>
        <w:t xml:space="preserve"> </w:t>
      </w:r>
      <w:r>
        <w:t xml:space="preserve">Section S1.1</w:t>
      </w:r>
      <w:r>
        <w:t xml:space="preserve">. Date parsing and quality filtering remove small and poorly dated assemblages before any network is built. Aur-P2 rests on nine sites throughout, so every Aur-P2 comparison has low power and wide uncertainty.</w:t>
      </w:r>
    </w:p>
    <w:p>
      <w:pPr>
        <w:pStyle w:val="BodyText"/>
      </w:pPr>
      <w:r>
        <w:t xml:space="preserve">Threshold, metric, distance, and periodisation checks support the same reading. The Aur-P1 greater than Aur-P2 mean-degree ordering holds at thresholds 0.1, 0.2, and 0.3 and across the continuous sweep in</w:t>
      </w:r>
      <w:r>
        <w:t xml:space="preserve"> </w:t>
      </w:r>
      <w:r>
        <w:t xml:space="preserve">Section S1.2</w:t>
      </w:r>
      <w:r>
        <w:t xml:space="preserve">. It holds under Jaccard, Sorensen-Dice, and Simpson in</w:t>
      </w:r>
      <w:r>
        <w:t xml:space="preserve"> </w:t>
      </w:r>
      <w:r>
        <w:t xml:space="preserve">Section S1.3</w:t>
      </w:r>
      <w:r>
        <w:t xml:space="preserve">. It holds under geodesic and Euclidean distance in</w:t>
      </w:r>
      <w:r>
        <w:t xml:space="preserve"> </w:t>
      </w:r>
      <w:r>
        <w:t xml:space="preserve">Section S1.4</w:t>
      </w:r>
      <w:r>
        <w:t xml:space="preserve">, where neither phase shows a geographic correlation. It holds across two, three, and four phase schemes, across date variants, across boundary shifts, and under date-based versus technological assignment in</w:t>
      </w:r>
      <w:r>
        <w:t xml:space="preserve"> </w:t>
      </w:r>
      <w:r>
        <w:t xml:space="preserve">Section S1.5</w:t>
      </w:r>
      <w:r>
        <w:t xml:space="preserve">. Modularity ordering does not survive all of these changes. It reverses under date-based assignment, so the between-phase contrast is best read as a difference in network scale rather than a stable ordering of modularity.</w:t>
      </w:r>
    </w:p>
    <w:p>
      <w:pPr>
        <w:pStyle w:val="BodyText"/>
      </w:pPr>
      <w:r>
        <w:t xml:space="preserve">Group existence requires a narrower reading. Louvain recovery in</w:t>
      </w:r>
      <w:r>
        <w:t xml:space="preserve"> </w:t>
      </w:r>
      <w:r>
        <w:t xml:space="preserve">Section S1.6</w:t>
      </w:r>
      <w:r>
        <w:t xml:space="preserve"> </w:t>
      </w:r>
      <w:r>
        <w:t xml:space="preserve">and bootstrap stability in</w:t>
      </w:r>
      <w:r>
        <w:t xml:space="preserve"> </w:t>
      </w:r>
      <w:r>
        <w:t xml:space="preserve">Section S1.9</w:t>
      </w:r>
      <w:r>
        <w:t xml:space="preserve"> </w:t>
      </w:r>
      <w:r>
        <w:t xml:space="preserve">show that the restricted versus broad axis is coherent under resampling, most clearly in Aur-P1. Generative modelling in</w:t>
      </w:r>
      <w:r>
        <w:t xml:space="preserve"> </w:t>
      </w:r>
      <w:r>
        <w:t xml:space="preserve">Section S1.9</w:t>
      </w:r>
      <w:r>
        <w:t xml:space="preserve"> </w:t>
      </w:r>
      <w:r>
        <w:t xml:space="preserve">does not recover multiple blocks under Bernoulli, Gaussian, or Poisson specifications. Withheld-data validation in</w:t>
      </w:r>
      <w:r>
        <w:t xml:space="preserve"> </w:t>
      </w:r>
      <w:r>
        <w:t xml:space="preserve">Section S1.10</w:t>
      </w:r>
      <w:r>
        <w:t xml:space="preserve"> </w:t>
      </w:r>
      <w:r>
        <w:t xml:space="preserve">does not find separation beyond richness structure under the fixed-fixed null, and Simpson turnover shows no separation in either phase. The supported claim is a dominant richness axis that is recoverable from disjoint objects in well sampled sites, not discrete provinces that emerge from an unsupervised generative model.</w:t>
      </w:r>
    </w:p>
    <w:p>
      <w:pPr>
        <w:pStyle w:val="BodyText"/>
      </w:pPr>
      <w:r>
        <w:t xml:space="preserve">Sampling intensity qualifies small-site assignments. Downsampling, coverage, regression with estimated exponent, and equal-effort pool comparison in</w:t>
      </w:r>
      <w:r>
        <w:t xml:space="preserve"> </w:t>
      </w:r>
      <w:r>
        <w:t xml:space="preserve">Section S1.12</w:t>
      </w:r>
      <w:r>
        <w:t xml:space="preserve"> </w:t>
      </w:r>
      <w:r>
        <w:t xml:space="preserve">show that large assemblages retain their grouping while sites with one or two objects flip at chance rates and never reach comparable coverage. The raw Aur-P1 versus Aur-P2 pool difference is not distinguishable from sampling variation at equal effort. Figurine exclusion is the exception and leaves the ordering intact.</w:t>
      </w:r>
    </w:p>
    <w:p>
      <w:pPr>
        <w:pStyle w:val="BodyText"/>
      </w:pPr>
      <w:r>
        <w:t xml:space="preserve">For the main text, report raw degree descriptively and base inference on permutation and withheld-data results. Present the restricted versus broad contrast as a recoverable gradient that is strong for well sampled sites and provisional for small ones. Present Aur-P2 community structure as indicative rather than conclusive. Present the pool contraction as not demonstrated at equal effort, with the sample-difference caveat stated.</w:t>
      </w:r>
    </w:p>
    <w:bookmarkStart w:id="299" w:name="references-cited"/>
    <w:p>
      <w:pPr>
        <w:pStyle w:val="Heading2"/>
      </w:pPr>
      <w:r>
        <w:t xml:space="preserve">References cited</w:t>
      </w:r>
    </w:p>
    <w:bookmarkStart w:id="298" w:name="refs"/>
    <w:bookmarkStart w:id="246" w:name="ref-Goslee_Urban_2007"/>
    <w:p>
      <w:pPr>
        <w:pStyle w:val="Bibliography"/>
      </w:pPr>
      <w:r>
        <w:t xml:space="preserve">[1]</w:t>
      </w:r>
      <w:r>
        <w:t xml:space="preserve"> </w:t>
      </w:r>
      <w:r>
        <w:t xml:space="preserve">	</w:t>
      </w:r>
      <w:r>
        <w:t xml:space="preserve">Goslee SC, Urban DL. The</w:t>
      </w:r>
      <w:r>
        <w:t xml:space="preserve"> </w:t>
      </w:r>
      <w:r>
        <w:t xml:space="preserve">ecodist</w:t>
      </w:r>
      <w:r>
        <w:t xml:space="preserve"> </w:t>
      </w:r>
      <w:r>
        <w:t xml:space="preserve">package for dissimilarity-based analysis of ecological data. Journal of Statistical Software 2007;22:1–19.</w:t>
      </w:r>
      <w:r>
        <w:t xml:space="preserve"> </w:t>
      </w:r>
      <w:hyperlink r:id="rId245">
        <w:r>
          <w:rPr>
            <w:rStyle w:val="Hyperlink"/>
          </w:rPr>
          <w:t xml:space="preserve">https://doi.org/10.18637/jss.v022.i07</w:t>
        </w:r>
      </w:hyperlink>
      <w:r>
        <w:t xml:space="preserve">.</w:t>
      </w:r>
    </w:p>
    <w:bookmarkEnd w:id="246"/>
    <w:bookmarkStart w:id="248" w:name="X68cdd7ba62fc5dd3e1e9b497937717305f7b9a0"/>
    <w:p>
      <w:pPr>
        <w:pStyle w:val="Bibliography"/>
      </w:pPr>
      <w:r>
        <w:t xml:space="preserve">[2]</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247">
        <w:r>
          <w:rPr>
            <w:rStyle w:val="Hyperlink"/>
          </w:rPr>
          <w:t xml:space="preserve">https://doi.org/10.1016/j.quascirev.2021.106995</w:t>
        </w:r>
      </w:hyperlink>
      <w:r>
        <w:t xml:space="preserve">.</w:t>
      </w:r>
    </w:p>
    <w:bookmarkEnd w:id="248"/>
    <w:bookmarkStart w:id="250" w:name="ref-teyssandier2018entity"/>
    <w:p>
      <w:pPr>
        <w:pStyle w:val="Bibliography"/>
      </w:pPr>
      <w:r>
        <w:t xml:space="preserve">[3]</w:t>
      </w:r>
      <w:r>
        <w:t xml:space="preserve"> </w:t>
      </w:r>
      <w:r>
        <w:t xml:space="preserve">	</w:t>
      </w:r>
      <w:r>
        <w:t xml:space="preserve">Teyssandier N, Zilhão J. On the entity and antiquity of the</w:t>
      </w:r>
      <w:r>
        <w:t xml:space="preserve"> </w:t>
      </w:r>
      <w:r>
        <w:t xml:space="preserve">Aurignacian</w:t>
      </w:r>
      <w:r>
        <w:t xml:space="preserve"> </w:t>
      </w:r>
      <w:r>
        <w:t xml:space="preserve">at</w:t>
      </w:r>
      <w:r>
        <w:t xml:space="preserve"> </w:t>
      </w:r>
      <w:r>
        <w:t xml:space="preserve">Willendorf</w:t>
      </w:r>
      <w:r>
        <w:t xml:space="preserve"> </w:t>
      </w:r>
      <w:r>
        <w:t xml:space="preserve">(</w:t>
      </w:r>
      <w:r>
        <w:t xml:space="preserve">Austria</w:t>
      </w:r>
      <w:r>
        <w:t xml:space="preserve">): Implications for modern human emergence in</w:t>
      </w:r>
      <w:r>
        <w:t xml:space="preserve"> </w:t>
      </w:r>
      <w:r>
        <w:t xml:space="preserve">Europe</w:t>
      </w:r>
      <w:r>
        <w:t xml:space="preserve">. Journal of Paleolithic Archaeology 2018;1:107–38.</w:t>
      </w:r>
      <w:r>
        <w:t xml:space="preserve"> </w:t>
      </w:r>
      <w:hyperlink r:id="rId249">
        <w:r>
          <w:rPr>
            <w:rStyle w:val="Hyperlink"/>
          </w:rPr>
          <w:t xml:space="preserve">https://doi.org/10.1007/s41982-017-0004-4</w:t>
        </w:r>
      </w:hyperlink>
      <w:r>
        <w:t xml:space="preserve">.</w:t>
      </w:r>
    </w:p>
    <w:bookmarkEnd w:id="250"/>
    <w:bookmarkStart w:id="252" w:name="ref-Chiotti_2005"/>
    <w:p>
      <w:pPr>
        <w:pStyle w:val="Bibliography"/>
      </w:pPr>
      <w:r>
        <w:t xml:space="preserve">[4]</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251">
        <w:r>
          <w:rPr>
            <w:rStyle w:val="Hyperlink"/>
          </w:rPr>
          <w:t xml:space="preserve">https://doi.org/10.30861/9781841718309</w:t>
        </w:r>
      </w:hyperlink>
      <w:r>
        <w:t xml:space="preserve">.</w:t>
      </w:r>
    </w:p>
    <w:bookmarkEnd w:id="252"/>
    <w:bookmarkStart w:id="254" w:name="ref-Higham_Abri_Pataud_2011"/>
    <w:p>
      <w:pPr>
        <w:pStyle w:val="Bibliography"/>
      </w:pPr>
      <w:r>
        <w:t xml:space="preserve">[5]</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253">
        <w:r>
          <w:rPr>
            <w:rStyle w:val="Hyperlink"/>
          </w:rPr>
          <w:t xml:space="preserve">https://doi.org/10.1016/j.jhevol.2011.06.005</w:t>
        </w:r>
      </w:hyperlink>
      <w:r>
        <w:t xml:space="preserve">.</w:t>
      </w:r>
    </w:p>
    <w:bookmarkEnd w:id="254"/>
    <w:bookmarkStart w:id="256" w:name="ref-Talamo_La_Ferrassie_2020"/>
    <w:p>
      <w:pPr>
        <w:pStyle w:val="Bibliography"/>
      </w:pPr>
      <w:r>
        <w:t xml:space="preserve">[6]</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255">
        <w:r>
          <w:rPr>
            <w:rStyle w:val="Hyperlink"/>
          </w:rPr>
          <w:t xml:space="preserve">https://doi.org/10.1002/jqs.3236</w:t>
        </w:r>
      </w:hyperlink>
      <w:r>
        <w:t xml:space="preserve">.</w:t>
      </w:r>
    </w:p>
    <w:bookmarkEnd w:id="256"/>
    <w:bookmarkStart w:id="257" w:name="ref-Delporte_1984_Ferrassie"/>
    <w:p>
      <w:pPr>
        <w:pStyle w:val="Bibliography"/>
      </w:pPr>
      <w:r>
        <w:t xml:space="preserve">[7]</w:t>
      </w:r>
      <w:r>
        <w:t xml:space="preserve"> </w:t>
      </w:r>
      <w:r>
        <w:t xml:space="preserve">	</w:t>
      </w:r>
      <w:r>
        <w:t xml:space="preserve">Delporte H, editor. Le grand abri de</w:t>
      </w:r>
      <w:r>
        <w:t xml:space="preserve"> </w:t>
      </w:r>
      <w:r>
        <w:t xml:space="preserve">La Ferrassie</w:t>
      </w:r>
      <w:r>
        <w:t xml:space="preserve">: Fouilles 1968-1973. Paris: Laboratoire de Pal</w:t>
      </w:r>
      <w:r>
        <w:t xml:space="preserve">é</w:t>
      </w:r>
      <w:r>
        <w:t xml:space="preserve">ontologie Humaine et de Pr</w:t>
      </w:r>
      <w:r>
        <w:t xml:space="preserve">é</w:t>
      </w:r>
      <w:r>
        <w:t xml:space="preserve">histoire; 1984.</w:t>
      </w:r>
    </w:p>
    <w:bookmarkEnd w:id="257"/>
    <w:bookmarkStart w:id="259" w:name="ref-Oliva_2006"/>
    <w:p>
      <w:pPr>
        <w:pStyle w:val="Bibliography"/>
      </w:pPr>
      <w:r>
        <w:t xml:space="preserve">[8]</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258">
        <w:r>
          <w:rPr>
            <w:rStyle w:val="Hyperlink"/>
          </w:rPr>
          <w:t xml:space="preserve">https://doi.org/10.1007/978-3-211-49294-9_4</w:t>
        </w:r>
      </w:hyperlink>
      <w:r>
        <w:t xml:space="preserve">.</w:t>
      </w:r>
    </w:p>
    <w:bookmarkEnd w:id="259"/>
    <w:bookmarkStart w:id="261" w:name="ref-Wild_et_al_2005"/>
    <w:p>
      <w:pPr>
        <w:pStyle w:val="Bibliography"/>
      </w:pPr>
      <w:r>
        <w:t xml:space="preserve">[9]</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260">
        <w:r>
          <w:rPr>
            <w:rStyle w:val="Hyperlink"/>
          </w:rPr>
          <w:t xml:space="preserve">https://doi.org/10.1038/nature03585</w:t>
        </w:r>
      </w:hyperlink>
      <w:r>
        <w:t xml:space="preserve">.</w:t>
      </w:r>
    </w:p>
    <w:bookmarkEnd w:id="261"/>
    <w:bookmarkStart w:id="263" w:name="ref-Schurch_Conard_2026_reassess"/>
    <w:p>
      <w:pPr>
        <w:pStyle w:val="Bibliography"/>
      </w:pPr>
      <w:r>
        <w:t xml:space="preserve">[10]</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262">
        <w:r>
          <w:rPr>
            <w:rStyle w:val="Hyperlink"/>
          </w:rPr>
          <w:t xml:space="preserve">https://doi.org/10.1007/s41982-025-00246-x</w:t>
        </w:r>
      </w:hyperlink>
      <w:r>
        <w:t xml:space="preserve">.</w:t>
      </w:r>
    </w:p>
    <w:bookmarkEnd w:id="263"/>
    <w:bookmarkStart w:id="265" w:name="ref-Blondel_2008"/>
    <w:p>
      <w:pPr>
        <w:pStyle w:val="Bibliography"/>
      </w:pPr>
      <w:r>
        <w:t xml:space="preserve">[11]</w:t>
      </w:r>
      <w:r>
        <w:t xml:space="preserve"> </w:t>
      </w:r>
      <w:r>
        <w:t xml:space="preserve">	</w:t>
      </w:r>
      <w:r>
        <w:t xml:space="preserve">Blondel VD, Guillaume J-L, Lambiotte R, Lefebvre E. Fast unfolding of communities in large networks. Journal of Statistical Mechanics: Theory and Experiment 2008;2008:P10008.</w:t>
      </w:r>
      <w:r>
        <w:t xml:space="preserve"> </w:t>
      </w:r>
      <w:hyperlink r:id="rId264">
        <w:r>
          <w:rPr>
            <w:rStyle w:val="Hyperlink"/>
          </w:rPr>
          <w:t xml:space="preserve">https://doi.org/10.1088/1742-5468/2008/10/P10008</w:t>
        </w:r>
      </w:hyperlink>
      <w:r>
        <w:t xml:space="preserve">.</w:t>
      </w:r>
    </w:p>
    <w:bookmarkEnd w:id="265"/>
    <w:bookmarkStart w:id="267" w:name="ref-newman2004finding"/>
    <w:p>
      <w:pPr>
        <w:pStyle w:val="Bibliography"/>
      </w:pPr>
      <w:r>
        <w:t xml:space="preserve">[12]</w:t>
      </w:r>
      <w:r>
        <w:t xml:space="preserve"> </w:t>
      </w:r>
      <w:r>
        <w:t xml:space="preserve">	</w:t>
      </w:r>
      <w:r>
        <w:t xml:space="preserve">Newman ME, Girvan M. Finding and evaluating community structure in networks. Physical Review E 2004;69:026113.</w:t>
      </w:r>
      <w:r>
        <w:t xml:space="preserve"> </w:t>
      </w:r>
      <w:hyperlink r:id="rId266">
        <w:r>
          <w:rPr>
            <w:rStyle w:val="Hyperlink"/>
          </w:rPr>
          <w:t xml:space="preserve">https://doi.org/10.1103/PhysRevE.69.026113</w:t>
        </w:r>
      </w:hyperlink>
      <w:r>
        <w:t xml:space="preserve">.</w:t>
      </w:r>
    </w:p>
    <w:bookmarkEnd w:id="267"/>
    <w:bookmarkStart w:id="269" w:name="ref-Roberts_2021"/>
    <w:p>
      <w:pPr>
        <w:pStyle w:val="Bibliography"/>
      </w:pPr>
      <w:r>
        <w:t xml:space="preserve">[13]</w:t>
      </w:r>
      <w:r>
        <w:t xml:space="preserve"> </w:t>
      </w:r>
      <w:r>
        <w:t xml:space="preserve">	</w:t>
      </w:r>
      <w:r>
        <w:t xml:space="preserve">Roberts JM, Yin Y, Dorshorst E, Peeples MA, Mills BJ. Assessing the performance of the bootstrap in simulated assemblage networks. Social Networks 2021;65:98–109.</w:t>
      </w:r>
      <w:r>
        <w:t xml:space="preserve"> </w:t>
      </w:r>
      <w:hyperlink r:id="rId268">
        <w:r>
          <w:rPr>
            <w:rStyle w:val="Hyperlink"/>
          </w:rPr>
          <w:t xml:space="preserve">https://doi.org/10.1016/j.socnet.2020.11.005</w:t>
        </w:r>
      </w:hyperlink>
      <w:r>
        <w:t xml:space="preserve">.</w:t>
      </w:r>
    </w:p>
    <w:bookmarkEnd w:id="269"/>
    <w:bookmarkStart w:id="271" w:name="ref-Clarke_Rothery_Raybould_2002"/>
    <w:p>
      <w:pPr>
        <w:pStyle w:val="Bibliography"/>
      </w:pPr>
      <w:r>
        <w:t xml:space="preserve">[14]</w:t>
      </w:r>
      <w:r>
        <w:t xml:space="preserve"> </w:t>
      </w:r>
      <w:r>
        <w:t xml:space="preserve">	</w:t>
      </w:r>
      <w:r>
        <w:t xml:space="preserve">Clarke RT, Rothery P, Raybould AF. Confidence limits for regression relationships between distance matrices: Estimating gene flow with distance. Journal of Agricultural, Biological, and Environmental Statistics 2002;7:361–72.</w:t>
      </w:r>
      <w:r>
        <w:t xml:space="preserve"> </w:t>
      </w:r>
      <w:hyperlink r:id="rId270">
        <w:r>
          <w:rPr>
            <w:rStyle w:val="Hyperlink"/>
          </w:rPr>
          <w:t xml:space="preserve">https://doi.org/10.1198/108571102320</w:t>
        </w:r>
      </w:hyperlink>
      <w:r>
        <w:t xml:space="preserve">.</w:t>
      </w:r>
    </w:p>
    <w:bookmarkEnd w:id="271"/>
    <w:bookmarkStart w:id="273" w:name="ref-Lichstein_2007"/>
    <w:p>
      <w:pPr>
        <w:pStyle w:val="Bibliography"/>
      </w:pPr>
      <w:r>
        <w:t xml:space="preserve">[15]</w:t>
      </w:r>
      <w:r>
        <w:t xml:space="preserve"> </w:t>
      </w:r>
      <w:r>
        <w:t xml:space="preserve">	</w:t>
      </w:r>
      <w:r>
        <w:t xml:space="preserve">Lichstein JW. Multiple regression on distance matrices: A multivariate spatial analysis tool. Plant Ecology 2007;188:117–31.</w:t>
      </w:r>
      <w:r>
        <w:t xml:space="preserve"> </w:t>
      </w:r>
      <w:hyperlink r:id="rId272">
        <w:r>
          <w:rPr>
            <w:rStyle w:val="Hyperlink"/>
          </w:rPr>
          <w:t xml:space="preserve">https://doi.org/10.1007/s11258-006-9126-3</w:t>
        </w:r>
      </w:hyperlink>
      <w:r>
        <w:t xml:space="preserve">.</w:t>
      </w:r>
    </w:p>
    <w:bookmarkEnd w:id="273"/>
    <w:bookmarkStart w:id="275" w:name="ref-Monti_2003"/>
    <w:p>
      <w:pPr>
        <w:pStyle w:val="Bibliography"/>
      </w:pPr>
      <w:r>
        <w:t xml:space="preserve">[16]</w:t>
      </w:r>
      <w:r>
        <w:t xml:space="preserve"> </w:t>
      </w:r>
      <w:r>
        <w:t xml:space="preserve">	</w:t>
      </w:r>
      <w:r>
        <w:t xml:space="preserve">Monti S, Tamayo P, Mesirov J, Golub T. Consensus clustering: A resampling-based method for class discovery and visualization of gene expression microarray data. Machine Learning 2003;52:91–118.</w:t>
      </w:r>
      <w:r>
        <w:t xml:space="preserve"> </w:t>
      </w:r>
      <w:hyperlink r:id="rId274">
        <w:r>
          <w:rPr>
            <w:rStyle w:val="Hyperlink"/>
          </w:rPr>
          <w:t xml:space="preserve">https://doi.org/10.1023/A:1023949509487</w:t>
        </w:r>
      </w:hyperlink>
      <w:r>
        <w:t xml:space="preserve">.</w:t>
      </w:r>
    </w:p>
    <w:bookmarkEnd w:id="275"/>
    <w:bookmarkStart w:id="277" w:name="ref-Leger_2016"/>
    <w:p>
      <w:pPr>
        <w:pStyle w:val="Bibliography"/>
      </w:pPr>
      <w:r>
        <w:t xml:space="preserve">[17]</w:t>
      </w:r>
      <w:r>
        <w:t xml:space="preserve"> </w:t>
      </w:r>
      <w:r>
        <w:t xml:space="preserve">	</w:t>
      </w:r>
      <w:r>
        <w:t xml:space="preserve">Léger J-B. Blockmodels: A</w:t>
      </w:r>
      <w:r>
        <w:t xml:space="preserve"> </w:t>
      </w:r>
      <w:r>
        <w:t xml:space="preserve">R</w:t>
      </w:r>
      <w:r>
        <w:t xml:space="preserve">-package for estimating in latent block model and stochastic block model, with various probability functions, with or without covariates 2016.</w:t>
      </w:r>
      <w:r>
        <w:t xml:space="preserve"> </w:t>
      </w:r>
      <w:hyperlink r:id="rId276">
        <w:r>
          <w:rPr>
            <w:rStyle w:val="Hyperlink"/>
          </w:rPr>
          <w:t xml:space="preserve">https://doi.org/10.48550/arXiv.1602.07587</w:t>
        </w:r>
      </w:hyperlink>
      <w:r>
        <w:t xml:space="preserve">.</w:t>
      </w:r>
    </w:p>
    <w:bookmarkEnd w:id="277"/>
    <w:bookmarkStart w:id="279" w:name="ref-Hubert_Arabie_1985"/>
    <w:p>
      <w:pPr>
        <w:pStyle w:val="Bibliography"/>
      </w:pPr>
      <w:r>
        <w:t xml:space="preserve">[18]</w:t>
      </w:r>
      <w:r>
        <w:t xml:space="preserve"> </w:t>
      </w:r>
      <w:r>
        <w:t xml:space="preserve">	</w:t>
      </w:r>
      <w:r>
        <w:t xml:space="preserve">Hubert L, Arabie P. Comparing partitions. Journal of Classification 1985;2:193–218.</w:t>
      </w:r>
      <w:r>
        <w:t xml:space="preserve"> </w:t>
      </w:r>
      <w:hyperlink r:id="rId278">
        <w:r>
          <w:rPr>
            <w:rStyle w:val="Hyperlink"/>
          </w:rPr>
          <w:t xml:space="preserve">https://doi.org/10.1007/BF01908075</w:t>
        </w:r>
      </w:hyperlink>
      <w:r>
        <w:t xml:space="preserve">.</w:t>
      </w:r>
    </w:p>
    <w:bookmarkEnd w:id="279"/>
    <w:bookmarkStart w:id="281" w:name="ref-Gao_Bien_Witten_2022"/>
    <w:p>
      <w:pPr>
        <w:pStyle w:val="Bibliography"/>
      </w:pPr>
      <w:r>
        <w:t xml:space="preserve">[19]</w:t>
      </w:r>
      <w:r>
        <w:t xml:space="preserve"> </w:t>
      </w:r>
      <w:r>
        <w:t xml:space="preserve">	</w:t>
      </w:r>
      <w:r>
        <w:t xml:space="preserve">Gao LL, Bien J, Witten D. Selective inference for</w:t>
      </w:r>
      <w:r>
        <w:t xml:space="preserve"> </w:t>
      </w:r>
      <w:r>
        <w:t xml:space="preserve">Hierarchical</w:t>
      </w:r>
      <w:r>
        <w:t xml:space="preserve"> </w:t>
      </w:r>
      <w:r>
        <w:t xml:space="preserve">clustering. Journal of the American Statistical Association 2022;119:332–42.</w:t>
      </w:r>
      <w:r>
        <w:t xml:space="preserve"> </w:t>
      </w:r>
      <w:hyperlink r:id="rId280">
        <w:r>
          <w:rPr>
            <w:rStyle w:val="Hyperlink"/>
          </w:rPr>
          <w:t xml:space="preserve">https://doi.org/10.1080/01621459.2022.2116331</w:t>
        </w:r>
      </w:hyperlink>
      <w:r>
        <w:t xml:space="preserve">.</w:t>
      </w:r>
    </w:p>
    <w:bookmarkEnd w:id="281"/>
    <w:bookmarkStart w:id="283" w:name="ref-Neufeld_2024"/>
    <w:p>
      <w:pPr>
        <w:pStyle w:val="Bibliography"/>
      </w:pPr>
      <w:r>
        <w:t xml:space="preserve">[20]</w:t>
      </w:r>
      <w:r>
        <w:t xml:space="preserve"> </w:t>
      </w:r>
      <w:r>
        <w:t xml:space="preserve">	</w:t>
      </w:r>
      <w:r>
        <w:t xml:space="preserve">Neufeld A, Gao LL, Popp J, Battle A, Witten D. Inference after latent variable estimation for single-cell</w:t>
      </w:r>
      <w:r>
        <w:t xml:space="preserve"> </w:t>
      </w:r>
      <w:r>
        <w:t xml:space="preserve">RNA</w:t>
      </w:r>
      <w:r>
        <w:t xml:space="preserve"> </w:t>
      </w:r>
      <w:r>
        <w:t xml:space="preserve">sequencing data. Biostatistics 2024;25:270–87.</w:t>
      </w:r>
      <w:r>
        <w:t xml:space="preserve"> </w:t>
      </w:r>
      <w:hyperlink r:id="rId282">
        <w:r>
          <w:rPr>
            <w:rStyle w:val="Hyperlink"/>
          </w:rPr>
          <w:t xml:space="preserve">https://doi.org/10.1093/biostatistics/kxac047</w:t>
        </w:r>
      </w:hyperlink>
      <w:r>
        <w:t xml:space="preserve">.</w:t>
      </w:r>
    </w:p>
    <w:bookmarkEnd w:id="283"/>
    <w:bookmarkStart w:id="285" w:name="ref-Brown_1975"/>
    <w:p>
      <w:pPr>
        <w:pStyle w:val="Bibliography"/>
      </w:pPr>
      <w:r>
        <w:t xml:space="preserve">[21]</w:t>
      </w:r>
      <w:r>
        <w:t xml:space="preserve"> </w:t>
      </w:r>
      <w:r>
        <w:t xml:space="preserve">	</w:t>
      </w:r>
      <w:r>
        <w:t xml:space="preserve">Brown MB. 400:</w:t>
      </w:r>
      <w:r>
        <w:t xml:space="preserve"> </w:t>
      </w:r>
      <w:r>
        <w:t xml:space="preserve">A</w:t>
      </w:r>
      <w:r>
        <w:t xml:space="preserve"> </w:t>
      </w:r>
      <w:r>
        <w:t xml:space="preserve">method for combining non-independent, one-sided tests of significance. Biometrics 1975;31:987–92.</w:t>
      </w:r>
      <w:r>
        <w:t xml:space="preserve"> </w:t>
      </w:r>
      <w:hyperlink r:id="rId284">
        <w:r>
          <w:rPr>
            <w:rStyle w:val="Hyperlink"/>
          </w:rPr>
          <w:t xml:space="preserve">https://doi.org/10.2307/2529826</w:t>
        </w:r>
      </w:hyperlink>
      <w:r>
        <w:t xml:space="preserve">.</w:t>
      </w:r>
    </w:p>
    <w:bookmarkEnd w:id="285"/>
    <w:bookmarkStart w:id="287" w:name="ref-Poole_2016"/>
    <w:p>
      <w:pPr>
        <w:pStyle w:val="Bibliography"/>
      </w:pPr>
      <w:r>
        <w:t xml:space="preserve">[22]</w:t>
      </w:r>
      <w:r>
        <w:t xml:space="preserve"> </w:t>
      </w:r>
      <w:r>
        <w:t xml:space="preserve">	</w:t>
      </w:r>
      <w:r>
        <w:t xml:space="preserve">Poole W, Gibbs DL, Shmulevich I, Bernard B, Knijnenburg TA. Combining dependent</w:t>
      </w:r>
      <w:r>
        <w:t xml:space="preserve"> </w:t>
      </w:r>
      <w:r>
        <w:t xml:space="preserve">P</w:t>
      </w:r>
      <w:r>
        <w:t xml:space="preserve">-values with an empirical adaptation of</w:t>
      </w:r>
      <w:r>
        <w:t xml:space="preserve"> </w:t>
      </w:r>
      <w:r>
        <w:t xml:space="preserve">Brown</w:t>
      </w:r>
      <w:r>
        <w:t xml:space="preserve">’s method. Bioinformatics 2016;32:i430–6.</w:t>
      </w:r>
      <w:r>
        <w:t xml:space="preserve"> </w:t>
      </w:r>
      <w:hyperlink r:id="rId286">
        <w:r>
          <w:rPr>
            <w:rStyle w:val="Hyperlink"/>
          </w:rPr>
          <w:t xml:space="preserve">https://doi.org/10.1093/bioinformatics/btw438</w:t>
        </w:r>
      </w:hyperlink>
      <w:r>
        <w:t xml:space="preserve">.</w:t>
      </w:r>
    </w:p>
    <w:bookmarkEnd w:id="287"/>
    <w:bookmarkStart w:id="289" w:name="ref-Chao_Jost_2012"/>
    <w:p>
      <w:pPr>
        <w:pStyle w:val="Bibliography"/>
      </w:pPr>
      <w:r>
        <w:t xml:space="preserve">[23]</w:t>
      </w:r>
      <w:r>
        <w:t xml:space="preserve"> </w:t>
      </w:r>
      <w:r>
        <w:t xml:space="preserve">	</w:t>
      </w:r>
      <w:r>
        <w:t xml:space="preserve">Chao A, Jost L. Coverage-based rarefaction and extrapolation: Standardizing samples by completeness rather than size. Ecology 2012;93:2533–47.</w:t>
      </w:r>
      <w:r>
        <w:t xml:space="preserve"> </w:t>
      </w:r>
      <w:hyperlink r:id="rId288">
        <w:r>
          <w:rPr>
            <w:rStyle w:val="Hyperlink"/>
          </w:rPr>
          <w:t xml:space="preserve">https://doi.org/10.1890/11-1952.1</w:t>
        </w:r>
      </w:hyperlink>
      <w:r>
        <w:t xml:space="preserve">.</w:t>
      </w:r>
    </w:p>
    <w:bookmarkEnd w:id="289"/>
    <w:bookmarkStart w:id="291" w:name="ref-Gotelli_Colwell_2001"/>
    <w:p>
      <w:pPr>
        <w:pStyle w:val="Bibliography"/>
      </w:pPr>
      <w:r>
        <w:t xml:space="preserve">[24]</w:t>
      </w:r>
      <w:r>
        <w:t xml:space="preserve"> </w:t>
      </w:r>
      <w:r>
        <w:t xml:space="preserve">	</w:t>
      </w:r>
      <w:r>
        <w:t xml:space="preserve">Gotelli NJ, Colwell RK. Quantifying biodiversity: Procedures and pitfalls in the measurement and comparison of species richness. Ecology Letters 2001;4:379–91.</w:t>
      </w:r>
      <w:r>
        <w:t xml:space="preserve"> </w:t>
      </w:r>
      <w:hyperlink r:id="rId290">
        <w:r>
          <w:rPr>
            <w:rStyle w:val="Hyperlink"/>
          </w:rPr>
          <w:t xml:space="preserve">https://doi.org/10.1046/j.1461-0248.2001.00230.x</w:t>
        </w:r>
      </w:hyperlink>
      <w:r>
        <w:t xml:space="preserve">.</w:t>
      </w:r>
    </w:p>
    <w:bookmarkEnd w:id="291"/>
    <w:bookmarkStart w:id="293" w:name="ref-Hsieh_Ma_Chao_2016"/>
    <w:p>
      <w:pPr>
        <w:pStyle w:val="Bibliography"/>
      </w:pPr>
      <w:r>
        <w:t xml:space="preserve">[25]</w:t>
      </w:r>
      <w:r>
        <w:t xml:space="preserve"> </w:t>
      </w:r>
      <w:r>
        <w:t xml:space="preserve">	</w:t>
      </w:r>
      <w:r>
        <w:t xml:space="preserve">Hsieh TC, Ma KH, Chao A.</w:t>
      </w:r>
      <w:r>
        <w:t xml:space="preserve"> </w:t>
      </w:r>
      <w:r>
        <w:t xml:space="preserve">iNEXT</w:t>
      </w:r>
      <w:r>
        <w:t xml:space="preserve">: An</w:t>
      </w:r>
      <w:r>
        <w:t xml:space="preserve"> </w:t>
      </w:r>
      <w:r>
        <w:t xml:space="preserve">R</w:t>
      </w:r>
      <w:r>
        <w:t xml:space="preserve"> </w:t>
      </w:r>
      <w:r>
        <w:t xml:space="preserve">package for rarefaction and extrapolation of species diversity (</w:t>
      </w:r>
      <w:r>
        <w:t xml:space="preserve">Hill</w:t>
      </w:r>
      <w:r>
        <w:t xml:space="preserve"> </w:t>
      </w:r>
      <w:r>
        <w:t xml:space="preserve">numbers). Methods in Ecology and Evolution 2016;7:1451–6.</w:t>
      </w:r>
      <w:r>
        <w:t xml:space="preserve"> </w:t>
      </w:r>
      <w:hyperlink r:id="rId292">
        <w:r>
          <w:rPr>
            <w:rStyle w:val="Hyperlink"/>
          </w:rPr>
          <w:t xml:space="preserve">https://doi.org/10.1111/2041-210X.12613</w:t>
        </w:r>
      </w:hyperlink>
      <w:r>
        <w:t xml:space="preserve">.</w:t>
      </w:r>
    </w:p>
    <w:bookmarkEnd w:id="293"/>
    <w:bookmarkStart w:id="295" w:name="ref-Venables_Ripley_2002"/>
    <w:p>
      <w:pPr>
        <w:pStyle w:val="Bibliography"/>
      </w:pPr>
      <w:r>
        <w:t xml:space="preserve">[26]</w:t>
      </w:r>
      <w:r>
        <w:t xml:space="preserve"> </w:t>
      </w:r>
      <w:r>
        <w:t xml:space="preserve">	</w:t>
      </w:r>
      <w:r>
        <w:t xml:space="preserve">Venables WN, Ripley BD. Modern applied statistics with s. Fourth. Springer; 2002.</w:t>
      </w:r>
      <w:r>
        <w:t xml:space="preserve"> </w:t>
      </w:r>
      <w:hyperlink r:id="rId294">
        <w:r>
          <w:rPr>
            <w:rStyle w:val="Hyperlink"/>
          </w:rPr>
          <w:t xml:space="preserve">https://doi.org/10.1007/978-0-387-21706-2</w:t>
        </w:r>
      </w:hyperlink>
      <w:r>
        <w:t xml:space="preserve">.</w:t>
      </w:r>
    </w:p>
    <w:bookmarkEnd w:id="295"/>
    <w:bookmarkStart w:id="297" w:name="ref-Bentz_Dutkiewicz_2026"/>
    <w:p>
      <w:pPr>
        <w:pStyle w:val="Bibliography"/>
      </w:pPr>
      <w:r>
        <w:t xml:space="preserve">[27]</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296">
        <w:r>
          <w:rPr>
            <w:rStyle w:val="Hyperlink"/>
          </w:rPr>
          <w:t xml:space="preserve">https://doi.org/10.1073/pnas.2520385123</w:t>
        </w:r>
      </w:hyperlink>
      <w:r>
        <w:t xml:space="preserve">.</w:t>
      </w:r>
    </w:p>
    <w:bookmarkEnd w:id="297"/>
    <w:bookmarkEnd w:id="298"/>
    <w:bookmarkEnd w:id="299"/>
    <w:bookmarkEnd w:id="300"/>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2" Target="media/rId142.png" /><Relationship Type="http://schemas.openxmlformats.org/officeDocument/2006/relationships/image" Id="rId172" Target="media/rId172.png" /><Relationship Type="http://schemas.openxmlformats.org/officeDocument/2006/relationships/image" Id="rId179" Target="media/rId179.png" /><Relationship Type="http://schemas.openxmlformats.org/officeDocument/2006/relationships/image" Id="rId131" Target="media/rId131.png" /><Relationship Type="http://schemas.openxmlformats.org/officeDocument/2006/relationships/image" Id="rId44" Target="media/rId44.png" /><Relationship Type="http://schemas.openxmlformats.org/officeDocument/2006/relationships/image" Id="rId30" Target="media/rId30.png" /><Relationship Type="http://schemas.openxmlformats.org/officeDocument/2006/relationships/image" Id="rId55" Target="media/rId55.png" /><Relationship Type="http://schemas.openxmlformats.org/officeDocument/2006/relationships/image" Id="rId189" Target="media/rId189.png" /><Relationship Type="http://schemas.openxmlformats.org/officeDocument/2006/relationships/image" Id="rId218" Target="media/rId218.png" /><Relationship Type="http://schemas.openxmlformats.org/officeDocument/2006/relationships/image" Id="rId206" Target="media/rId206.png" /><Relationship Type="http://schemas.openxmlformats.org/officeDocument/2006/relationships/image" Id="rId198" Target="media/rId198.png" /><Relationship Type="http://schemas.openxmlformats.org/officeDocument/2006/relationships/image" Id="rId150" Target="media/rId150.png" /><Relationship Type="http://schemas.openxmlformats.org/officeDocument/2006/relationships/image" Id="rId37" Target="media/rId37.png" /><Relationship Type="http://schemas.openxmlformats.org/officeDocument/2006/relationships/hyperlink" Id="rId255" Target="https://doi.org/10.1002/jqs.3236" TargetMode="External" /><Relationship Type="http://schemas.openxmlformats.org/officeDocument/2006/relationships/hyperlink" Id="rId294" Target="https://doi.org/10.1007/978-0-387-21706-2" TargetMode="External" /><Relationship Type="http://schemas.openxmlformats.org/officeDocument/2006/relationships/hyperlink" Id="rId258" Target="https://doi.org/10.1007/978-3-211-49294-9_4" TargetMode="External" /><Relationship Type="http://schemas.openxmlformats.org/officeDocument/2006/relationships/hyperlink" Id="rId278" Target="https://doi.org/10.1007/BF01908075" TargetMode="External" /><Relationship Type="http://schemas.openxmlformats.org/officeDocument/2006/relationships/hyperlink" Id="rId272" Target="https://doi.org/10.1007/s11258-006-9126-3" TargetMode="External" /><Relationship Type="http://schemas.openxmlformats.org/officeDocument/2006/relationships/hyperlink" Id="rId249" Target="https://doi.org/10.1007/s41982-017-0004-4" TargetMode="External" /><Relationship Type="http://schemas.openxmlformats.org/officeDocument/2006/relationships/hyperlink" Id="rId262" Target="https://doi.org/10.1007/s41982-025-00246-x" TargetMode="External" /><Relationship Type="http://schemas.openxmlformats.org/officeDocument/2006/relationships/hyperlink" Id="rId253" Target="https://doi.org/10.1016/j.jhevol.2011.06.005" TargetMode="External" /><Relationship Type="http://schemas.openxmlformats.org/officeDocument/2006/relationships/hyperlink" Id="rId247" Target="https://doi.org/10.1016/j.quascirev.2021.106995" TargetMode="External" /><Relationship Type="http://schemas.openxmlformats.org/officeDocument/2006/relationships/hyperlink" Id="rId268" Target="https://doi.org/10.1016/j.socnet.2020.11.005" TargetMode="External" /><Relationship Type="http://schemas.openxmlformats.org/officeDocument/2006/relationships/hyperlink" Id="rId274" Target="https://doi.org/10.1023/A:1023949509487" TargetMode="External" /><Relationship Type="http://schemas.openxmlformats.org/officeDocument/2006/relationships/hyperlink" Id="rId260" Target="https://doi.org/10.1038/nature03585" TargetMode="External" /><Relationship Type="http://schemas.openxmlformats.org/officeDocument/2006/relationships/hyperlink" Id="rId290" Target="https://doi.org/10.1046/j.1461-0248.2001.00230.x" TargetMode="External" /><Relationship Type="http://schemas.openxmlformats.org/officeDocument/2006/relationships/hyperlink" Id="rId296" Target="https://doi.org/10.1073/pnas.2520385123" TargetMode="External" /><Relationship Type="http://schemas.openxmlformats.org/officeDocument/2006/relationships/hyperlink" Id="rId280" Target="https://doi.org/10.1080/01621459.2022.2116331" TargetMode="External" /><Relationship Type="http://schemas.openxmlformats.org/officeDocument/2006/relationships/hyperlink" Id="rId264" Target="https://doi.org/10.1088/1742-5468/2008/10/P10008" TargetMode="External" /><Relationship Type="http://schemas.openxmlformats.org/officeDocument/2006/relationships/hyperlink" Id="rId286" Target="https://doi.org/10.1093/bioinformatics/btw438" TargetMode="External" /><Relationship Type="http://schemas.openxmlformats.org/officeDocument/2006/relationships/hyperlink" Id="rId282" Target="https://doi.org/10.1093/biostatistics/kxac047" TargetMode="External" /><Relationship Type="http://schemas.openxmlformats.org/officeDocument/2006/relationships/hyperlink" Id="rId266" Target="https://doi.org/10.1103/PhysRevE.69.026113" TargetMode="External" /><Relationship Type="http://schemas.openxmlformats.org/officeDocument/2006/relationships/hyperlink" Id="rId292" Target="https://doi.org/10.1111/2041-210X.12613" TargetMode="External" /><Relationship Type="http://schemas.openxmlformats.org/officeDocument/2006/relationships/hyperlink" Id="rId270" Target="https://doi.org/10.1198/108571102320" TargetMode="External" /><Relationship Type="http://schemas.openxmlformats.org/officeDocument/2006/relationships/hyperlink" Id="rId245" Target="https://doi.org/10.18637/jss.v022.i07" TargetMode="External" /><Relationship Type="http://schemas.openxmlformats.org/officeDocument/2006/relationships/hyperlink" Id="rId288" Target="https://doi.org/10.1890/11-1952.1" TargetMode="External" /><Relationship Type="http://schemas.openxmlformats.org/officeDocument/2006/relationships/hyperlink" Id="rId284" Target="https://doi.org/10.2307/2529826" TargetMode="External" /><Relationship Type="http://schemas.openxmlformats.org/officeDocument/2006/relationships/hyperlink" Id="rId251" Target="https://doi.org/10.30861/9781841718309" TargetMode="External" /><Relationship Type="http://schemas.openxmlformats.org/officeDocument/2006/relationships/hyperlink" Id="rId276" Target="https://doi.org/10.48550/arXiv.1602.07587"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255" Target="https://doi.org/10.1002/jqs.3236" TargetMode="External" /><Relationship Type="http://schemas.openxmlformats.org/officeDocument/2006/relationships/hyperlink" Id="rId294" Target="https://doi.org/10.1007/978-0-387-21706-2" TargetMode="External" /><Relationship Type="http://schemas.openxmlformats.org/officeDocument/2006/relationships/hyperlink" Id="rId258" Target="https://doi.org/10.1007/978-3-211-49294-9_4" TargetMode="External" /><Relationship Type="http://schemas.openxmlformats.org/officeDocument/2006/relationships/hyperlink" Id="rId278" Target="https://doi.org/10.1007/BF01908075" TargetMode="External" /><Relationship Type="http://schemas.openxmlformats.org/officeDocument/2006/relationships/hyperlink" Id="rId272" Target="https://doi.org/10.1007/s11258-006-9126-3" TargetMode="External" /><Relationship Type="http://schemas.openxmlformats.org/officeDocument/2006/relationships/hyperlink" Id="rId249" Target="https://doi.org/10.1007/s41982-017-0004-4" TargetMode="External" /><Relationship Type="http://schemas.openxmlformats.org/officeDocument/2006/relationships/hyperlink" Id="rId262" Target="https://doi.org/10.1007/s41982-025-00246-x" TargetMode="External" /><Relationship Type="http://schemas.openxmlformats.org/officeDocument/2006/relationships/hyperlink" Id="rId253" Target="https://doi.org/10.1016/j.jhevol.2011.06.005" TargetMode="External" /><Relationship Type="http://schemas.openxmlformats.org/officeDocument/2006/relationships/hyperlink" Id="rId247" Target="https://doi.org/10.1016/j.quascirev.2021.106995" TargetMode="External" /><Relationship Type="http://schemas.openxmlformats.org/officeDocument/2006/relationships/hyperlink" Id="rId268" Target="https://doi.org/10.1016/j.socnet.2020.11.005" TargetMode="External" /><Relationship Type="http://schemas.openxmlformats.org/officeDocument/2006/relationships/hyperlink" Id="rId274" Target="https://doi.org/10.1023/A:1023949509487" TargetMode="External" /><Relationship Type="http://schemas.openxmlformats.org/officeDocument/2006/relationships/hyperlink" Id="rId260" Target="https://doi.org/10.1038/nature03585" TargetMode="External" /><Relationship Type="http://schemas.openxmlformats.org/officeDocument/2006/relationships/hyperlink" Id="rId290" Target="https://doi.org/10.1046/j.1461-0248.2001.00230.x" TargetMode="External" /><Relationship Type="http://schemas.openxmlformats.org/officeDocument/2006/relationships/hyperlink" Id="rId296" Target="https://doi.org/10.1073/pnas.2520385123" TargetMode="External" /><Relationship Type="http://schemas.openxmlformats.org/officeDocument/2006/relationships/hyperlink" Id="rId280" Target="https://doi.org/10.1080/01621459.2022.2116331" TargetMode="External" /><Relationship Type="http://schemas.openxmlformats.org/officeDocument/2006/relationships/hyperlink" Id="rId264" Target="https://doi.org/10.1088/1742-5468/2008/10/P10008" TargetMode="External" /><Relationship Type="http://schemas.openxmlformats.org/officeDocument/2006/relationships/hyperlink" Id="rId286" Target="https://doi.org/10.1093/bioinformatics/btw438" TargetMode="External" /><Relationship Type="http://schemas.openxmlformats.org/officeDocument/2006/relationships/hyperlink" Id="rId282" Target="https://doi.org/10.1093/biostatistics/kxac047" TargetMode="External" /><Relationship Type="http://schemas.openxmlformats.org/officeDocument/2006/relationships/hyperlink" Id="rId266" Target="https://doi.org/10.1103/PhysRevE.69.026113" TargetMode="External" /><Relationship Type="http://schemas.openxmlformats.org/officeDocument/2006/relationships/hyperlink" Id="rId292" Target="https://doi.org/10.1111/2041-210X.12613" TargetMode="External" /><Relationship Type="http://schemas.openxmlformats.org/officeDocument/2006/relationships/hyperlink" Id="rId270" Target="https://doi.org/10.1198/108571102320" TargetMode="External" /><Relationship Type="http://schemas.openxmlformats.org/officeDocument/2006/relationships/hyperlink" Id="rId245" Target="https://doi.org/10.18637/jss.v022.i07" TargetMode="External" /><Relationship Type="http://schemas.openxmlformats.org/officeDocument/2006/relationships/hyperlink" Id="rId288" Target="https://doi.org/10.1890/11-1952.1" TargetMode="External" /><Relationship Type="http://schemas.openxmlformats.org/officeDocument/2006/relationships/hyperlink" Id="rId284" Target="https://doi.org/10.2307/2529826" TargetMode="External" /><Relationship Type="http://schemas.openxmlformats.org/officeDocument/2006/relationships/hyperlink" Id="rId251" Target="https://doi.org/10.30861/9781841718309" TargetMode="External" /><Relationship Type="http://schemas.openxmlformats.org/officeDocument/2006/relationships/hyperlink" Id="rId276" Target="https://doi.org/10.48550/arXiv.1602.07587"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dcterms:created xsi:type="dcterms:W3CDTF">2026-09-06T00:11:50Z</dcterms:created>
  <dcterms:modified xsi:type="dcterms:W3CDTF">2026-09-06T00:11:50Z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rossref">
    <vt:lpwstr/>
  </property>
  <property fmtid="{D5CDD505-2E9C-101B-9397-08002B2CF9AE}" pid="7" name="csl">
    <vt:lpwstr>../templates/elsevier-vancouver.csl</vt:lpwstr>
  </property>
  <property fmtid="{D5CDD505-2E9C-101B-9397-08002B2CF9AE}" pid="8" name="date">
    <vt:lpwstr>September 5, 2026</vt:lpwstr>
  </property>
  <property fmtid="{D5CDD505-2E9C-101B-9397-08002B2CF9AE}" pid="9" name="date-format">
    <vt:lpwstr>long</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s">
    <vt:lpwstr/>
  </property>
  <property fmtid="{D5CDD505-2E9C-101B-9397-08002B2CF9AE}" pid="15" name="labels">
    <vt:lpwstr/>
  </property>
  <property fmtid="{D5CDD505-2E9C-101B-9397-08002B2CF9AE}" pid="16" name="subtitle">
    <vt:lpwstr>Geometric signs as proxies for cultural connectivity during the Western Eurasian Aurignacian</vt:lpwstr>
  </property>
  <property fmtid="{D5CDD505-2E9C-101B-9397-08002B2CF9AE}" pid="17" name="supplement-number">
    <vt:lpwstr>1</vt:lpwstr>
  </property>
  <property fmtid="{D5CDD505-2E9C-101B-9397-08002B2CF9AE}" pid="18" name="title-block-published">
    <vt:lpwstr>Last updated</vt:lpwstr>
  </property>
  <property fmtid="{D5CDD505-2E9C-101B-9397-08002B2CF9AE}" pid="19" name="toc-title">
    <vt:lpwstr>Table of contents</vt:lpwstr>
  </property>
</Properties>
</file>