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04C56546" w14:textId="5B0BA99D" w:rsidR="008E1375"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r w:rsidR="003E2CEB">
        <w:rPr>
          <w:lang w:val="en-GB"/>
        </w:rPr>
        <w:t xml:space="preserve">: </w:t>
      </w:r>
      <w:r w:rsidR="003E2CEB" w:rsidRPr="003E2CEB">
        <w:rPr>
          <w:lang w:val="en-GB"/>
        </w:rPr>
        <w:t>: women reported lower task value, lower intrinsic motivation, and lower self</w:t>
      </w:r>
      <w:r w:rsidR="003E2CEB" w:rsidRPr="003E2CEB">
        <w:rPr>
          <w:lang w:val="en-GB"/>
        </w:rPr>
        <w:noBreakHyphen/>
        <w:t>efficacy when items were phrased in masculine</w:t>
      </w:r>
      <w:r w:rsidR="003E2CEB" w:rsidRPr="003E2CEB">
        <w:rPr>
          <w:lang w:val="en-GB"/>
        </w:rPr>
        <w:noBreakHyphen/>
        <w:t>generic form compared with gender</w:t>
      </w:r>
      <w:r w:rsidR="003E2CEB" w:rsidRPr="003E2CEB">
        <w:rPr>
          <w:lang w:val="en-GB"/>
        </w:rPr>
        <w:noBreakHyphen/>
        <w:t>neutral formulations.</w:t>
      </w:r>
    </w:p>
    <w:p w14:paraId="64B4439A" w14:textId="77777777" w:rsidR="003E2CEB" w:rsidRPr="003E2CEB" w:rsidRDefault="003E2CEB" w:rsidP="003E2CEB">
      <w:pPr>
        <w:spacing w:line="360" w:lineRule="auto"/>
        <w:jc w:val="both"/>
        <w:rPr>
          <w:lang w:val="en-GB"/>
        </w:rPr>
      </w:pPr>
      <w:r w:rsidRPr="003E2CEB">
        <w:rPr>
          <w:lang w:val="en-GB"/>
        </w:rPr>
        <w:t>Public opinion surveys illustrate how contested these issues are. A 2021 Politbarometer graphic, for example, shows substantial disagreement in the German population about whether and how language should be changed to become more gender</w:t>
      </w:r>
      <w:r w:rsidRPr="003E2CEB">
        <w:rPr>
          <w:rFonts w:ascii="Cambria Math" w:hAnsi="Cambria Math" w:cs="Cambria Math"/>
          <w:lang w:val="en-GB"/>
        </w:rPr>
        <w:t>‑</w:t>
      </w:r>
      <w:r w:rsidRPr="003E2CEB">
        <w:rPr>
          <w:lang w:val="en-GB"/>
        </w:rPr>
        <w:t>inclusive . At the same time, institutions such as the Council for German Orthography have published detailed position papers explaining and justifying their recommendations for gender</w:t>
      </w:r>
      <w:r w:rsidRPr="003E2CEB">
        <w:rPr>
          <w:rFonts w:ascii="Cambria Math" w:hAnsi="Cambria Math" w:cs="Cambria Math"/>
          <w:lang w:val="en-GB"/>
        </w:rPr>
        <w:t>‑</w:t>
      </w:r>
      <w:r w:rsidRPr="003E2CEB">
        <w:rPr>
          <w:lang w:val="en-GB"/>
        </w:rPr>
        <w:t xml:space="preserve">sensitive spelling, including the use of paired forms, the gender star, and other strategies . </w:t>
      </w:r>
    </w:p>
    <w:p w14:paraId="7292574A" w14:textId="77777777" w:rsidR="003E2CEB" w:rsidRPr="003E2CEB" w:rsidRDefault="003E2CEB" w:rsidP="003E2CEB">
      <w:pPr>
        <w:spacing w:line="360" w:lineRule="auto"/>
        <w:jc w:val="both"/>
        <w:rPr>
          <w:lang w:val="en-GB"/>
        </w:rPr>
      </w:pPr>
      <w:r w:rsidRPr="003E2CEB">
        <w:rPr>
          <w:lang w:val="en-GB"/>
        </w:rPr>
        <w:lastRenderedPageBreak/>
        <w:t>Recent experimental work on the gender star suggests that it does not substantially impair word recognition or text comprehensibility, although small effects on reading time or error rates have been reported (Friedrich et al., 2021).  Studies using word–image pairs and other methods further indicate that the gender star can increase the salience of women in mental representations compared with the generic masculine (Zacharski &amp; Ferstl, 2023). At the same time, some research highlights potential trade</w:t>
      </w:r>
      <w:r w:rsidRPr="003E2CEB">
        <w:rPr>
          <w:rFonts w:ascii="Cambria Math" w:hAnsi="Cambria Math" w:cs="Cambria Math"/>
          <w:lang w:val="en-GB"/>
        </w:rPr>
        <w:t>‑</w:t>
      </w:r>
      <w:r w:rsidRPr="003E2CEB">
        <w:rPr>
          <w:lang w:val="en-GB"/>
        </w:rPr>
        <w:t>offs, for example in perceived readability or aesthetic evaluation of news texts, which fuels ongoing discussion about optimal formulations in different contexts (Blake &amp; Klimmt, 2010) .</w:t>
      </w:r>
    </w:p>
    <w:p w14:paraId="6976CF76" w14:textId="732BA4BF" w:rsidR="003E2CEB" w:rsidRDefault="003E2CEB" w:rsidP="003E2CEB">
      <w:pPr>
        <w:spacing w:line="360" w:lineRule="auto"/>
        <w:jc w:val="both"/>
        <w:rPr>
          <w:lang w:val="en-GB"/>
        </w:rPr>
      </w:pPr>
      <w:r w:rsidRPr="003E2CEB">
        <w:rPr>
          <w:lang w:val="en-GB"/>
        </w:rPr>
        <w:t>A recent study on the glottal stop used a continuation paradigm in which participants first heard a sentence containing a gender</w:t>
      </w:r>
      <w:r w:rsidRPr="003E2CEB">
        <w:rPr>
          <w:rFonts w:ascii="Cambria Math" w:hAnsi="Cambria Math" w:cs="Cambria Math"/>
          <w:lang w:val="en-GB"/>
        </w:rPr>
        <w:t>‑</w:t>
      </w:r>
      <w:r w:rsidRPr="003E2CEB">
        <w:rPr>
          <w:lang w:val="en-GB"/>
        </w:rPr>
        <w:t xml:space="preserve">inclusive role noun such as Lehrerinnen* (produced with an audible glottal stop before </w:t>
      </w:r>
      <w:r w:rsidRPr="003E2CEB">
        <w:rPr>
          <w:rFonts w:ascii="Cambria Math" w:hAnsi="Cambria Math" w:cs="Cambria Math"/>
          <w:lang w:val="en-GB"/>
        </w:rPr>
        <w:t>‑</w:t>
      </w:r>
      <w:r w:rsidRPr="003E2CEB">
        <w:rPr>
          <w:lang w:val="en-GB"/>
        </w:rPr>
        <w:t>innen), followed by a second sentence that referred to either a male or a female subset of that group (e.g., Die meisten Männer/Frauen …). Participants judged whether the second sentence was a sensible continuation of the first. The authors found that the glottal</w:t>
      </w:r>
      <w:r w:rsidRPr="003E2CEB">
        <w:rPr>
          <w:rFonts w:ascii="Cambria Math" w:hAnsi="Cambria Math" w:cs="Cambria Math"/>
          <w:lang w:val="en-GB"/>
        </w:rPr>
        <w:t>‑</w:t>
      </w:r>
      <w:r w:rsidRPr="003E2CEB">
        <w:rPr>
          <w:lang w:val="en-GB"/>
        </w:rPr>
        <w:t>stop form led to more balanced acceptance of male and female continuations than the generic masculine, providing phonetic and processing evidence that forms like Lehrerinnen* are realized as distinct, gender</w:t>
      </w:r>
      <w:r w:rsidRPr="003E2CEB">
        <w:rPr>
          <w:rFonts w:ascii="Cambria Math" w:hAnsi="Cambria Math" w:cs="Cambria Math"/>
          <w:lang w:val="en-GB"/>
        </w:rPr>
        <w:t>‑</w:t>
      </w:r>
      <w:r w:rsidRPr="003E2CEB">
        <w:rPr>
          <w:lang w:val="en-GB"/>
        </w:rPr>
        <w:t>inclusive markers in spoken German (Körner et al., 2024).</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Previous research indicates that (linguistic) gender marking can influence how readers mentally represent the people described in a sentence. Although masculine forms may be intended as generic refernces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t>Eye-tracking studies provide evidence that these effects can occur during the early stages of sentence processing. For example, Redl et al. (2021) examined the Dutch masculine possessive pronoun “zijn”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lastRenderedPageBreak/>
        <w:t>Research on role nouns has produced similar findings. Irmen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Additional evidence comes from research comparing generic masculine forms with gender-inclusive alternatievs. Körner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r w:rsidRPr="00030E28">
        <w:rPr>
          <w:i/>
          <w:iCs/>
          <w:lang w:val="en-GB"/>
        </w:rPr>
        <w:t>Studenten</w:t>
      </w:r>
      <w:r w:rsidRPr="00030E28">
        <w:rPr>
          <w:lang w:val="en-GB"/>
        </w:rPr>
        <w:t xml:space="preserve">; the feminine form, such as </w:t>
      </w:r>
      <w:r w:rsidRPr="00030E28">
        <w:rPr>
          <w:i/>
          <w:iCs/>
          <w:lang w:val="en-GB"/>
        </w:rPr>
        <w:t>Studentinnen</w:t>
      </w:r>
      <w:r w:rsidRPr="00030E28">
        <w:rPr>
          <w:lang w:val="en-GB"/>
        </w:rPr>
        <w:t xml:space="preserve">; and gender-inclusive forms, such as </w:t>
      </w:r>
      <w:r w:rsidRPr="00030E28">
        <w:rPr>
          <w:i/>
          <w:iCs/>
          <w:lang w:val="en-GB"/>
        </w:rPr>
        <w:t>Studen*I</w:t>
      </w:r>
      <w:r w:rsidRPr="00030E28">
        <w:rPr>
          <w:lang w:val="en-GB"/>
        </w:rPr>
        <w:t>innen. The latter being intended to refer to people of different genders, therefore reducing or preventing a one-sidedd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lastRenderedPageBreak/>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r w:rsidRPr="00030E28">
        <w:rPr>
          <w:i/>
          <w:iCs/>
          <w:lang w:val="en-GB"/>
        </w:rPr>
        <w:t>Studenten</w:t>
      </w:r>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r w:rsidRPr="00030E28">
        <w:rPr>
          <w:i/>
          <w:iCs/>
          <w:lang w:val="en-GB"/>
        </w:rPr>
        <w:t>Studentinnen</w:t>
      </w:r>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Student*innen</w:t>
      </w:r>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r w:rsidRPr="00030E28">
        <w:rPr>
          <w:i/>
          <w:iCs/>
          <w:lang w:val="en-GB"/>
        </w:rPr>
        <w:t>Studierende</w:t>
      </w:r>
    </w:p>
    <w:p w14:paraId="5FA3D388" w14:textId="77777777" w:rsidR="00030E28" w:rsidRPr="00030E28" w:rsidRDefault="00030E28" w:rsidP="00030E28">
      <w:pPr>
        <w:spacing w:line="360" w:lineRule="auto"/>
        <w:jc w:val="both"/>
        <w:rPr>
          <w:lang w:val="en-GB"/>
        </w:rPr>
      </w:pPr>
      <w:r w:rsidRPr="00030E28">
        <w:rPr>
          <w:lang w:val="en-GB"/>
        </w:rPr>
        <w:t>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behavior.</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The primary measures include:</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fixate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lastRenderedPageBreak/>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r w:rsidRPr="00227E48">
        <w:rPr>
          <w:i/>
          <w:iCs/>
          <w:lang w:val="en-GB"/>
        </w:rPr>
        <w:t>text_start_x</w:t>
      </w:r>
      <w:r>
        <w:rPr>
          <w:lang w:val="en-GB"/>
        </w:rPr>
        <w:t xml:space="preserve"> and </w:t>
      </w:r>
      <w:r w:rsidRPr="00227E48">
        <w:rPr>
          <w:i/>
          <w:iCs/>
          <w:lang w:val="en-GB"/>
        </w:rPr>
        <w:t>text_start_y</w:t>
      </w:r>
      <w:r>
        <w:rPr>
          <w:lang w:val="en-GB"/>
        </w:rPr>
        <w:t xml:space="preserve"> variables</w:t>
      </w:r>
      <w:r w:rsidR="001F7A8C">
        <w:rPr>
          <w:lang w:val="en-GB"/>
        </w:rPr>
        <w:t xml:space="preserve"> as you can see in Figure 4</w:t>
      </w:r>
      <w:r>
        <w:rPr>
          <w:lang w:val="en-GB"/>
        </w:rPr>
        <w:t xml:space="preserve">. The first </w:t>
      </w:r>
      <w:r w:rsidRPr="00CF10CC">
        <w:rPr>
          <w:i/>
          <w:iCs/>
          <w:lang w:val="en-GB"/>
        </w:rPr>
        <w:t>fixation_canvas.line</w:t>
      </w:r>
      <w:r>
        <w:rPr>
          <w:lang w:val="en-GB"/>
        </w:rPr>
        <w:t xml:space="preserve"> draws the horizontal line: </w:t>
      </w:r>
      <w:r w:rsidRPr="00CF10CC">
        <w:rPr>
          <w:i/>
          <w:iCs/>
          <w:lang w:val="en-GB"/>
        </w:rPr>
        <w:t>cross_x – cross_size/2</w:t>
      </w:r>
      <w:r>
        <w:rPr>
          <w:lang w:val="en-GB"/>
        </w:rPr>
        <w:t xml:space="preserve">  is the start on the x axis, </w:t>
      </w:r>
      <w:r w:rsidRPr="00CF10CC">
        <w:rPr>
          <w:i/>
          <w:iCs/>
          <w:lang w:val="en-GB"/>
        </w:rPr>
        <w:t>cross_y</w:t>
      </w:r>
      <w:r>
        <w:rPr>
          <w:lang w:val="en-GB"/>
        </w:rPr>
        <w:t xml:space="preserve"> is the start on the y axis, </w:t>
      </w:r>
      <w:r w:rsidRPr="00CF10CC">
        <w:rPr>
          <w:i/>
          <w:iCs/>
          <w:lang w:val="en-GB"/>
        </w:rPr>
        <w:t>cross_x + cross_size/2</w:t>
      </w:r>
      <w:r>
        <w:rPr>
          <w:lang w:val="en-GB"/>
        </w:rPr>
        <w:t xml:space="preserve"> is where the cross ends on the x axis and </w:t>
      </w:r>
      <w:r w:rsidRPr="00CF10CC">
        <w:rPr>
          <w:i/>
          <w:iCs/>
          <w:lang w:val="en-GB"/>
        </w:rPr>
        <w:t>cross_y</w:t>
      </w:r>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1"/>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r w:rsidRPr="00922B2A">
        <w:rPr>
          <w:i/>
          <w:iCs/>
          <w:lang w:val="en-GB"/>
        </w:rPr>
        <w:t>central_fixation</w:t>
      </w:r>
      <w:r>
        <w:rPr>
          <w:lang w:val="en-GB"/>
        </w:rPr>
        <w:t xml:space="preserve"> is set to </w:t>
      </w:r>
      <w:r w:rsidRPr="00922B2A">
        <w:rPr>
          <w:i/>
          <w:iCs/>
          <w:lang w:val="en-GB"/>
        </w:rPr>
        <w:t>False</w:t>
      </w:r>
      <w:r>
        <w:rPr>
          <w:lang w:val="en-GB"/>
        </w:rPr>
        <w:t xml:space="preserve"> in the beginning. The while loop is true as long as the </w:t>
      </w:r>
      <w:r w:rsidRPr="0086592A">
        <w:rPr>
          <w:i/>
          <w:iCs/>
          <w:lang w:val="en-GB"/>
        </w:rPr>
        <w:t>central_fixation</w:t>
      </w:r>
      <w:r>
        <w:rPr>
          <w:lang w:val="en-GB"/>
        </w:rPr>
        <w:t xml:space="preserve"> is False. In the while loop the distance between the sample of the participants gaze position and the fixation centre is calculated. If there is a fixation within a 100 pixel radius the </w:t>
      </w:r>
      <w:r w:rsidRPr="0086592A">
        <w:rPr>
          <w:i/>
          <w:iCs/>
          <w:lang w:val="en-GB"/>
        </w:rPr>
        <w:t>central_fixation</w:t>
      </w:r>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12"/>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13"/>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14"/>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15"/>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safed: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16"/>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r>
        <w:rPr>
          <w:lang w:val="en-GB"/>
        </w:rPr>
        <w:t>Spillover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17"/>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Spillover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german language, a second AOI box is positioned after the anaphor to get the spillover region. The Spillover box is the same hight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r w:rsidRPr="002970C2">
        <w:rPr>
          <w:i/>
          <w:iCs/>
          <w:lang w:val="en-GB"/>
        </w:rPr>
        <w:t>sentence_onset</w:t>
      </w:r>
      <w:r>
        <w:rPr>
          <w:lang w:val="en-GB"/>
        </w:rPr>
        <w:t xml:space="preserve"> is logged in the inline script and after the participant pressed a key the </w:t>
      </w:r>
      <w:r w:rsidRPr="002970C2">
        <w:rPr>
          <w:i/>
          <w:iCs/>
          <w:lang w:val="en-GB"/>
        </w:rPr>
        <w:t>trial_sequence</w:t>
      </w:r>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r w:rsidRPr="002970C2">
        <w:rPr>
          <w:i/>
          <w:iCs/>
          <w:lang w:val="en-GB"/>
        </w:rPr>
        <w:t>question_sketchpad</w:t>
      </w:r>
      <w:r>
        <w:rPr>
          <w:lang w:val="en-GB"/>
        </w:rPr>
        <w:t xml:space="preserve"> “Um welches Thema ging es in der vorherigen Situation?” and a trial counter to show the participant how many trials are left in the experiment. The </w:t>
      </w:r>
      <w:r w:rsidRPr="002970C2">
        <w:rPr>
          <w:i/>
          <w:iCs/>
          <w:lang w:val="en-GB"/>
        </w:rPr>
        <w:t>question_pygaze_log</w:t>
      </w:r>
      <w:r>
        <w:rPr>
          <w:lang w:val="en-GB"/>
        </w:rPr>
        <w:t xml:space="preserve"> logges the </w:t>
      </w:r>
      <w:r w:rsidRPr="002970C2">
        <w:rPr>
          <w:i/>
          <w:iCs/>
          <w:lang w:val="en-GB"/>
        </w:rPr>
        <w:t>text_onset</w:t>
      </w:r>
      <w:r>
        <w:rPr>
          <w:lang w:val="en-GB"/>
        </w:rPr>
        <w:t xml:space="preserve"> and the sequence starts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r w:rsidRPr="002970C2">
        <w:rPr>
          <w:i/>
          <w:iCs/>
          <w:lang w:val="en-GB"/>
        </w:rPr>
        <w:t>ending_sketchpad</w:t>
      </w:r>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19"/>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[logger:67:WARNING]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3.2 Expected Results</w:t>
      </w:r>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r w:rsidRPr="004F4B77">
              <w:rPr>
                <w:b/>
                <w:bCs/>
                <w:lang w:val="de-DE"/>
              </w:rPr>
              <w:t>Expected Result</w:t>
            </w:r>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395735"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Longer processing  (possible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r w:rsidRPr="004F4B77">
              <w:rPr>
                <w:lang w:val="de-DE"/>
              </w:rPr>
              <w:t>Longest processing  (gender mismatch)</w:t>
            </w:r>
          </w:p>
        </w:tc>
      </w:tr>
      <w:tr w:rsidR="00030E28" w:rsidRPr="00395735"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395735"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ms, with an average of about 200–250 ms (Schotter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(Mézière et al., 2021).</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The responses can be divided into three broad groups:</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r w:rsidRPr="00950957">
        <w:rPr>
          <w:rFonts w:cs="Arial"/>
          <w:b w:val="0"/>
          <w:bCs/>
          <w:color w:val="000000"/>
          <w:sz w:val="24"/>
          <w:szCs w:val="24"/>
        </w:rPr>
        <w:t>Several participants answered “gendern,” “Gender-Sprache,” or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“allgemeine politische Themen,”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r w:rsidRPr="00950957">
        <w:rPr>
          <w:rFonts w:cs="Arial"/>
          <w:b w:val="0"/>
          <w:bCs/>
          <w:color w:val="000000"/>
          <w:sz w:val="24"/>
          <w:szCs w:val="24"/>
        </w:rPr>
        <w:t>Based on the responses:</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r w:rsidRPr="00950957">
              <w:rPr>
                <w:rFonts w:ascii="Arial" w:hAnsi="Arial" w:cs="Arial"/>
                <w:color w:val="000000"/>
              </w:rPr>
              <w:lastRenderedPageBreak/>
              <w:t>Measure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B812A3">
            <w:pPr>
              <w:pStyle w:val="StandardWeb"/>
              <w:keepNext/>
              <w:spacing w:after="0" w:line="360" w:lineRule="auto"/>
              <w:jc w:val="center"/>
            </w:pPr>
            <w:r w:rsidRPr="00950957">
              <w:rPr>
                <w:rFonts w:ascii="Arial" w:hAnsi="Arial" w:cs="Arial"/>
                <w:color w:val="000000"/>
              </w:rPr>
              <w:t>3.57</w:t>
            </w:r>
          </w:p>
        </w:tc>
      </w:tr>
    </w:tbl>
    <w:p w14:paraId="1EB4568F" w14:textId="784E5F4D" w:rsidR="00950957" w:rsidRPr="00B812A3" w:rsidRDefault="00B812A3" w:rsidP="00B812A3">
      <w:pPr>
        <w:pStyle w:val="Beschriftung"/>
        <w:rPr>
          <w:lang w:val="en-GB"/>
        </w:rPr>
      </w:pPr>
      <w:r w:rsidRPr="00B812A3">
        <w:rPr>
          <w:lang w:val="en-GB"/>
        </w:rPr>
        <w:t xml:space="preserve">Table </w:t>
      </w:r>
      <w:r>
        <w:fldChar w:fldCharType="begin"/>
      </w:r>
      <w:r w:rsidRPr="00B812A3">
        <w:rPr>
          <w:lang w:val="en-GB"/>
        </w:rPr>
        <w:instrText xml:space="preserve"> SEQ Table \* ARABIC </w:instrText>
      </w:r>
      <w:r>
        <w:fldChar w:fldCharType="separate"/>
      </w:r>
      <w:r w:rsidRPr="00B812A3">
        <w:rPr>
          <w:noProof/>
          <w:lang w:val="en-GB"/>
        </w:rPr>
        <w:t>1</w:t>
      </w:r>
      <w:r>
        <w:fldChar w:fldCharType="end"/>
      </w:r>
      <w:r w:rsidRPr="00B812A3">
        <w:rPr>
          <w:lang w:val="en-GB"/>
        </w:rPr>
        <w:t xml:space="preserve"> average self-reported use and noticing of gender-inclusive language</w:t>
      </w: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076A8317" w:rsidR="004F4B77" w:rsidRDefault="008E3125" w:rsidP="00950957">
      <w:pPr>
        <w:spacing w:line="360" w:lineRule="auto"/>
        <w:rPr>
          <w:lang w:val="en-GB"/>
        </w:rPr>
      </w:pPr>
      <w:r w:rsidRPr="008E3125">
        <w:rPr>
          <w:noProof/>
          <w:lang w:val="en-GB"/>
        </w:rPr>
        <w:drawing>
          <wp:inline distT="0" distB="0" distL="0" distR="0" wp14:anchorId="1C33C3A7" wp14:editId="2210DA8E">
            <wp:extent cx="5760720" cy="3154045"/>
            <wp:effectExtent l="0" t="0" r="0" b="8255"/>
            <wp:docPr id="2072774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970" name=""/>
                    <pic:cNvPicPr/>
                  </pic:nvPicPr>
                  <pic:blipFill>
                    <a:blip r:embed="rId24"/>
                    <a:stretch>
                      <a:fillRect/>
                    </a:stretch>
                  </pic:blipFill>
                  <pic:spPr>
                    <a:xfrm>
                      <a:off x="0" y="0"/>
                      <a:ext cx="5760720" cy="3154045"/>
                    </a:xfrm>
                    <a:prstGeom prst="rect">
                      <a:avLst/>
                    </a:prstGeom>
                  </pic:spPr>
                </pic:pic>
              </a:graphicData>
            </a:graphic>
          </wp:inline>
        </w:drawing>
      </w:r>
    </w:p>
    <w:p w14:paraId="5AD32E15" w14:textId="24E4F258" w:rsidR="008E3125" w:rsidRDefault="008E3125" w:rsidP="00950957">
      <w:pPr>
        <w:spacing w:line="360" w:lineRule="auto"/>
        <w:rPr>
          <w:lang w:val="en-GB"/>
        </w:rPr>
      </w:pPr>
      <w:r w:rsidRPr="008E3125">
        <w:rPr>
          <w:noProof/>
          <w:lang w:val="en-GB"/>
        </w:rPr>
        <w:lastRenderedPageBreak/>
        <w:drawing>
          <wp:inline distT="0" distB="0" distL="0" distR="0" wp14:anchorId="7E31DEF9" wp14:editId="0751C765">
            <wp:extent cx="5760720" cy="3154045"/>
            <wp:effectExtent l="0" t="0" r="0" b="8255"/>
            <wp:docPr id="372829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29159" name=""/>
                    <pic:cNvPicPr/>
                  </pic:nvPicPr>
                  <pic:blipFill>
                    <a:blip r:embed="rId25"/>
                    <a:stretch>
                      <a:fillRect/>
                    </a:stretch>
                  </pic:blipFill>
                  <pic:spPr>
                    <a:xfrm>
                      <a:off x="0" y="0"/>
                      <a:ext cx="5760720" cy="3154045"/>
                    </a:xfrm>
                    <a:prstGeom prst="rect">
                      <a:avLst/>
                    </a:prstGeom>
                  </pic:spPr>
                </pic:pic>
              </a:graphicData>
            </a:graphic>
          </wp:inline>
        </w:drawing>
      </w:r>
    </w:p>
    <w:p w14:paraId="3058E62C" w14:textId="3A3D23AC" w:rsidR="008E3125" w:rsidRDefault="008E3125" w:rsidP="00950957">
      <w:pPr>
        <w:spacing w:line="360" w:lineRule="auto"/>
        <w:rPr>
          <w:lang w:val="en-GB"/>
        </w:rPr>
      </w:pPr>
      <w:r w:rsidRPr="008E3125">
        <w:rPr>
          <w:noProof/>
          <w:lang w:val="en-GB"/>
        </w:rPr>
        <w:drawing>
          <wp:inline distT="0" distB="0" distL="0" distR="0" wp14:anchorId="568E5F0A" wp14:editId="15D2AC5C">
            <wp:extent cx="5760720" cy="4076065"/>
            <wp:effectExtent l="0" t="0" r="0" b="635"/>
            <wp:docPr id="6685982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8219" name=""/>
                    <pic:cNvPicPr/>
                  </pic:nvPicPr>
                  <pic:blipFill>
                    <a:blip r:embed="rId26"/>
                    <a:stretch>
                      <a:fillRect/>
                    </a:stretch>
                  </pic:blipFill>
                  <pic:spPr>
                    <a:xfrm>
                      <a:off x="0" y="0"/>
                      <a:ext cx="5760720" cy="4076065"/>
                    </a:xfrm>
                    <a:prstGeom prst="rect">
                      <a:avLst/>
                    </a:prstGeom>
                  </pic:spPr>
                </pic:pic>
              </a:graphicData>
            </a:graphic>
          </wp:inline>
        </w:drawing>
      </w:r>
    </w:p>
    <w:p w14:paraId="64EB5B13" w14:textId="0182C89F" w:rsidR="008E3125" w:rsidRDefault="008E3125" w:rsidP="00950957">
      <w:pPr>
        <w:spacing w:line="360" w:lineRule="auto"/>
        <w:rPr>
          <w:lang w:val="en-GB"/>
        </w:rPr>
      </w:pPr>
      <w:r w:rsidRPr="008E3125">
        <w:rPr>
          <w:noProof/>
          <w:lang w:val="en-GB"/>
        </w:rPr>
        <w:lastRenderedPageBreak/>
        <w:drawing>
          <wp:inline distT="0" distB="0" distL="0" distR="0" wp14:anchorId="1157316A" wp14:editId="40EDF305">
            <wp:extent cx="5760720" cy="3154045"/>
            <wp:effectExtent l="0" t="0" r="0" b="8255"/>
            <wp:docPr id="17774907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0777" name=""/>
                    <pic:cNvPicPr/>
                  </pic:nvPicPr>
                  <pic:blipFill>
                    <a:blip r:embed="rId27"/>
                    <a:stretch>
                      <a:fillRect/>
                    </a:stretch>
                  </pic:blipFill>
                  <pic:spPr>
                    <a:xfrm>
                      <a:off x="0" y="0"/>
                      <a:ext cx="5760720" cy="3154045"/>
                    </a:xfrm>
                    <a:prstGeom prst="rect">
                      <a:avLst/>
                    </a:prstGeom>
                  </pic:spPr>
                </pic:pic>
              </a:graphicData>
            </a:graphic>
          </wp:inline>
        </w:drawing>
      </w:r>
    </w:p>
    <w:p w14:paraId="663B7365" w14:textId="1A9871A3" w:rsidR="008E3125" w:rsidRPr="004F4B77" w:rsidRDefault="008E3125" w:rsidP="00950957">
      <w:pPr>
        <w:spacing w:line="360" w:lineRule="auto"/>
        <w:rPr>
          <w:lang w:val="en-GB"/>
        </w:rPr>
      </w:pPr>
      <w:r w:rsidRPr="008E3125">
        <w:rPr>
          <w:noProof/>
          <w:lang w:val="en-GB"/>
        </w:rPr>
        <w:drawing>
          <wp:inline distT="0" distB="0" distL="0" distR="0" wp14:anchorId="654C39C1" wp14:editId="1E0E68CF">
            <wp:extent cx="5760720" cy="3556635"/>
            <wp:effectExtent l="0" t="0" r="0" b="5715"/>
            <wp:docPr id="20902116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11675" name=""/>
                    <pic:cNvPicPr/>
                  </pic:nvPicPr>
                  <pic:blipFill>
                    <a:blip r:embed="rId28"/>
                    <a:stretch>
                      <a:fillRect/>
                    </a:stretch>
                  </pic:blipFill>
                  <pic:spPr>
                    <a:xfrm>
                      <a:off x="0" y="0"/>
                      <a:ext cx="5760720" cy="3556635"/>
                    </a:xfrm>
                    <a:prstGeom prst="rect">
                      <a:avLst/>
                    </a:prstGeom>
                  </pic:spPr>
                </pic:pic>
              </a:graphicData>
            </a:graphic>
          </wp:inline>
        </w:drawing>
      </w: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0982E1" w14:textId="77777777" w:rsidR="00E6414A" w:rsidRPr="0028326B" w:rsidRDefault="00E6414A" w:rsidP="00E6414A">
      <w:pPr>
        <w:spacing w:line="360" w:lineRule="auto"/>
        <w:jc w:val="both"/>
        <w:rPr>
          <w:lang w:val="en-GB"/>
        </w:rPr>
      </w:pPr>
      <w:r w:rsidRPr="0028326B">
        <w:rPr>
          <w:lang w:val="en-GB"/>
        </w:rPr>
        <w:t xml:space="preserve">The analysis revealed that there was no statistically significant (p&lt;0.05) differences between different conditions for most of the measures except the following. </w:t>
      </w:r>
      <w:r w:rsidRPr="0028326B">
        <w:rPr>
          <w:lang w:val="en-GB"/>
        </w:rPr>
        <w:br/>
        <w:t xml:space="preserve">The first-pass duration in the AN for the masculine role noun paired with the male anaphor (C1) showed significantly shorter reading time than the masculine role noun paired with the female anaphor (C2). That indicates that participants had more </w:t>
      </w:r>
      <w:r w:rsidRPr="0028326B">
        <w:rPr>
          <w:lang w:val="en-GB"/>
        </w:rPr>
        <w:lastRenderedPageBreak/>
        <w:t xml:space="preserve">problems processing the female anaphor with the male role noun than with the male anaphor. This finding was predicted in this report due to the gender mismatch we created with the condition C2 our first Hypothesis that the masculine form would produce the strongest male bias, reflected in increased processing difficulty when the subsequent sentence refers to women. </w:t>
      </w:r>
    </w:p>
    <w:p w14:paraId="75EEBE3D" w14:textId="77777777" w:rsidR="00E6414A" w:rsidRPr="0028326B" w:rsidRDefault="00E6414A" w:rsidP="00E6414A">
      <w:pPr>
        <w:spacing w:line="360" w:lineRule="auto"/>
        <w:jc w:val="both"/>
        <w:rPr>
          <w:lang w:val="en-GB"/>
        </w:rPr>
      </w:pPr>
      <w:r w:rsidRPr="0028326B">
        <w:rPr>
          <w:lang w:val="en-GB"/>
        </w:rPr>
        <w:t>In the go-past duration a significant difference was found in the AN condition with the star form. There the star form with the male anaphor (C5) showing a significantly longer reading time than the star form with the female anaphor (C6). What was also shown in the star form conditions was the total fixation duration in the RN AOI. There the star form with the male anaphor (C5) got significantly longer fixation durations than the star form with the female anaphor (C6). These findings indicate that the participants had longer processing times with the star form and a male anaphor (C5) and an easier time reading the star form with a female anaphor (C6). Which could indicate a female bias for the star form.</w:t>
      </w:r>
    </w:p>
    <w:p w14:paraId="63051575" w14:textId="77777777" w:rsidR="00E6414A" w:rsidRPr="0028326B" w:rsidRDefault="00E6414A" w:rsidP="00E6414A">
      <w:pPr>
        <w:spacing w:line="360" w:lineRule="auto"/>
        <w:jc w:val="both"/>
        <w:rPr>
          <w:lang w:val="en-GB"/>
        </w:rPr>
      </w:pPr>
      <w:r w:rsidRPr="0028326B">
        <w:rPr>
          <w:lang w:val="en-GB"/>
        </w:rPr>
        <w:t>There was also a trend that wasn’t statistically significant with the feminine role noun paired with the male anaphor compared to the female anaphor with slightly more differences with the male anaphor (C3) than with the female anaphor (C4). Which previous research also supported.</w:t>
      </w:r>
    </w:p>
    <w:p w14:paraId="5515078A" w14:textId="77777777" w:rsidR="00E6414A" w:rsidRPr="0028326B" w:rsidRDefault="00E6414A" w:rsidP="00E6414A">
      <w:pPr>
        <w:spacing w:line="360" w:lineRule="auto"/>
        <w:jc w:val="both"/>
        <w:rPr>
          <w:lang w:val="en-GB"/>
        </w:rPr>
      </w:pPr>
      <w:r w:rsidRPr="0028326B">
        <w:rPr>
          <w:lang w:val="en-GB"/>
        </w:rPr>
        <w:t>Hypothesis Testing</w:t>
      </w:r>
    </w:p>
    <w:p w14:paraId="22CF1167" w14:textId="77777777" w:rsidR="00E6414A" w:rsidRPr="0028326B" w:rsidRDefault="00E6414A" w:rsidP="00E6414A">
      <w:pPr>
        <w:spacing w:line="360" w:lineRule="auto"/>
        <w:jc w:val="both"/>
        <w:rPr>
          <w:lang w:val="en-GB"/>
        </w:rPr>
      </w:pPr>
      <w:r w:rsidRPr="0028326B">
        <w:rPr>
          <w:b/>
          <w:bCs/>
          <w:lang w:val="en-GB"/>
        </w:rPr>
        <w:t>H1</w:t>
      </w:r>
      <w:r w:rsidRPr="0028326B">
        <w:rPr>
          <w:lang w:val="en-GB"/>
        </w:rPr>
        <w:t>: Masculine forms produce the strongest male bias, reflected in increased processing difficulty when the subsequent sentence refers to women.</w:t>
      </w:r>
    </w:p>
    <w:p w14:paraId="7CDB4ED7" w14:textId="77777777" w:rsidR="00E6414A" w:rsidRPr="0028326B" w:rsidRDefault="00E6414A" w:rsidP="00E6414A">
      <w:pPr>
        <w:spacing w:line="360" w:lineRule="auto"/>
        <w:jc w:val="both"/>
        <w:rPr>
          <w:lang w:val="en-GB"/>
        </w:rPr>
      </w:pPr>
      <w:r w:rsidRPr="0028326B">
        <w:rPr>
          <w:lang w:val="en-GB"/>
        </w:rPr>
        <w:t>Hypothesis 1 was only partially supported with the findings from analysing the first-pass duration with the masculine role noun with the male anaphor compared to the female anaphor. We saw that the condition C1 performed better regarding duration time than the condition C2.</w:t>
      </w:r>
    </w:p>
    <w:p w14:paraId="046C97AE" w14:textId="77777777" w:rsidR="00E6414A" w:rsidRPr="0028326B" w:rsidRDefault="00E6414A" w:rsidP="00E6414A">
      <w:pPr>
        <w:spacing w:line="360" w:lineRule="auto"/>
        <w:jc w:val="both"/>
        <w:rPr>
          <w:lang w:val="en-GB"/>
        </w:rPr>
      </w:pPr>
      <w:r w:rsidRPr="0028326B">
        <w:rPr>
          <w:b/>
          <w:bCs/>
          <w:lang w:val="en-GB"/>
        </w:rPr>
        <w:t>H2</w:t>
      </w:r>
      <w:r w:rsidRPr="0028326B">
        <w:rPr>
          <w:lang w:val="en-GB"/>
        </w:rPr>
        <w:t>: Feminine forms produce the strongest female bias, reflected in increased processing difficulty when the subsequent sentence refers to men.</w:t>
      </w:r>
    </w:p>
    <w:p w14:paraId="55038E34" w14:textId="77777777" w:rsidR="00E6414A" w:rsidRPr="0028326B" w:rsidRDefault="00E6414A" w:rsidP="00E6414A">
      <w:pPr>
        <w:spacing w:line="360" w:lineRule="auto"/>
        <w:jc w:val="both"/>
        <w:rPr>
          <w:lang w:val="en-GB"/>
        </w:rPr>
      </w:pPr>
      <w:r w:rsidRPr="0028326B">
        <w:rPr>
          <w:lang w:val="en-GB"/>
        </w:rPr>
        <w:t>The feminine form did not stand out when comparing the feminine form with male anaphor (C3) and female anaphor (C4) and therefore the Hypothesis H2 could not get supported in the findings.</w:t>
      </w:r>
    </w:p>
    <w:p w14:paraId="4980F1ED" w14:textId="77777777" w:rsidR="00395735" w:rsidRPr="0028326B" w:rsidRDefault="00395735" w:rsidP="00395735">
      <w:pPr>
        <w:spacing w:line="360" w:lineRule="auto"/>
        <w:jc w:val="both"/>
        <w:rPr>
          <w:lang w:val="en-GB"/>
        </w:rPr>
      </w:pPr>
      <w:r w:rsidRPr="0028326B">
        <w:rPr>
          <w:b/>
          <w:bCs/>
          <w:lang w:val="en-GB"/>
        </w:rPr>
        <w:lastRenderedPageBreak/>
        <w:t>H3</w:t>
      </w:r>
      <w:r w:rsidRPr="0028326B">
        <w:rPr>
          <w:lang w:val="en-GB"/>
        </w:rPr>
        <w:t>: Gender-inclusive forms produce the weakest overall gender bias and therefore show the smallest difference between male and female continuations.</w:t>
      </w:r>
    </w:p>
    <w:p w14:paraId="72CDFFD7" w14:textId="77777777" w:rsidR="00395735" w:rsidRPr="0028326B" w:rsidRDefault="00395735" w:rsidP="00395735">
      <w:pPr>
        <w:spacing w:line="360" w:lineRule="auto"/>
        <w:jc w:val="both"/>
        <w:rPr>
          <w:lang w:val="en-GB"/>
        </w:rPr>
      </w:pPr>
      <w:r w:rsidRPr="0028326B">
        <w:rPr>
          <w:lang w:val="en-GB"/>
        </w:rPr>
        <w:t xml:space="preserve">This Hypothesis H3 </w:t>
      </w:r>
      <w:r>
        <w:rPr>
          <w:lang w:val="en-GB"/>
        </w:rPr>
        <w:t>cannot be supported by the findings. The findings showed that there are significant differences between male and female anaphor in the go-past duration of the anaphor AOI with the male anaphor (C5). As well as a longer fixation duration in the role noun AOI using the male anaphor than the female anaphor. Also, the feminine role noun form did not show statistically differences in the anaphor form. Therefore, the star form (here used as the gender-inclusive form) did not show that it produced the weakest overall gender. That means that H3 can’t be supported with the findings.</w:t>
      </w:r>
    </w:p>
    <w:p w14:paraId="63DCC6C7" w14:textId="77777777" w:rsidR="00395735" w:rsidRPr="0028326B" w:rsidRDefault="00395735" w:rsidP="00395735">
      <w:pPr>
        <w:spacing w:line="360" w:lineRule="auto"/>
        <w:rPr>
          <w:lang w:val="en-GB"/>
        </w:rPr>
      </w:pPr>
      <w:r w:rsidRPr="0028326B">
        <w:rPr>
          <w:lang w:val="en-GB"/>
        </w:rPr>
        <w:t>Answer to the Research Question</w:t>
      </w:r>
    </w:p>
    <w:p w14:paraId="27C29AE2" w14:textId="77777777" w:rsidR="00395735" w:rsidRDefault="00395735" w:rsidP="00395735">
      <w:pPr>
        <w:spacing w:line="360" w:lineRule="auto"/>
        <w:jc w:val="both"/>
        <w:rPr>
          <w:b/>
          <w:bCs/>
          <w:i/>
          <w:iCs/>
          <w:lang w:val="en-GB"/>
        </w:rPr>
      </w:pPr>
      <w:r w:rsidRPr="0028326B">
        <w:rPr>
          <w:b/>
          <w:bCs/>
          <w:i/>
          <w:iCs/>
          <w:lang w:val="en-GB"/>
        </w:rPr>
        <w:t>Do different forms of German role nouns (masculine, feminine, and gender-inclusive) elicit male and female biases in native German speakers, and what is the magnitude of these biases?</w:t>
      </w:r>
    </w:p>
    <w:p w14:paraId="6FBC9ABA" w14:textId="77777777" w:rsidR="00395735" w:rsidRDefault="00395735" w:rsidP="00395735">
      <w:pPr>
        <w:spacing w:line="360" w:lineRule="auto"/>
        <w:jc w:val="both"/>
        <w:rPr>
          <w:lang w:val="en-GB"/>
        </w:rPr>
      </w:pPr>
      <w:r>
        <w:rPr>
          <w:lang w:val="en-GB"/>
        </w:rPr>
        <w:t>The results partially suggest that gender biases can be observed in processing different forms of German role nouns. But the magnitude of theses male and female bias varies depending on the role noun form and what processing measure is used. Masculine role noun forms showed a male bias comparing the male and female anaphor by using the first-pass duration as measure there is a significantly difference in processing time. Female forms didn’t show any significantly difference but a tendency towards a female bias. Gender-inclusive forms also showed a male bias while comparing go-past time and fixation duration from the male and female anaphor.</w:t>
      </w:r>
    </w:p>
    <w:p w14:paraId="3188CE7A" w14:textId="77777777" w:rsidR="00395735" w:rsidRPr="00CA2A1E" w:rsidRDefault="00395735" w:rsidP="00395735">
      <w:pPr>
        <w:spacing w:line="360" w:lineRule="auto"/>
        <w:jc w:val="both"/>
        <w:rPr>
          <w:lang w:val="en-GB"/>
        </w:rPr>
      </w:pPr>
      <w:r>
        <w:rPr>
          <w:lang w:val="en-GB"/>
        </w:rPr>
        <w:t xml:space="preserve">Therefore, the findings show that the gender biases are not the same across the three German role nouns used in this experiment. The findings only supported some hypotheses partially and showed tendencies, but these do align with earlier findings from previous research. </w:t>
      </w: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lastRenderedPageBreak/>
        <w:t>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behavior from systematic misalignment. Automated correction methods do not perform equally well under all trial characteristics; their accuracy depends on factors such as the direction and magnitude of drift, the structure of the text, and the participant’s reading behavior. Upon that, the drift on the margin on the screen tends to be greater compared to the center,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A second challenge concerned the gaze behavior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behavior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p>
    <w:p w14:paraId="15E08CBF" w14:textId="77777777" w:rsidR="00611727" w:rsidRPr="00611727" w:rsidRDefault="00611727" w:rsidP="00611727">
      <w:pPr>
        <w:spacing w:line="360" w:lineRule="auto"/>
        <w:rPr>
          <w:lang w:val="en-GB"/>
        </w:rPr>
      </w:pPr>
      <w:r w:rsidRPr="00611727">
        <w:rPr>
          <w:lang w:val="en-GB"/>
        </w:rPr>
        <w:t>Future studies could reduce the impact of drift by avoiding the placement of critical areas of interest near the margins of the screen. Target words and anaphoric regions should preferably be positioned closer to the center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t xml:space="preserve">The problem of tailing gaze could be addressed at the design stage by varying the comprehension questions across trials instead of presenting the same question structure repeatedly. Different questions may encourage participants to maintain </w:t>
      </w:r>
      <w:r w:rsidRPr="00611727">
        <w:rPr>
          <w:lang w:val="en-GB"/>
        </w:rPr>
        <w:lastRenderedPageBreak/>
        <w:t>task-relevant attention and reduce predictable waiting behavior.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 xml:space="preserve">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w:t>
      </w:r>
      <w:r w:rsidRPr="00515ED7">
        <w:rPr>
          <w:lang w:val="en-GB"/>
        </w:rPr>
        <w:lastRenderedPageBreak/>
        <w:t>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3"/>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4"/>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5"/>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6"/>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27A2B989" w14:textId="7777777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en-GB"/>
        </w:rPr>
        <w:t xml:space="preserve">Beauvoir, S. de. (1953). </w:t>
      </w:r>
      <w:r w:rsidRPr="00000097">
        <w:rPr>
          <w:rFonts w:eastAsia="Times New Roman"/>
          <w:i/>
          <w:iCs/>
          <w:color w:val="000000"/>
          <w:lang w:val="en-GB"/>
        </w:rPr>
        <w:t>The second sex</w:t>
      </w:r>
      <w:r w:rsidRPr="00000097">
        <w:rPr>
          <w:rFonts w:eastAsia="Times New Roman"/>
          <w:color w:val="000000"/>
          <w:lang w:val="en-GB"/>
        </w:rPr>
        <w:t xml:space="preserve"> (H. M. Parshley, Trans.). </w:t>
      </w:r>
      <w:r w:rsidRPr="00000097">
        <w:rPr>
          <w:rFonts w:eastAsia="Times New Roman"/>
          <w:color w:val="000000"/>
          <w:lang w:val="de-DE"/>
        </w:rPr>
        <w:t>Penguin. (Original work published 1949)</w:t>
      </w:r>
    </w:p>
    <w:p w14:paraId="28B48B72" w14:textId="4A944BEF"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Blake, C., &amp; Klimmt, C. (2010). Die Lesbarkeit von Nachrichtentexten unter dem Einfluss geschlechtergerechter Sprache. </w:t>
      </w:r>
      <w:r w:rsidRPr="00000097">
        <w:rPr>
          <w:rFonts w:eastAsia="Times New Roman"/>
          <w:i/>
          <w:iCs/>
          <w:color w:val="000000"/>
          <w:lang w:val="de-DE"/>
        </w:rPr>
        <w:t>Publizistik, 55</w:t>
      </w:r>
      <w:r w:rsidRPr="00000097">
        <w:rPr>
          <w:rFonts w:eastAsia="Times New Roman"/>
          <w:color w:val="000000"/>
          <w:lang w:val="de-DE"/>
        </w:rPr>
        <w:t xml:space="preserve">(2), 183–204. </w:t>
      </w:r>
      <w:hyperlink r:id="rId37" w:history="1">
        <w:r w:rsidRPr="005776B0">
          <w:rPr>
            <w:rStyle w:val="Hyperlink"/>
            <w:rFonts w:eastAsia="Times New Roman"/>
            <w:lang w:val="de-DE"/>
          </w:rPr>
          <w:t>https://doi.org/10.1007/s11616-010-0093-2</w:t>
        </w:r>
      </w:hyperlink>
      <w:r>
        <w:rPr>
          <w:rFonts w:eastAsia="Times New Roman"/>
          <w:color w:val="000000"/>
          <w:lang w:val="de-DE"/>
        </w:rPr>
        <w:t xml:space="preserve"> </w:t>
      </w:r>
    </w:p>
    <w:p w14:paraId="3156639D" w14:textId="20AD4E82" w:rsidR="00000097" w:rsidRPr="00395735"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de-DE"/>
        </w:rPr>
        <w:t xml:space="preserve">Friedrich, M. C. G., Drößler, V., Oberlehberg, N., &amp; Heise, E. (2021). </w:t>
      </w:r>
      <w:r w:rsidRPr="00000097">
        <w:rPr>
          <w:rFonts w:eastAsia="Times New Roman"/>
          <w:color w:val="000000"/>
          <w:lang w:val="en-GB"/>
        </w:rPr>
        <w:t xml:space="preserve">The influence of the gender asterisk (“Gendersternchen”) on comprehensibility and interest. </w:t>
      </w:r>
      <w:r w:rsidRPr="00395735">
        <w:rPr>
          <w:rFonts w:eastAsia="Times New Roman"/>
          <w:i/>
          <w:iCs/>
          <w:color w:val="000000"/>
          <w:lang w:val="en-GB"/>
        </w:rPr>
        <w:t>Frontiers in Psychology, 12</w:t>
      </w:r>
      <w:r w:rsidRPr="00395735">
        <w:rPr>
          <w:rFonts w:eastAsia="Times New Roman"/>
          <w:color w:val="000000"/>
          <w:lang w:val="en-GB"/>
        </w:rPr>
        <w:t xml:space="preserve">, 760062. </w:t>
      </w:r>
      <w:hyperlink r:id="rId38" w:history="1">
        <w:r w:rsidRPr="00395735">
          <w:rPr>
            <w:rStyle w:val="Hyperlink"/>
            <w:rFonts w:eastAsia="Times New Roman"/>
            <w:lang w:val="en-GB"/>
          </w:rPr>
          <w:t>https://doi.org/10.3389/fpsyg.2021.760062</w:t>
        </w:r>
      </w:hyperlink>
      <w:r w:rsidRPr="00395735">
        <w:rPr>
          <w:rFonts w:eastAsia="Times New Roman"/>
          <w:color w:val="000000"/>
          <w:lang w:val="en-GB"/>
        </w:rPr>
        <w:t xml:space="preserve"> </w:t>
      </w:r>
    </w:p>
    <w:p w14:paraId="5A3857A6" w14:textId="46CBFCC8"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en-GB"/>
        </w:rPr>
        <w:t xml:space="preserve">Irmen, L. (2007). What’s in a (role) name? Formal and conceptual aspects of comprehending personal nouns. </w:t>
      </w:r>
      <w:r w:rsidRPr="00000097">
        <w:rPr>
          <w:rFonts w:eastAsia="Times New Roman"/>
          <w:i/>
          <w:iCs/>
          <w:color w:val="000000"/>
          <w:lang w:val="en-GB"/>
        </w:rPr>
        <w:t>Journal of Psycholinguistic Research, 36</w:t>
      </w:r>
      <w:r w:rsidRPr="00000097">
        <w:rPr>
          <w:rFonts w:eastAsia="Times New Roman"/>
          <w:color w:val="000000"/>
          <w:lang w:val="en-GB"/>
        </w:rPr>
        <w:t xml:space="preserve">(5–6), 431–456. </w:t>
      </w:r>
      <w:hyperlink r:id="rId39" w:history="1">
        <w:r w:rsidRPr="005776B0">
          <w:rPr>
            <w:rStyle w:val="Hyperlink"/>
            <w:rFonts w:eastAsia="Times New Roman"/>
            <w:lang w:val="en-GB"/>
          </w:rPr>
          <w:t>https://doi.org/10.1007/s10936-007-9053-z</w:t>
        </w:r>
      </w:hyperlink>
      <w:r>
        <w:rPr>
          <w:rFonts w:eastAsia="Times New Roman"/>
          <w:color w:val="000000"/>
          <w:lang w:val="en-GB"/>
        </w:rPr>
        <w:t xml:space="preserve"> </w:t>
      </w:r>
    </w:p>
    <w:p w14:paraId="3E875E6F" w14:textId="36027E19"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en-GB"/>
        </w:rPr>
        <w:t xml:space="preserve">Körner, F., Rummer, R., &amp; Strack, B. (2024). Examining the glottal stop as a mark of gender-inclusive language in German. </w:t>
      </w:r>
      <w:r w:rsidRPr="00000097">
        <w:rPr>
          <w:rFonts w:eastAsia="Times New Roman"/>
          <w:i/>
          <w:iCs/>
          <w:color w:val="000000"/>
          <w:lang w:val="en-GB"/>
        </w:rPr>
        <w:t>Applied Psycholinguistics</w:t>
      </w:r>
      <w:r w:rsidRPr="00000097">
        <w:rPr>
          <w:rFonts w:eastAsia="Times New Roman"/>
          <w:color w:val="000000"/>
          <w:lang w:val="en-GB"/>
        </w:rPr>
        <w:t xml:space="preserve">. Advance online publication. </w:t>
      </w:r>
      <w:hyperlink r:id="rId40" w:history="1">
        <w:r w:rsidRPr="005776B0">
          <w:rPr>
            <w:rStyle w:val="Hyperlink"/>
            <w:rFonts w:eastAsia="Times New Roman"/>
            <w:lang w:val="en-GB"/>
          </w:rPr>
          <w:t>https://doi.org/10.1017/S0142716424000010</w:t>
        </w:r>
      </w:hyperlink>
      <w:r>
        <w:rPr>
          <w:rFonts w:eastAsia="Times New Roman"/>
          <w:color w:val="000000"/>
          <w:lang w:val="en-GB"/>
        </w:rPr>
        <w:t xml:space="preserve"> </w:t>
      </w:r>
    </w:p>
    <w:p w14:paraId="6A3EAE13" w14:textId="383EBEBB"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en-GB"/>
        </w:rPr>
        <w:t xml:space="preserve">Redl, T., Frank, S. L., de Swart, P., &amp; de Hoop, H. (2021). The male bias of a generically-intended masculine pronoun: Evidence from eye-tracking and sentence evaluation. </w:t>
      </w:r>
      <w:r w:rsidRPr="00000097">
        <w:rPr>
          <w:rFonts w:eastAsia="Times New Roman"/>
          <w:i/>
          <w:iCs/>
          <w:color w:val="000000"/>
          <w:lang w:val="de-DE"/>
        </w:rPr>
        <w:t>PLOS ONE, 16</w:t>
      </w:r>
      <w:r w:rsidRPr="00000097">
        <w:rPr>
          <w:rFonts w:eastAsia="Times New Roman"/>
          <w:color w:val="000000"/>
          <w:lang w:val="de-DE"/>
        </w:rPr>
        <w:t xml:space="preserve">(4), e0249309. </w:t>
      </w:r>
      <w:hyperlink r:id="rId41" w:history="1">
        <w:r w:rsidRPr="005776B0">
          <w:rPr>
            <w:rStyle w:val="Hyperlink"/>
            <w:rFonts w:eastAsia="Times New Roman"/>
            <w:lang w:val="de-DE"/>
          </w:rPr>
          <w:t>https://doi.org/10.1371/journal.pone.0249309</w:t>
        </w:r>
      </w:hyperlink>
      <w:r>
        <w:rPr>
          <w:rFonts w:eastAsia="Times New Roman"/>
          <w:color w:val="000000"/>
          <w:lang w:val="de-DE"/>
        </w:rPr>
        <w:t xml:space="preserve">  </w:t>
      </w:r>
    </w:p>
    <w:p w14:paraId="01A9025F" w14:textId="28687FFF"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de-DE"/>
        </w:rPr>
        <w:t xml:space="preserve">Vainapel, S., Shamir, O. Y., Tenenbaum, Y., &amp; Gilam, G. (2015). </w:t>
      </w:r>
      <w:r w:rsidRPr="00000097">
        <w:rPr>
          <w:rFonts w:eastAsia="Times New Roman"/>
          <w:color w:val="000000"/>
          <w:lang w:val="en-GB"/>
        </w:rPr>
        <w:t xml:space="preserve">The dark side of gendered language: The masculine-generic form as a cause for self-report bias. </w:t>
      </w:r>
      <w:r w:rsidRPr="00000097">
        <w:rPr>
          <w:rFonts w:eastAsia="Times New Roman"/>
          <w:i/>
          <w:iCs/>
          <w:color w:val="000000"/>
          <w:lang w:val="en-GB"/>
        </w:rPr>
        <w:t>Psychological Assessment, 27</w:t>
      </w:r>
      <w:r w:rsidRPr="00000097">
        <w:rPr>
          <w:rFonts w:eastAsia="Times New Roman"/>
          <w:color w:val="000000"/>
          <w:lang w:val="en-GB"/>
        </w:rPr>
        <w:t xml:space="preserve">(4), 1513–1519. </w:t>
      </w:r>
      <w:hyperlink r:id="rId42" w:history="1">
        <w:r w:rsidRPr="005776B0">
          <w:rPr>
            <w:rStyle w:val="Hyperlink"/>
            <w:rFonts w:eastAsia="Times New Roman"/>
            <w:lang w:val="en-GB"/>
          </w:rPr>
          <w:t>https://doi.org/10.1037/pas0000156</w:t>
        </w:r>
      </w:hyperlink>
      <w:r>
        <w:rPr>
          <w:rFonts w:eastAsia="Times New Roman"/>
          <w:color w:val="000000"/>
          <w:lang w:val="en-GB"/>
        </w:rPr>
        <w:t xml:space="preserve"> </w:t>
      </w:r>
    </w:p>
    <w:p w14:paraId="4BCCA677" w14:textId="4E3D9BF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r w:rsidRPr="00000097">
        <w:rPr>
          <w:rFonts w:eastAsia="Times New Roman"/>
          <w:color w:val="000000"/>
          <w:lang w:val="en-GB"/>
        </w:rPr>
        <w:t>Zacharski, A., &amp; Ferstl, E. C. (2023). The im</w:t>
      </w:r>
      <w:r>
        <w:rPr>
          <w:rFonts w:eastAsia="Times New Roman"/>
          <w:color w:val="000000"/>
          <w:lang w:val="en-GB"/>
        </w:rPr>
        <w:t xml:space="preserve"> </w:t>
      </w:r>
      <w:r w:rsidRPr="00000097">
        <w:rPr>
          <w:rFonts w:eastAsia="Times New Roman"/>
          <w:color w:val="000000"/>
          <w:lang w:val="en-GB"/>
        </w:rPr>
        <w:t xml:space="preserve">pact of the gender star on mental representations: Evidence from a word–image pair task. </w:t>
      </w:r>
      <w:r w:rsidRPr="00000097">
        <w:rPr>
          <w:rFonts w:eastAsia="Times New Roman"/>
          <w:i/>
          <w:iCs/>
          <w:color w:val="000000"/>
          <w:lang w:val="en-GB"/>
        </w:rPr>
        <w:t>Discourse Processes</w:t>
      </w:r>
      <w:r w:rsidRPr="00000097">
        <w:rPr>
          <w:rFonts w:eastAsia="Times New Roman"/>
          <w:color w:val="000000"/>
          <w:lang w:val="en-GB"/>
        </w:rPr>
        <w:t xml:space="preserve">. Advance online publication. </w:t>
      </w:r>
      <w:hyperlink r:id="rId43" w:history="1">
        <w:r w:rsidRPr="005776B0">
          <w:rPr>
            <w:rStyle w:val="Hyperlink"/>
            <w:rFonts w:eastAsia="Times New Roman"/>
            <w:lang w:val="en-GB"/>
          </w:rPr>
          <w:t>https://doi.org/10.1080/0163853X.2023.2199531</w:t>
        </w:r>
      </w:hyperlink>
      <w:r>
        <w:rPr>
          <w:rFonts w:eastAsia="Times New Roman"/>
          <w:color w:val="000000"/>
          <w:lang w:val="en-GB"/>
        </w:rPr>
        <w:t xml:space="preserve"> </w:t>
      </w:r>
    </w:p>
    <w:p w14:paraId="051B06AA" w14:textId="77777777" w:rsidR="00000097" w:rsidRPr="00000097" w:rsidRDefault="00000097" w:rsidP="00000097">
      <w:pPr>
        <w:tabs>
          <w:tab w:val="clear" w:pos="2126"/>
        </w:tabs>
        <w:spacing w:after="0" w:line="240" w:lineRule="auto"/>
        <w:rPr>
          <w:rFonts w:ascii="Times New Roman" w:eastAsia="Times New Roman" w:hAnsi="Times New Roman" w:cs="Times New Roman"/>
          <w:lang w:val="en-GB"/>
        </w:rPr>
      </w:pPr>
    </w:p>
    <w:p w14:paraId="78DB681E" w14:textId="3481E9E4" w:rsidR="00000097" w:rsidRPr="00000097" w:rsidRDefault="00000097" w:rsidP="00000097">
      <w:pPr>
        <w:tabs>
          <w:tab w:val="clear" w:pos="2126"/>
        </w:tabs>
        <w:spacing w:before="240" w:after="240" w:line="240" w:lineRule="auto"/>
        <w:rPr>
          <w:rFonts w:ascii="Times New Roman" w:eastAsia="Times New Roman" w:hAnsi="Times New Roman" w:cs="Times New Roman"/>
          <w:lang w:val="en-GB"/>
        </w:rPr>
      </w:pPr>
      <w:r>
        <w:rPr>
          <w:rFonts w:eastAsia="Times New Roman"/>
          <w:color w:val="000000"/>
          <w:lang w:val="en-GB"/>
        </w:rPr>
        <w:t>W</w:t>
      </w:r>
      <w:r w:rsidRPr="00000097">
        <w:rPr>
          <w:rFonts w:eastAsia="Times New Roman"/>
          <w:color w:val="000000"/>
          <w:lang w:val="en-GB"/>
        </w:rPr>
        <w:t xml:space="preserve">eb/ </w:t>
      </w:r>
      <w:r>
        <w:rPr>
          <w:rFonts w:eastAsia="Times New Roman"/>
          <w:color w:val="000000"/>
          <w:lang w:val="en-GB"/>
        </w:rPr>
        <w:t>I</w:t>
      </w:r>
      <w:r w:rsidRPr="00000097">
        <w:rPr>
          <w:rFonts w:eastAsia="Times New Roman"/>
          <w:color w:val="000000"/>
          <w:lang w:val="en-GB"/>
        </w:rPr>
        <w:t>nstitutional sources</w:t>
      </w:r>
      <w:r>
        <w:rPr>
          <w:rFonts w:eastAsia="Times New Roman"/>
          <w:color w:val="000000"/>
          <w:lang w:val="en-GB"/>
        </w:rPr>
        <w:t>:</w:t>
      </w:r>
    </w:p>
    <w:p w14:paraId="1436483A" w14:textId="06BC0ED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en-GB"/>
        </w:rPr>
        <w:t xml:space="preserve">Politbarometer. (2021, July 16). </w:t>
      </w:r>
      <w:r w:rsidRPr="00000097">
        <w:rPr>
          <w:rFonts w:eastAsia="Times New Roman"/>
          <w:i/>
          <w:iCs/>
          <w:color w:val="000000"/>
          <w:lang w:val="en-GB"/>
        </w:rPr>
        <w:t>Gender language survey</w:t>
      </w:r>
      <w:r w:rsidRPr="00000097">
        <w:rPr>
          <w:rFonts w:eastAsia="Times New Roman"/>
          <w:color w:val="000000"/>
          <w:lang w:val="en-GB"/>
        </w:rPr>
        <w:t xml:space="preserve"> [Image]. </w:t>
      </w:r>
      <w:r w:rsidRPr="00000097">
        <w:rPr>
          <w:rFonts w:eastAsia="Times New Roman"/>
          <w:color w:val="000000"/>
          <w:lang w:val="de-DE"/>
        </w:rPr>
        <w:t xml:space="preserve">ZDF. </w:t>
      </w:r>
      <w:hyperlink r:id="rId44" w:history="1">
        <w:r w:rsidRPr="005776B0">
          <w:rPr>
            <w:rStyle w:val="Hyperlink"/>
            <w:rFonts w:eastAsia="Times New Roman"/>
            <w:lang w:val="de-DE"/>
          </w:rPr>
          <w:t>https://politbarometer2.zdf.de/store/Politbarometer/2021_07_16/html/1280x720-1626375458070-0469d703.jpg</w:t>
        </w:r>
      </w:hyperlink>
      <w:r>
        <w:rPr>
          <w:rFonts w:eastAsia="Times New Roman"/>
          <w:color w:val="000000"/>
          <w:lang w:val="de-DE"/>
        </w:rPr>
        <w:t xml:space="preserve"> </w:t>
      </w:r>
    </w:p>
    <w:p w14:paraId="017DA055" w14:textId="70EB5BE6"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Rat für deutsche Rechtschreibung. (2023, December 20). </w:t>
      </w:r>
      <w:r w:rsidRPr="00000097">
        <w:rPr>
          <w:rFonts w:eastAsia="Times New Roman"/>
          <w:i/>
          <w:iCs/>
          <w:color w:val="000000"/>
          <w:lang w:val="de-DE"/>
        </w:rPr>
        <w:t>Geschlechtergerechte Schreibung: Erläuterungs- und Begründungspapier</w:t>
      </w:r>
      <w:r w:rsidRPr="00000097">
        <w:rPr>
          <w:rFonts w:eastAsia="Times New Roman"/>
          <w:color w:val="000000"/>
          <w:lang w:val="de-DE"/>
        </w:rPr>
        <w:t xml:space="preserve"> [Position paper]. </w:t>
      </w:r>
      <w:hyperlink r:id="rId45" w:history="1">
        <w:r w:rsidRPr="005776B0">
          <w:rPr>
            <w:rStyle w:val="Hyperlink"/>
            <w:rFonts w:eastAsia="Times New Roman"/>
            <w:lang w:val="de-DE"/>
          </w:rPr>
          <w:t>https://www.rechtschreibrat.com/DOX/rfdr_PM_2023-12-20_Geschlechtergerechte_Schreibung_Erlaeuterungs-Begruendungspapier.pdf</w:t>
        </w:r>
      </w:hyperlink>
      <w:r>
        <w:rPr>
          <w:rFonts w:eastAsia="Times New Roman"/>
          <w:color w:val="000000"/>
          <w:lang w:val="de-DE"/>
        </w:rPr>
        <w:t xml:space="preserve"> </w:t>
      </w:r>
    </w:p>
    <w:p w14:paraId="45BE4457" w14:textId="766B4626" w:rsidR="00FE14A4" w:rsidRPr="00000097" w:rsidRDefault="00FE14A4">
      <w:pPr>
        <w:tabs>
          <w:tab w:val="clear" w:pos="2126"/>
        </w:tabs>
        <w:rPr>
          <w:lang w:val="de-DE"/>
        </w:rPr>
      </w:pPr>
      <w:r w:rsidRPr="00000097">
        <w:rPr>
          <w:lang w:val="de-DE"/>
        </w:rPr>
        <w:br w:type="page"/>
      </w:r>
    </w:p>
    <w:p w14:paraId="7310A64F" w14:textId="63E7EBFB" w:rsidR="00FE14A4" w:rsidRPr="00742A41" w:rsidRDefault="0088505B" w:rsidP="00FE14A4">
      <w:pPr>
        <w:pStyle w:val="berschrift1"/>
        <w:rPr>
          <w:lang w:val="en-GB"/>
        </w:rPr>
      </w:pPr>
      <w:bookmarkStart w:id="32" w:name="_Toc235728810"/>
      <w:r>
        <w:rPr>
          <w:lang w:val="en-GB"/>
        </w:rPr>
        <w:lastRenderedPageBreak/>
        <w:t>Contribution</w:t>
      </w:r>
      <w:r w:rsidR="00FE14A4">
        <w:rPr>
          <w:lang w:val="en-GB"/>
        </w:rPr>
        <w:t xml:space="preserve">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395735"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395735"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46"/>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B812A3" w:rsidRPr="00611727" w:rsidRDefault="00B812A3" w:rsidP="00AB26CB">
      <w:pPr>
        <w:pStyle w:val="Kommentartext"/>
        <w:rPr>
          <w:lang w:val="en-GB"/>
        </w:rPr>
      </w:pPr>
      <w:r>
        <w:rPr>
          <w:rStyle w:val="Kommentarzeichen"/>
        </w:rPr>
        <w:annotationRef/>
      </w:r>
      <w:r>
        <w:rPr>
          <w:lang w:val="en-GB"/>
        </w:rPr>
        <w:t>everyone gives bullet points</w:t>
      </w:r>
    </w:p>
  </w:comment>
  <w:comment w:id="29" w:author="Sophie Schüttler" w:date="2026-08-20T16:19:00Z" w:initials="SS">
    <w:p w14:paraId="2EE99CFF" w14:textId="77777777" w:rsidR="00B812A3" w:rsidRPr="00611727" w:rsidRDefault="00B812A3"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21B7A" w14:textId="77777777" w:rsidR="00793355" w:rsidRDefault="00793355" w:rsidP="00742A41">
      <w:pPr>
        <w:spacing w:after="0" w:line="240" w:lineRule="auto"/>
      </w:pPr>
      <w:r>
        <w:separator/>
      </w:r>
    </w:p>
  </w:endnote>
  <w:endnote w:type="continuationSeparator" w:id="0">
    <w:p w14:paraId="5775BCA3" w14:textId="77777777" w:rsidR="00793355" w:rsidRDefault="00793355"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B812A3" w:rsidRDefault="00B812A3">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B812A3" w:rsidRDefault="00B812A3"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A4F27" w14:textId="77777777" w:rsidR="00793355" w:rsidRDefault="00793355" w:rsidP="00742A41">
      <w:pPr>
        <w:spacing w:after="0" w:line="240" w:lineRule="auto"/>
      </w:pPr>
      <w:r>
        <w:separator/>
      </w:r>
    </w:p>
  </w:footnote>
  <w:footnote w:type="continuationSeparator" w:id="0">
    <w:p w14:paraId="40065966" w14:textId="77777777" w:rsidR="00793355" w:rsidRDefault="00793355"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88235527">
    <w:abstractNumId w:val="7"/>
  </w:num>
  <w:num w:numId="2" w16cid:durableId="930117836">
    <w:abstractNumId w:val="5"/>
  </w:num>
  <w:num w:numId="3" w16cid:durableId="1189835620">
    <w:abstractNumId w:val="5"/>
    <w:lvlOverride w:ilvl="1">
      <w:lvl w:ilvl="1">
        <w:numFmt w:val="bullet"/>
        <w:lvlText w:val=""/>
        <w:lvlJc w:val="left"/>
        <w:pPr>
          <w:tabs>
            <w:tab w:val="num" w:pos="1440"/>
          </w:tabs>
          <w:ind w:left="1440" w:hanging="360"/>
        </w:pPr>
        <w:rPr>
          <w:rFonts w:ascii="Symbol" w:hAnsi="Symbol" w:hint="default"/>
          <w:sz w:val="20"/>
        </w:rPr>
      </w:lvl>
    </w:lvlOverride>
  </w:num>
  <w:num w:numId="4" w16cid:durableId="554703238">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719285567">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480735912">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1722560488">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1326085624">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1636369182">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526524956">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540551474">
    <w:abstractNumId w:val="3"/>
  </w:num>
  <w:num w:numId="12" w16cid:durableId="184489444">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16cid:durableId="710110359">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16cid:durableId="1388184449">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16cid:durableId="844442624">
    <w:abstractNumId w:val="6"/>
  </w:num>
  <w:num w:numId="16" w16cid:durableId="849414842">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16cid:durableId="973371553">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16cid:durableId="1988196603">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16cid:durableId="195581576">
    <w:abstractNumId w:val="2"/>
  </w:num>
  <w:num w:numId="20" w16cid:durableId="1450010766">
    <w:abstractNumId w:val="1"/>
  </w:num>
  <w:num w:numId="21" w16cid:durableId="1656448175">
    <w:abstractNumId w:val="11"/>
  </w:num>
  <w:num w:numId="22" w16cid:durableId="1189180950">
    <w:abstractNumId w:val="15"/>
  </w:num>
  <w:num w:numId="23" w16cid:durableId="1202330257">
    <w:abstractNumId w:val="0"/>
  </w:num>
  <w:num w:numId="24" w16cid:durableId="1528132149">
    <w:abstractNumId w:val="4"/>
  </w:num>
  <w:num w:numId="25" w16cid:durableId="1684437769">
    <w:abstractNumId w:val="14"/>
  </w:num>
  <w:num w:numId="26" w16cid:durableId="2068412747">
    <w:abstractNumId w:val="13"/>
  </w:num>
  <w:num w:numId="27" w16cid:durableId="317149118">
    <w:abstractNumId w:val="9"/>
  </w:num>
  <w:num w:numId="28" w16cid:durableId="607153173">
    <w:abstractNumId w:val="10"/>
  </w:num>
  <w:num w:numId="29" w16cid:durableId="2047676726">
    <w:abstractNumId w:val="12"/>
  </w:num>
  <w:num w:numId="30" w16cid:durableId="158584236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00097"/>
    <w:rsid w:val="000163C7"/>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C7076"/>
    <w:rsid w:val="002F2EA5"/>
    <w:rsid w:val="00331C2E"/>
    <w:rsid w:val="00335C5F"/>
    <w:rsid w:val="00346C03"/>
    <w:rsid w:val="0036547C"/>
    <w:rsid w:val="00395735"/>
    <w:rsid w:val="003B1591"/>
    <w:rsid w:val="003B4886"/>
    <w:rsid w:val="003C048E"/>
    <w:rsid w:val="003C068F"/>
    <w:rsid w:val="003C30B9"/>
    <w:rsid w:val="003C64B3"/>
    <w:rsid w:val="003E2CEB"/>
    <w:rsid w:val="003F724E"/>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66B71"/>
    <w:rsid w:val="007765C8"/>
    <w:rsid w:val="00793355"/>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E3125"/>
    <w:rsid w:val="008F2179"/>
    <w:rsid w:val="008F34CA"/>
    <w:rsid w:val="0091094B"/>
    <w:rsid w:val="00922B2A"/>
    <w:rsid w:val="00940B04"/>
    <w:rsid w:val="0094111F"/>
    <w:rsid w:val="00950957"/>
    <w:rsid w:val="00994F19"/>
    <w:rsid w:val="009C6C39"/>
    <w:rsid w:val="009E16E6"/>
    <w:rsid w:val="009E7CFD"/>
    <w:rsid w:val="009F1AFD"/>
    <w:rsid w:val="00A07537"/>
    <w:rsid w:val="00A12FCC"/>
    <w:rsid w:val="00A20E77"/>
    <w:rsid w:val="00A41018"/>
    <w:rsid w:val="00A4371C"/>
    <w:rsid w:val="00A4419D"/>
    <w:rsid w:val="00A94BC2"/>
    <w:rsid w:val="00AA235E"/>
    <w:rsid w:val="00AB1E09"/>
    <w:rsid w:val="00AB26CB"/>
    <w:rsid w:val="00AC0C0F"/>
    <w:rsid w:val="00AF0254"/>
    <w:rsid w:val="00B163C2"/>
    <w:rsid w:val="00B26EAA"/>
    <w:rsid w:val="00B3006B"/>
    <w:rsid w:val="00B6021F"/>
    <w:rsid w:val="00B812A3"/>
    <w:rsid w:val="00BE1A05"/>
    <w:rsid w:val="00C0375B"/>
    <w:rsid w:val="00C12459"/>
    <w:rsid w:val="00C162F5"/>
    <w:rsid w:val="00C200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D3E01"/>
    <w:rsid w:val="00DF09F2"/>
    <w:rsid w:val="00E0470C"/>
    <w:rsid w:val="00E05CEB"/>
    <w:rsid w:val="00E1504D"/>
    <w:rsid w:val="00E15884"/>
    <w:rsid w:val="00E3129B"/>
    <w:rsid w:val="00E40BA1"/>
    <w:rsid w:val="00E5298D"/>
    <w:rsid w:val="00E53CD4"/>
    <w:rsid w:val="00E55A09"/>
    <w:rsid w:val="00E6414A"/>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1372145644">
      <w:bodyDiv w:val="1"/>
      <w:marLeft w:val="0"/>
      <w:marRight w:val="0"/>
      <w:marTop w:val="0"/>
      <w:marBottom w:val="0"/>
      <w:divBdr>
        <w:top w:val="none" w:sz="0" w:space="0" w:color="auto"/>
        <w:left w:val="none" w:sz="0" w:space="0" w:color="auto"/>
        <w:bottom w:val="none" w:sz="0" w:space="0" w:color="auto"/>
        <w:right w:val="none" w:sz="0" w:space="0" w:color="auto"/>
      </w:divBdr>
    </w:div>
    <w:div w:id="1843200085">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1007/s10936-007-9053-z" TargetMode="External"/><Relationship Id="rId21" Type="http://schemas.openxmlformats.org/officeDocument/2006/relationships/image" Target="media/image12.png"/><Relationship Id="rId34" Type="http://schemas.openxmlformats.org/officeDocument/2006/relationships/image" Target="media/image20.png"/><Relationship Id="rId42" Type="http://schemas.openxmlformats.org/officeDocument/2006/relationships/hyperlink" Target="https://doi.org/10.1037/pas0000156" TargetMode="External"/><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microsoft.com/office/2018/08/relationships/commentsExtensible" Target="commentsExtensible.xml"/><Relationship Id="rId37" Type="http://schemas.openxmlformats.org/officeDocument/2006/relationships/hyperlink" Target="https://doi.org/10.1007/s11616-010-0093-2" TargetMode="External"/><Relationship Id="rId40" Type="http://schemas.openxmlformats.org/officeDocument/2006/relationships/hyperlink" Target="https://doi.org/10.1017/S0142716424000010" TargetMode="External"/><Relationship Id="rId45" Type="http://schemas.openxmlformats.org/officeDocument/2006/relationships/hyperlink" Target="https://www.rechtschreibrat.com/DOX/rfdr_PM_2023-12-20_Geschlechtergerechte_Schreibung_Erlaeuterungs-Begruendungspapier.pdf"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2.png"/><Relationship Id="rId49"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image" Target="media/image10.png"/><Relationship Id="rId31" Type="http://schemas.microsoft.com/office/2016/09/relationships/commentsIds" Target="commentsIds.xml"/><Relationship Id="rId44" Type="http://schemas.openxmlformats.org/officeDocument/2006/relationships/hyperlink" Target="https://politbarometer2.zdf.de/store/Politbarometer/2021_07_16/html/1280x720-1626375458070-0469d703.jpg"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microsoft.com/office/2011/relationships/commentsExtended" Target="commentsExtended.xml"/><Relationship Id="rId35" Type="http://schemas.openxmlformats.org/officeDocument/2006/relationships/image" Target="media/image21.png"/><Relationship Id="rId43" Type="http://schemas.openxmlformats.org/officeDocument/2006/relationships/hyperlink" Target="https://doi.org/10.1080/0163853X.2023.2199531" TargetMode="External"/><Relationship Id="rId48"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38" Type="http://schemas.openxmlformats.org/officeDocument/2006/relationships/hyperlink" Target="https://doi.org/10.3389/fpsyg.2021.760062" TargetMode="External"/><Relationship Id="rId46" Type="http://schemas.openxmlformats.org/officeDocument/2006/relationships/footer" Target="footer4.xml"/><Relationship Id="rId20" Type="http://schemas.openxmlformats.org/officeDocument/2006/relationships/image" Target="media/image11.png"/><Relationship Id="rId41" Type="http://schemas.openxmlformats.org/officeDocument/2006/relationships/hyperlink" Target="https://doi.org/10.1371/journal.pone.0249309" TargetMode="Externa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A6BFA"/>
    <w:rsid w:val="001C11C4"/>
    <w:rsid w:val="001E1B03"/>
    <w:rsid w:val="00265812"/>
    <w:rsid w:val="002F2EA5"/>
    <w:rsid w:val="00335C5F"/>
    <w:rsid w:val="003C30B9"/>
    <w:rsid w:val="003C37F2"/>
    <w:rsid w:val="00442916"/>
    <w:rsid w:val="00516574"/>
    <w:rsid w:val="00542833"/>
    <w:rsid w:val="005612A4"/>
    <w:rsid w:val="005904F3"/>
    <w:rsid w:val="005D78C0"/>
    <w:rsid w:val="005E016B"/>
    <w:rsid w:val="006730F7"/>
    <w:rsid w:val="0067478E"/>
    <w:rsid w:val="00744F8E"/>
    <w:rsid w:val="007B53A6"/>
    <w:rsid w:val="00802AC4"/>
    <w:rsid w:val="00846D93"/>
    <w:rsid w:val="00963CB1"/>
    <w:rsid w:val="00A94BC2"/>
    <w:rsid w:val="00B20BB0"/>
    <w:rsid w:val="00B25052"/>
    <w:rsid w:val="00B50854"/>
    <w:rsid w:val="00B6021F"/>
    <w:rsid w:val="00BA569E"/>
    <w:rsid w:val="00C4247E"/>
    <w:rsid w:val="00C47330"/>
    <w:rsid w:val="00C64BAF"/>
    <w:rsid w:val="00C73C78"/>
    <w:rsid w:val="00D32F32"/>
    <w:rsid w:val="00DC5186"/>
    <w:rsid w:val="00DE0ACB"/>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BCA09-769B-409D-BF9A-6272F56BB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7518</Words>
  <Characters>47366</Characters>
  <Application>Microsoft Office Word</Application>
  <DocSecurity>0</DocSecurity>
  <Lines>394</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100</cp:revision>
  <dcterms:created xsi:type="dcterms:W3CDTF">2026-07-16T19:57:00Z</dcterms:created>
  <dcterms:modified xsi:type="dcterms:W3CDTF">2026-08-28T14:51:00Z</dcterms:modified>
</cp:coreProperties>
</file>