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Arzt” for males and “die Ärztin”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Vainapel et. Al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 xml:space="preserve">(Vainapel, S., Shamir, O. Y., Tenenbaum, Y., &amp; Gilam, G. (2015). </w:t>
      </w:r>
      <w:r w:rsidRPr="00E1504D">
        <w:rPr>
          <w:lang w:val="en-GB"/>
        </w:rPr>
        <w:t xml:space="preserve">The dark side of gendered language: The masculine-generic form as a cause for self-report bias. Psychological Assessment, 27(4), 1513–1519. </w:t>
      </w:r>
      <w:hyperlink r:id="rId10"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1"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2"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3"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4"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A “two-sentence study” on the glottal stop and spoken gender-inclusive language: Körner et al. (2024)</w:t>
      </w:r>
      <w:hyperlink r:id="rId15"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Study using word-image pairs on the impact of the gender star: Zacharski &amp;</w:t>
      </w:r>
      <w:r>
        <w:rPr>
          <w:lang w:val="en-GB"/>
        </w:rPr>
        <w:t xml:space="preserve"> </w:t>
      </w:r>
      <w:r w:rsidRPr="00AC0C0F">
        <w:rPr>
          <w:lang w:val="en-GB"/>
        </w:rPr>
        <w:t xml:space="preserve">Ferstl (2023) </w:t>
      </w:r>
      <w:hyperlink r:id="rId16"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Study on the readability of news texts: Blake &amp; Klimmt (2010)</w:t>
      </w:r>
      <w:hyperlink r:id="rId17"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Masculine: Studenten</w:t>
      </w:r>
    </w:p>
    <w:p w14:paraId="0BC6740C" w14:textId="77777777" w:rsidR="00092581" w:rsidRPr="00092581" w:rsidRDefault="00092581" w:rsidP="00092581">
      <w:pPr>
        <w:spacing w:line="360" w:lineRule="auto"/>
        <w:jc w:val="both"/>
        <w:rPr>
          <w:lang w:val="en-GB"/>
        </w:rPr>
      </w:pPr>
      <w:r w:rsidRPr="00092581">
        <w:rPr>
          <w:lang w:val="en-GB"/>
        </w:rPr>
        <w:t>Feminine: Studentinnen</w:t>
      </w:r>
    </w:p>
    <w:p w14:paraId="34E5BDA6" w14:textId="575EB212" w:rsidR="00092581" w:rsidRPr="00092581" w:rsidRDefault="00092581" w:rsidP="00092581">
      <w:pPr>
        <w:spacing w:line="360" w:lineRule="auto"/>
        <w:jc w:val="both"/>
        <w:rPr>
          <w:lang w:val="en-GB"/>
        </w:rPr>
      </w:pPr>
      <w:r w:rsidRPr="00092581">
        <w:rPr>
          <w:lang w:val="en-GB"/>
        </w:rPr>
        <w:t>Gender-inclusive: Student*innen</w:t>
      </w:r>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C2ECCE5" w14:textId="77777777" w:rsidR="00030E28" w:rsidRPr="00030E28" w:rsidRDefault="00030E28" w:rsidP="00030E28">
      <w:pPr>
        <w:spacing w:line="360" w:lineRule="auto"/>
        <w:jc w:val="both"/>
        <w:rPr>
          <w:lang w:val="en-GB"/>
        </w:rPr>
      </w:pPr>
      <w:r w:rsidRPr="00030E28">
        <w:rPr>
          <w:lang w:val="en-GB"/>
        </w:rPr>
        <w:t>Previous research indicates that (linguistic) gender marking can influence how readers mentally represent the people described in a sentence. Although masculine forms may be intended as generic refernces to people of all genders, they are not always interpreted in a fully gender-neutral way. Instead, masculine forms can activate male associations during language comprehension.</w:t>
      </w:r>
    </w:p>
    <w:p w14:paraId="2A775C50" w14:textId="77777777" w:rsidR="00030E28" w:rsidRPr="00030E28" w:rsidRDefault="00030E28" w:rsidP="00030E28">
      <w:pPr>
        <w:spacing w:line="360" w:lineRule="auto"/>
        <w:jc w:val="both"/>
        <w:rPr>
          <w:lang w:val="en-GB"/>
        </w:rPr>
      </w:pPr>
      <w:r w:rsidRPr="00030E28">
        <w:rPr>
          <w:lang w:val="en-GB"/>
        </w:rPr>
        <w:lastRenderedPageBreak/>
        <w:t>Eye-tracking studies provide evidence that these effects can occur during the early stages of sentence processing. For example, Redl et al. (2021) examined the Dutch masculine possessive pronoun “zijn” (“his”) in sentences where it was intended generically. Their results showed a male bias in eye movements under specific conditions, particularly among male participants and in stereotypically neutral contexts. Although eye-tracking results indicated a temporary male bias during early sentence processing, the same effect did not emerge when participants consciously evaluated the acceptability of the sentences.</w:t>
      </w:r>
    </w:p>
    <w:p w14:paraId="401D2AED" w14:textId="77777777" w:rsidR="00030E28" w:rsidRPr="00030E28" w:rsidRDefault="00030E28" w:rsidP="00030E28">
      <w:pPr>
        <w:spacing w:line="360" w:lineRule="auto"/>
        <w:jc w:val="both"/>
        <w:rPr>
          <w:lang w:val="en-GB"/>
        </w:rPr>
      </w:pPr>
      <w:r w:rsidRPr="00030E28">
        <w:rPr>
          <w:lang w:val="en-GB"/>
        </w:rPr>
        <w:t>Research on role nouns has produced similar findings. Irmen (2007) demonstrated that the formal characteristics of person nouns interact with conceptual information, such as gender stereotypes, during comprehension. Eye movements can therefore reflect the difficulty of integrating grammatical gender information with the reader’s developing representation of the person described. Longer fixations and regressions may indicate that readers experience uncertainty or processing difficulty when the linguistic form and the expected gender of the referent do not correspond.</w:t>
      </w:r>
    </w:p>
    <w:p w14:paraId="3A0492FA" w14:textId="77777777" w:rsidR="00030E28" w:rsidRPr="00030E28" w:rsidRDefault="00030E28" w:rsidP="00030E28">
      <w:pPr>
        <w:spacing w:line="360" w:lineRule="auto"/>
        <w:jc w:val="both"/>
        <w:rPr>
          <w:lang w:val="en-GB"/>
        </w:rPr>
      </w:pPr>
      <w:r w:rsidRPr="00030E28">
        <w:rPr>
          <w:lang w:val="en-GB"/>
        </w:rPr>
        <w:t>Additional evidence comes from research comparing generic masculine forms with gender-inclusive alternatievs. Körner et al. (2022) found that sentences following a generic masculine form were accepted more frequently when they were referred to men than when they referred to women. Male continuations were accepted in 84.4%, whereas female continuations were accepted in 73.0% of cases. This pattern indicates that the generic masculine form elicited a male bias. In contrast, the gender-star form produced the opposite pattern: sentences referring to women were accepted more frequently than sentences referring to men.</w:t>
      </w:r>
    </w:p>
    <w:p w14:paraId="5C87423B" w14:textId="77777777" w:rsidR="00030E28" w:rsidRPr="00030E28" w:rsidRDefault="00030E28" w:rsidP="00030E28">
      <w:pPr>
        <w:spacing w:line="360" w:lineRule="auto"/>
        <w:jc w:val="both"/>
        <w:rPr>
          <w:lang w:val="en-GB"/>
        </w:rPr>
      </w:pPr>
      <w:r w:rsidRPr="00030E28">
        <w:rPr>
          <w:lang w:val="en-GB"/>
        </w:rPr>
        <w:t xml:space="preserve">These findings motivate a systematic comparison of different German role-nouns forms. The present study focuses on three types of expressions: the masculine form, such as </w:t>
      </w:r>
      <w:r w:rsidRPr="00030E28">
        <w:rPr>
          <w:i/>
          <w:iCs/>
          <w:lang w:val="en-GB"/>
        </w:rPr>
        <w:t>Studenten</w:t>
      </w:r>
      <w:r w:rsidRPr="00030E28">
        <w:rPr>
          <w:lang w:val="en-GB"/>
        </w:rPr>
        <w:t xml:space="preserve">; the feminine form, such as </w:t>
      </w:r>
      <w:r w:rsidRPr="00030E28">
        <w:rPr>
          <w:i/>
          <w:iCs/>
          <w:lang w:val="en-GB"/>
        </w:rPr>
        <w:t>Studentinnen</w:t>
      </w:r>
      <w:r w:rsidRPr="00030E28">
        <w:rPr>
          <w:lang w:val="en-GB"/>
        </w:rPr>
        <w:t xml:space="preserve">; and gender-inclusive forms, such as </w:t>
      </w:r>
      <w:r w:rsidRPr="00030E28">
        <w:rPr>
          <w:i/>
          <w:iCs/>
          <w:lang w:val="en-GB"/>
        </w:rPr>
        <w:t>Studen*I</w:t>
      </w:r>
      <w:r w:rsidRPr="00030E28">
        <w:rPr>
          <w:lang w:val="en-GB"/>
        </w:rPr>
        <w:t>innen. The latter being intended to refer to people of different genders, therefore reducing or preventing a one-sidedd gender bias.</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t>1.3 Research Question</w:t>
      </w:r>
      <w:r w:rsidR="00442386">
        <w:rPr>
          <w:lang w:val="en-GB"/>
        </w:rPr>
        <w:t xml:space="preserve"> </w:t>
      </w:r>
      <w:r w:rsidR="00442386">
        <w:rPr>
          <w:b w:val="0"/>
          <w:lang w:val="en-GB"/>
        </w:rPr>
        <w:t>(Aylina)</w:t>
      </w:r>
      <w:bookmarkEnd w:id="6"/>
    </w:p>
    <w:p w14:paraId="03E2F7CD" w14:textId="6344F5DA" w:rsidR="00030E28" w:rsidRPr="00030E28" w:rsidRDefault="00030E28" w:rsidP="00030E28">
      <w:pPr>
        <w:spacing w:line="360" w:lineRule="auto"/>
        <w:jc w:val="both"/>
        <w:rPr>
          <w:lang w:val="en-GB"/>
        </w:rPr>
      </w:pPr>
      <w:r w:rsidRPr="00030E28">
        <w:rPr>
          <w:lang w:val="en-GB"/>
        </w:rPr>
        <w:t>The present study investigates the following research question:</w:t>
      </w:r>
    </w:p>
    <w:p w14:paraId="542E3584" w14:textId="7FA1ED2A" w:rsidR="00030E28" w:rsidRPr="00030E28" w:rsidRDefault="00030E28" w:rsidP="00030E28">
      <w:pPr>
        <w:spacing w:line="360" w:lineRule="auto"/>
        <w:jc w:val="both"/>
        <w:rPr>
          <w:lang w:val="en-GB"/>
        </w:rPr>
      </w:pPr>
      <w:r w:rsidRPr="00030E28">
        <w:rPr>
          <w:b/>
          <w:bCs/>
          <w:i/>
          <w:iCs/>
          <w:lang w:val="en-GB"/>
        </w:rPr>
        <w:lastRenderedPageBreak/>
        <w:t>Do different forms of German role nouns (masculine, feminine, and gender-inclusive) elicit male and female biases in native German speakers, and what is the magnitude of these biases?</w:t>
      </w:r>
    </w:p>
    <w:p w14:paraId="43F3FBDB" w14:textId="1F26E2EB" w:rsidR="00030E28" w:rsidRDefault="00030E28" w:rsidP="00092581">
      <w:pPr>
        <w:spacing w:line="360" w:lineRule="auto"/>
        <w:jc w:val="both"/>
        <w:rPr>
          <w:lang w:val="en-GB"/>
        </w:rPr>
      </w:pPr>
      <w:r w:rsidRPr="00030E28">
        <w:rPr>
          <w:lang w:val="en-GB"/>
        </w:rPr>
        <w:t>The study uses eye tracking to examine whether different role-noun forms influence the processing of later sentence information. In particular, it focuses on fixation behaviour and regression in regions containing anaphoric expressions. These measures can show whether participants process the subsequent reference consistently with the gender representation activated by the role noun.</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7FDFD900" w14:textId="77777777" w:rsidR="00030E28" w:rsidRPr="00030E28" w:rsidRDefault="00030E28" w:rsidP="00030E28">
      <w:pPr>
        <w:spacing w:line="360" w:lineRule="auto"/>
        <w:jc w:val="both"/>
        <w:rPr>
          <w:lang w:val="en-GB"/>
        </w:rPr>
      </w:pPr>
      <w:r w:rsidRPr="00030E28">
        <w:rPr>
          <w:lang w:val="en-GB"/>
        </w:rPr>
        <w:t>The following hypotheses are proposed:</w:t>
      </w:r>
    </w:p>
    <w:p w14:paraId="4994E024" w14:textId="77777777" w:rsidR="00030E28" w:rsidRPr="00030E28" w:rsidRDefault="00030E28" w:rsidP="00030E28">
      <w:pPr>
        <w:spacing w:line="360" w:lineRule="auto"/>
        <w:jc w:val="both"/>
        <w:rPr>
          <w:lang w:val="en-GB"/>
        </w:rPr>
      </w:pPr>
      <w:r w:rsidRPr="00030E28">
        <w:rPr>
          <w:b/>
          <w:bCs/>
          <w:lang w:val="en-GB"/>
        </w:rPr>
        <w:t>H1</w:t>
      </w:r>
      <w:r w:rsidRPr="00030E28">
        <w:rPr>
          <w:lang w:val="en-GB"/>
        </w:rPr>
        <w:t>: Masculine forms produce the strongest male bias, reflected in increased processing difficulty when the subsequent sentence refers to women.</w:t>
      </w:r>
    </w:p>
    <w:p w14:paraId="6F67AAC1" w14:textId="77777777" w:rsidR="00030E28" w:rsidRPr="00030E28" w:rsidRDefault="00030E28" w:rsidP="00030E28">
      <w:pPr>
        <w:spacing w:line="360" w:lineRule="auto"/>
        <w:jc w:val="both"/>
        <w:rPr>
          <w:lang w:val="en-GB"/>
        </w:rPr>
      </w:pPr>
      <w:r w:rsidRPr="00030E28">
        <w:rPr>
          <w:b/>
          <w:bCs/>
          <w:lang w:val="en-GB"/>
        </w:rPr>
        <w:t>H2</w:t>
      </w:r>
      <w:r w:rsidRPr="00030E28">
        <w:rPr>
          <w:lang w:val="en-GB"/>
        </w:rPr>
        <w:t>: Feminine forms produce the strongest female bias, reflected in increased processing difficulty when the subsequent sentence refers to men.</w:t>
      </w:r>
    </w:p>
    <w:p w14:paraId="770E9A9B" w14:textId="77777777" w:rsidR="00030E28" w:rsidRPr="00030E28" w:rsidRDefault="00030E28" w:rsidP="00030E28">
      <w:pPr>
        <w:spacing w:line="360" w:lineRule="auto"/>
        <w:jc w:val="both"/>
        <w:rPr>
          <w:lang w:val="en-GB"/>
        </w:rPr>
      </w:pPr>
      <w:r w:rsidRPr="00030E28">
        <w:rPr>
          <w:b/>
          <w:bCs/>
          <w:lang w:val="en-GB"/>
        </w:rPr>
        <w:t>H3</w:t>
      </w:r>
      <w:r w:rsidRPr="00030E28">
        <w:rPr>
          <w:lang w:val="en-GB"/>
        </w:rPr>
        <w:t>: Gender-inclusive forms produce the weakest overall gender bias and therefore show the smallest difference between male and female continuations.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894BAB4" w14:textId="77777777" w:rsidR="00030E28" w:rsidRPr="00030E28" w:rsidRDefault="00030E28" w:rsidP="00030E28">
      <w:pPr>
        <w:spacing w:line="360" w:lineRule="auto"/>
        <w:jc w:val="both"/>
        <w:rPr>
          <w:lang w:val="en-GB"/>
        </w:rPr>
      </w:pPr>
      <w:r w:rsidRPr="00030E28">
        <w:rPr>
          <w:lang w:val="en-GB"/>
        </w:rPr>
        <w:t>The main independent variable is the form of the role noun. The experiment compares:</w:t>
      </w:r>
    </w:p>
    <w:p w14:paraId="4CCB40D0" w14:textId="6EE9BE11" w:rsidR="00030E28" w:rsidRPr="00030E28" w:rsidRDefault="00030E28" w:rsidP="00030E28">
      <w:pPr>
        <w:spacing w:line="360" w:lineRule="auto"/>
        <w:jc w:val="both"/>
        <w:rPr>
          <w:lang w:val="en-GB"/>
        </w:rPr>
      </w:pPr>
      <w:r w:rsidRPr="00030E28">
        <w:rPr>
          <w:lang w:val="en-GB"/>
        </w:rPr>
        <w:t xml:space="preserve">·   Masculine forms, for example </w:t>
      </w:r>
      <w:r w:rsidRPr="00030E28">
        <w:rPr>
          <w:i/>
          <w:iCs/>
          <w:lang w:val="en-GB"/>
        </w:rPr>
        <w:t>Studenten</w:t>
      </w:r>
    </w:p>
    <w:p w14:paraId="2C8258F6" w14:textId="182D742F" w:rsidR="00030E28" w:rsidRPr="00030E28" w:rsidRDefault="00030E28" w:rsidP="00030E28">
      <w:pPr>
        <w:spacing w:line="360" w:lineRule="auto"/>
        <w:jc w:val="both"/>
        <w:rPr>
          <w:lang w:val="en-GB"/>
        </w:rPr>
      </w:pPr>
      <w:r w:rsidRPr="00030E28">
        <w:rPr>
          <w:lang w:val="en-GB"/>
        </w:rPr>
        <w:t xml:space="preserve">·   Feminine forms, for example </w:t>
      </w:r>
      <w:r w:rsidRPr="00030E28">
        <w:rPr>
          <w:i/>
          <w:iCs/>
          <w:lang w:val="en-GB"/>
        </w:rPr>
        <w:t>Studentinnen</w:t>
      </w:r>
    </w:p>
    <w:p w14:paraId="1F9B9057" w14:textId="22CEF908" w:rsidR="00030E28" w:rsidRPr="00030E28" w:rsidRDefault="00030E28" w:rsidP="00030E28">
      <w:pPr>
        <w:spacing w:line="360" w:lineRule="auto"/>
        <w:jc w:val="both"/>
        <w:rPr>
          <w:lang w:val="en-GB"/>
        </w:rPr>
      </w:pPr>
      <w:r w:rsidRPr="00030E28">
        <w:rPr>
          <w:lang w:val="en-GB"/>
        </w:rPr>
        <w:t xml:space="preserve">·   Gender-star forms, for example </w:t>
      </w:r>
      <w:r w:rsidRPr="00030E28">
        <w:rPr>
          <w:i/>
          <w:iCs/>
          <w:lang w:val="en-GB"/>
        </w:rPr>
        <w:t>Student*innen</w:t>
      </w:r>
    </w:p>
    <w:p w14:paraId="2DFD0B36" w14:textId="79346618" w:rsidR="00030E28" w:rsidRPr="00030E28" w:rsidRDefault="00030E28" w:rsidP="00030E28">
      <w:pPr>
        <w:spacing w:line="360" w:lineRule="auto"/>
        <w:jc w:val="both"/>
        <w:rPr>
          <w:lang w:val="en-GB"/>
        </w:rPr>
      </w:pPr>
      <w:r w:rsidRPr="00030E28">
        <w:rPr>
          <w:lang w:val="en-GB"/>
        </w:rPr>
        <w:t xml:space="preserve">·   Neutral forms, for example </w:t>
      </w:r>
      <w:r w:rsidRPr="00030E28">
        <w:rPr>
          <w:i/>
          <w:iCs/>
          <w:lang w:val="en-GB"/>
        </w:rPr>
        <w:t>Studierende</w:t>
      </w:r>
    </w:p>
    <w:p w14:paraId="5FA3D388" w14:textId="77777777" w:rsidR="00030E28" w:rsidRPr="00030E28" w:rsidRDefault="00030E28" w:rsidP="00030E28">
      <w:pPr>
        <w:spacing w:line="360" w:lineRule="auto"/>
        <w:jc w:val="both"/>
        <w:rPr>
          <w:lang w:val="en-GB"/>
        </w:rPr>
      </w:pPr>
      <w:r w:rsidRPr="00030E28">
        <w:rPr>
          <w:lang w:val="en-GB"/>
        </w:rPr>
        <w:t>Participants’ self-reported attitudes toward gender-inclusive language are collected after the eye-tracking task. These attitudes are treated as an additional participant-level measure and may be used to examine whether personal opinions about inclusive language are associated with reading behavior.</w:t>
      </w:r>
    </w:p>
    <w:p w14:paraId="731F4A9E" w14:textId="77777777" w:rsidR="00030E28" w:rsidRDefault="00030E28" w:rsidP="00092581">
      <w:pPr>
        <w:spacing w:line="360" w:lineRule="auto"/>
        <w:jc w:val="both"/>
        <w:rPr>
          <w:lang w:val="en-GB"/>
        </w:rPr>
      </w:pPr>
    </w:p>
    <w:p w14:paraId="7A29CD10" w14:textId="5DBA0381" w:rsidR="00092581" w:rsidRDefault="00092581" w:rsidP="00030E28">
      <w:pPr>
        <w:pStyle w:val="berschrift3"/>
        <w:spacing w:line="360" w:lineRule="auto"/>
        <w:rPr>
          <w:lang w:val="en-GB"/>
        </w:rPr>
      </w:pPr>
      <w:bookmarkStart w:id="9" w:name="_Toc235728789"/>
      <w:r w:rsidRPr="00092581">
        <w:rPr>
          <w:lang w:val="en-GB"/>
        </w:rPr>
        <w:lastRenderedPageBreak/>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093D566F" w14:textId="77777777" w:rsidR="00030E28" w:rsidRPr="00030E28" w:rsidRDefault="00030E28" w:rsidP="00030E28">
      <w:pPr>
        <w:numPr>
          <w:ilvl w:val="0"/>
          <w:numId w:val="23"/>
        </w:numPr>
        <w:spacing w:line="360" w:lineRule="auto"/>
        <w:rPr>
          <w:lang w:val="de-DE"/>
        </w:rPr>
      </w:pPr>
      <w:r w:rsidRPr="00030E28">
        <w:rPr>
          <w:lang w:val="en-GB"/>
        </w:rPr>
        <w:t xml:space="preserve">The dependent measures are derived from participants’ eye movements while reading. </w:t>
      </w:r>
      <w:r w:rsidRPr="00030E28">
        <w:rPr>
          <w:lang w:val="de-DE"/>
        </w:rPr>
        <w:t>The primary measures include:</w:t>
      </w:r>
    </w:p>
    <w:p w14:paraId="1129893D" w14:textId="77777777" w:rsidR="00030E28" w:rsidRPr="00030E28" w:rsidRDefault="00030E28" w:rsidP="00030E28">
      <w:pPr>
        <w:numPr>
          <w:ilvl w:val="0"/>
          <w:numId w:val="23"/>
        </w:numPr>
        <w:spacing w:line="360" w:lineRule="auto"/>
        <w:rPr>
          <w:lang w:val="en-GB"/>
        </w:rPr>
      </w:pPr>
      <w:r w:rsidRPr="00030E28">
        <w:rPr>
          <w:b/>
          <w:bCs/>
          <w:lang w:val="en-GB"/>
        </w:rPr>
        <w:t>Fixation duration:</w:t>
      </w:r>
      <w:r w:rsidRPr="00030E28">
        <w:rPr>
          <w:lang w:val="en-GB"/>
        </w:rPr>
        <w:t xml:space="preserve"> The amount of time participants fixate on the role noun or the later anaphoric region.</w:t>
      </w:r>
    </w:p>
    <w:p w14:paraId="0182A362" w14:textId="77777777" w:rsidR="00030E28" w:rsidRPr="00030E28" w:rsidRDefault="00030E28" w:rsidP="00030E28">
      <w:pPr>
        <w:numPr>
          <w:ilvl w:val="0"/>
          <w:numId w:val="23"/>
        </w:numPr>
        <w:spacing w:line="360" w:lineRule="auto"/>
        <w:rPr>
          <w:lang w:val="en-GB"/>
        </w:rPr>
      </w:pPr>
      <w:r w:rsidRPr="00030E28">
        <w:rPr>
          <w:b/>
          <w:bCs/>
          <w:lang w:val="en-GB"/>
        </w:rPr>
        <w:t>First-pass reading time:</w:t>
      </w:r>
      <w:r w:rsidRPr="00030E28">
        <w:rPr>
          <w:lang w:val="en-GB"/>
        </w:rPr>
        <w:t xml:space="preserve"> The time spent reading a region before the eyes move away from it for the first time.</w:t>
      </w:r>
    </w:p>
    <w:p w14:paraId="0BC29F40" w14:textId="77777777" w:rsidR="00030E28" w:rsidRPr="00030E28" w:rsidRDefault="00030E28" w:rsidP="00030E28">
      <w:pPr>
        <w:numPr>
          <w:ilvl w:val="0"/>
          <w:numId w:val="23"/>
        </w:numPr>
        <w:spacing w:line="360" w:lineRule="auto"/>
        <w:rPr>
          <w:lang w:val="en-GB"/>
        </w:rPr>
      </w:pPr>
      <w:r w:rsidRPr="00030E28">
        <w:rPr>
          <w:b/>
          <w:bCs/>
          <w:lang w:val="en-GB"/>
        </w:rPr>
        <w:t>Regressions:</w:t>
      </w:r>
      <w:r w:rsidRPr="00030E28">
        <w:rPr>
          <w:lang w:val="en-GB"/>
        </w:rPr>
        <w:t xml:space="preserve"> Eye movements directed back to an earlier part of the sentence, which may indicate uncertainty or reanalysis.</w:t>
      </w:r>
    </w:p>
    <w:p w14:paraId="44641A04" w14:textId="77777777" w:rsidR="00030E28" w:rsidRPr="00030E28" w:rsidRDefault="00030E28" w:rsidP="00030E28">
      <w:pPr>
        <w:numPr>
          <w:ilvl w:val="0"/>
          <w:numId w:val="23"/>
        </w:numPr>
        <w:spacing w:line="360" w:lineRule="auto"/>
        <w:rPr>
          <w:lang w:val="en-GB"/>
        </w:rPr>
      </w:pPr>
      <w:r w:rsidRPr="00030E28">
        <w:rPr>
          <w:b/>
          <w:bCs/>
          <w:lang w:val="en-GB"/>
        </w:rPr>
        <w:t>Regression-path time:</w:t>
      </w:r>
      <w:r w:rsidRPr="00030E28">
        <w:rPr>
          <w:lang w:val="en-GB"/>
        </w:rPr>
        <w:t xml:space="preserve"> The time spent in a region and in preceding regions before the reader moves forward.</w:t>
      </w:r>
    </w:p>
    <w:p w14:paraId="4F46E089" w14:textId="77777777" w:rsidR="00030E28" w:rsidRPr="00030E28" w:rsidRDefault="00030E28" w:rsidP="00030E28">
      <w:pPr>
        <w:numPr>
          <w:ilvl w:val="0"/>
          <w:numId w:val="23"/>
        </w:numPr>
        <w:spacing w:line="360" w:lineRule="auto"/>
        <w:rPr>
          <w:lang w:val="en-GB"/>
        </w:rPr>
      </w:pPr>
      <w:r w:rsidRPr="00030E28">
        <w:rPr>
          <w:b/>
          <w:bCs/>
          <w:lang w:val="en-GB"/>
        </w:rPr>
        <w:t>Total reading time:</w:t>
      </w:r>
      <w:r w:rsidRPr="00030E28">
        <w:rPr>
          <w:lang w:val="en-GB"/>
        </w:rPr>
        <w:t xml:space="preserve"> The total time spent looking at a region, including rereading.</w:t>
      </w:r>
    </w:p>
    <w:p w14:paraId="6D20B817" w14:textId="77777777" w:rsidR="00030E28" w:rsidRPr="00030E28" w:rsidRDefault="00030E28" w:rsidP="00030E28">
      <w:pPr>
        <w:numPr>
          <w:ilvl w:val="0"/>
          <w:numId w:val="23"/>
        </w:numPr>
        <w:spacing w:line="360" w:lineRule="auto"/>
        <w:rPr>
          <w:lang w:val="en-GB"/>
        </w:rPr>
      </w:pPr>
      <w:r w:rsidRPr="00030E28">
        <w:rPr>
          <w:b/>
          <w:bCs/>
          <w:lang w:val="en-GB"/>
        </w:rPr>
        <w:t>First-pass regressions:</w:t>
      </w:r>
      <w:r w:rsidRPr="00030E28">
        <w:rPr>
          <w:lang w:val="en-GB"/>
        </w:rPr>
        <w:t xml:space="preserve"> Regressions made during the initial reading of a region.</w:t>
      </w:r>
    </w:p>
    <w:p w14:paraId="19FC9505" w14:textId="15E420AA" w:rsidR="00030E28" w:rsidRPr="00030E28" w:rsidRDefault="00030E28" w:rsidP="00030E28">
      <w:pPr>
        <w:tabs>
          <w:tab w:val="num" w:pos="720"/>
        </w:tabs>
        <w:spacing w:line="360" w:lineRule="auto"/>
        <w:rPr>
          <w:lang w:val="en-GB"/>
        </w:rPr>
      </w:pPr>
      <w:r w:rsidRPr="00030E28">
        <w:rPr>
          <w:lang w:val="en-GB"/>
        </w:rPr>
        <w:t>Early measures are expected to provide information about the initial activation of gender-related representations. Later measures, particularly regressions and total reading time, may indicate whether participants need to revise or resolve an interpretation that conflicts with the later sentence context.</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24EA5B9C"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w:t>
      </w:r>
      <w:r w:rsidR="001B42BA">
        <w:rPr>
          <w:lang w:val="en-GB"/>
        </w:rPr>
        <w:t>4</w:t>
      </w:r>
      <w:r w:rsidR="00D4177F">
        <w:rPr>
          <w:lang w:val="en-GB"/>
        </w:rPr>
        <w:t xml:space="preserve"> participants. T</w:t>
      </w:r>
      <w:r w:rsidR="00D4177F" w:rsidRPr="00D4177F">
        <w:rPr>
          <w:lang w:val="en-GB"/>
        </w:rPr>
        <w:t>he</w:t>
      </w:r>
      <w:r w:rsidR="00D4177F">
        <w:rPr>
          <w:lang w:val="en-GB"/>
        </w:rPr>
        <w:t xml:space="preserve"> participants were between 2</w:t>
      </w:r>
      <w:r w:rsidR="004779FC">
        <w:rPr>
          <w:lang w:val="en-GB"/>
        </w:rPr>
        <w:t>0</w:t>
      </w:r>
      <w:r w:rsidR="00D4177F">
        <w:rPr>
          <w:lang w:val="en-GB"/>
        </w:rPr>
        <w:t xml:space="preserve"> and </w:t>
      </w:r>
      <w:r w:rsidR="004779FC">
        <w:rPr>
          <w:lang w:val="en-GB"/>
        </w:rPr>
        <w:t>42</w:t>
      </w:r>
      <w:r w:rsidR="00D4177F">
        <w:rPr>
          <w:lang w:val="en-GB"/>
        </w:rPr>
        <w:t xml:space="preserve"> years old, all of them were students.</w:t>
      </w:r>
      <w:r w:rsidR="0094111F">
        <w:rPr>
          <w:lang w:val="en-GB"/>
        </w:rPr>
        <w:t xml:space="preserve"> </w:t>
      </w:r>
      <w:r w:rsidR="00D4177F">
        <w:rPr>
          <w:lang w:val="en-GB"/>
        </w:rPr>
        <w:t xml:space="preserve"> </w:t>
      </w:r>
      <w:r w:rsidR="0094111F">
        <w:rPr>
          <w:lang w:val="en-GB"/>
        </w:rPr>
        <w:t xml:space="preserve">Only four of them were female, the other ten </w:t>
      </w:r>
      <w:r w:rsidR="002006ED">
        <w:rPr>
          <w:lang w:val="en-GB"/>
        </w:rPr>
        <w:t>were</w:t>
      </w:r>
      <w:r w:rsidR="0094111F">
        <w:rPr>
          <w:lang w:val="en-GB"/>
        </w:rPr>
        <w:t xml:space="preserve"> male.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lastRenderedPageBreak/>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4356D659" w:rsidR="00842C63" w:rsidRDefault="00842C63">
      <w:pPr>
        <w:pStyle w:val="Beschriftung"/>
      </w:pPr>
      <w:r>
        <w:t xml:space="preserve">Figure </w:t>
      </w:r>
      <w:r>
        <w:fldChar w:fldCharType="begin"/>
      </w:r>
      <w:r>
        <w:instrText xml:space="preserve"> SEQ Figure \* ARABIC </w:instrText>
      </w:r>
      <w:r>
        <w:fldChar w:fldCharType="separate"/>
      </w:r>
      <w:r w:rsidR="006C163E">
        <w:rPr>
          <w:noProof/>
        </w:rPr>
        <w:t>1</w:t>
      </w:r>
      <w:r>
        <w:fldChar w:fldCharType="end"/>
      </w:r>
      <w:r>
        <w:t>: Conditions</w:t>
      </w:r>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and  after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w:t>
      </w:r>
      <w:r w:rsidRPr="00842C63">
        <w:lastRenderedPageBreak/>
        <w:t>&lt;RN&gt;Arbeitnehmer*innen&lt;/RN&gt;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lastRenderedPageBreak/>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lastRenderedPageBreak/>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2F1190E0"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006C163E">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lastRenderedPageBreak/>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r w:rsidR="00F2030B" w:rsidRPr="00AB26CB">
        <w:rPr>
          <w:lang w:val="en-GB"/>
        </w:rPr>
        <w:t xml:space="preserve">Danach wird eine kurze Verständnisfrage gestellt.“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w:t>
      </w:r>
      <w:r>
        <w:rPr>
          <w:lang w:val="en-GB"/>
        </w:rPr>
        <w:lastRenderedPageBreak/>
        <w:t xml:space="preserve">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4B46AE72" w14:textId="380D3270" w:rsidR="00193472" w:rsidRDefault="00B26EAA" w:rsidP="003B4886">
      <w:pPr>
        <w:spacing w:line="360" w:lineRule="auto"/>
        <w:jc w:val="both"/>
        <w:rPr>
          <w:lang w:val="en-GB"/>
        </w:rPr>
      </w:pPr>
      <w:r>
        <w:rPr>
          <w:lang w:val="en-GB"/>
        </w:rPr>
        <w:t xml:space="preserve">The Open Sesame experiment has the following Structure: In the experiment is a experiment sequence. First there is the pygaze initialization than the pygaze start recording. After that there is a inline script to initialize our variables. </w:t>
      </w:r>
      <w:r w:rsidR="005C61CA">
        <w:rPr>
          <w:lang w:val="en-GB"/>
        </w:rPr>
        <w:t xml:space="preserve">Then </w:t>
      </w:r>
      <w:r>
        <w:rPr>
          <w:lang w:val="en-GB"/>
        </w:rPr>
        <w:t xml:space="preserve">we have the sketchpad with the Instruction text, with an pygaze log for the instruction onset. Following there is a inline script to choose the list that will be shown to the participant. </w:t>
      </w:r>
      <w:r w:rsidR="00075409">
        <w:rPr>
          <w:lang w:val="en-GB"/>
        </w:rPr>
        <w:t xml:space="preserve">After that the Trial Loop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lastRenderedPageBreak/>
        <w:t>The</w:t>
      </w:r>
      <w:r w:rsidR="00B3006B">
        <w:rPr>
          <w:lang w:val="en-GB"/>
        </w:rPr>
        <w:t xml:space="preserve"> Trial Loop is used to implement the main part of the project. </w:t>
      </w:r>
      <w:r w:rsidR="001B72D1">
        <w:rPr>
          <w:lang w:val="en-GB"/>
        </w:rPr>
        <w:t>There is also the table initialized with all the texts for each condition with item number and list number according to the latin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r>
        <w:rPr>
          <w:lang w:val="en-GB"/>
        </w:rPr>
        <w:t>list</w:t>
      </w:r>
      <w:r w:rsidR="00DB1852">
        <w:rPr>
          <w:lang w:val="en-GB"/>
        </w:rPr>
        <w:t>_filter</w:t>
      </w:r>
    </w:p>
    <w:p w14:paraId="31C4711A" w14:textId="26920746" w:rsidR="00DB1852" w:rsidRDefault="001C563F" w:rsidP="00DB1852">
      <w:pPr>
        <w:pStyle w:val="Listenabsatz"/>
        <w:numPr>
          <w:ilvl w:val="0"/>
          <w:numId w:val="22"/>
        </w:numPr>
        <w:spacing w:line="360" w:lineRule="auto"/>
        <w:jc w:val="both"/>
        <w:rPr>
          <w:lang w:val="en-GB"/>
        </w:rPr>
      </w:pPr>
      <w:r>
        <w:rPr>
          <w:lang w:val="en-GB"/>
        </w:rPr>
        <w:t>sentence</w:t>
      </w:r>
      <w:r w:rsidR="00DB1852">
        <w:rPr>
          <w:lang w:val="en-GB"/>
        </w:rPr>
        <w:t>_script</w:t>
      </w:r>
    </w:p>
    <w:p w14:paraId="66ED1746" w14:textId="3699AD6B"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uestion_sketchpad</w:t>
      </w:r>
    </w:p>
    <w:p w14:paraId="332894DC" w14:textId="21582C09"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uestion_pygaze_log</w:t>
      </w:r>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r w:rsidRPr="001C563F">
        <w:rPr>
          <w:i/>
          <w:iCs/>
          <w:lang w:val="en-GB"/>
        </w:rPr>
        <w:t>trail_sequence</w:t>
      </w:r>
      <w:r w:rsidRPr="001C563F">
        <w:rPr>
          <w:lang w:val="en-GB"/>
        </w:rPr>
        <w:t xml:space="preserve"> initialization, the elements </w:t>
      </w:r>
      <w:r w:rsidRPr="001C563F">
        <w:rPr>
          <w:i/>
          <w:iCs/>
          <w:lang w:val="en-GB"/>
        </w:rPr>
        <w:t>list_filter</w:t>
      </w:r>
      <w:r w:rsidRPr="001C563F">
        <w:rPr>
          <w:lang w:val="en-GB"/>
        </w:rPr>
        <w:t xml:space="preserve"> and </w:t>
      </w:r>
      <w:r w:rsidRPr="001C563F">
        <w:rPr>
          <w:i/>
          <w:iCs/>
          <w:lang w:val="en-GB"/>
        </w:rPr>
        <w:t>logger</w:t>
      </w:r>
      <w:r w:rsidRPr="001C563F">
        <w:rPr>
          <w:lang w:val="en-GB"/>
        </w:rPr>
        <w:t xml:space="preserve"> are set to always execute, whereas </w:t>
      </w:r>
      <w:r w:rsidRPr="001C563F">
        <w:rPr>
          <w:i/>
          <w:iCs/>
          <w:lang w:val="en-GB"/>
        </w:rPr>
        <w:t>sentence_script</w:t>
      </w:r>
      <w:r w:rsidRPr="001C563F">
        <w:rPr>
          <w:lang w:val="en-GB"/>
        </w:rPr>
        <w:t xml:space="preserve">, </w:t>
      </w:r>
      <w:r w:rsidRPr="001C563F">
        <w:rPr>
          <w:i/>
          <w:iCs/>
          <w:lang w:val="en-GB"/>
        </w:rPr>
        <w:t>question_sketchpad</w:t>
      </w:r>
      <w:r w:rsidRPr="001C563F">
        <w:rPr>
          <w:lang w:val="en-GB"/>
        </w:rPr>
        <w:t xml:space="preserve">, and </w:t>
      </w:r>
      <w:r w:rsidRPr="001C563F">
        <w:rPr>
          <w:i/>
          <w:iCs/>
          <w:lang w:val="en-GB"/>
        </w:rPr>
        <w:t>question_pygaze_log</w:t>
      </w:r>
      <w:r w:rsidRPr="001C563F">
        <w:rPr>
          <w:lang w:val="en-GB"/>
        </w:rPr>
        <w:t xml:space="preserve"> execute only when `</w:t>
      </w:r>
      <w:r w:rsidRPr="001C563F">
        <w:rPr>
          <w:i/>
          <w:iCs/>
          <w:lang w:val="en-GB"/>
        </w:rPr>
        <w:t>skip_trial</w:t>
      </w:r>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r w:rsidRPr="001C563F">
        <w:rPr>
          <w:i/>
          <w:iCs/>
          <w:lang w:val="en-GB"/>
        </w:rPr>
        <w:t>list</w:t>
      </w:r>
      <w:r w:rsidR="001C563F" w:rsidRPr="001C563F">
        <w:rPr>
          <w:i/>
          <w:iCs/>
          <w:lang w:val="en-GB"/>
        </w:rPr>
        <w:t>_</w:t>
      </w:r>
      <w:r w:rsidRPr="001C563F">
        <w:rPr>
          <w:i/>
          <w:iCs/>
          <w:lang w:val="en-GB"/>
        </w:rPr>
        <w:t>filter</w:t>
      </w:r>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r w:rsidRPr="001C563F">
        <w:rPr>
          <w:i/>
          <w:iCs/>
          <w:lang w:val="en-GB"/>
        </w:rPr>
        <w:t>skip_trial</w:t>
      </w:r>
      <w:r w:rsidRPr="00DB1852">
        <w:rPr>
          <w:lang w:val="en-GB"/>
        </w:rPr>
        <w:t xml:space="preserve"> variable is set to 0, </w:t>
      </w:r>
      <w:r w:rsidR="001C563F">
        <w:rPr>
          <w:lang w:val="en-GB"/>
        </w:rPr>
        <w:t>and</w:t>
      </w:r>
      <w:r w:rsidRPr="00DB1852">
        <w:rPr>
          <w:lang w:val="en-GB"/>
        </w:rPr>
        <w:t xml:space="preserve"> if it is not found, </w:t>
      </w:r>
      <w:r w:rsidRPr="001C563F">
        <w:rPr>
          <w:i/>
          <w:iCs/>
          <w:lang w:val="en-GB"/>
        </w:rPr>
        <w:t>skip_trial</w:t>
      </w:r>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r w:rsidRPr="001C563F">
        <w:rPr>
          <w:i/>
          <w:iCs/>
          <w:lang w:val="en-GB"/>
        </w:rPr>
        <w:t>sentence_script</w:t>
      </w:r>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FE7918C" w:rsidR="00171C8D" w:rsidRDefault="00171C8D" w:rsidP="003B4886">
      <w:pPr>
        <w:spacing w:line="360" w:lineRule="auto"/>
        <w:jc w:val="both"/>
        <w:rPr>
          <w:lang w:val="en-GB"/>
        </w:rPr>
      </w:pPr>
      <w:r>
        <w:rPr>
          <w:lang w:val="en-GB"/>
        </w:rPr>
        <w:t xml:space="preserve">First there will be a fixation cross shown in each sequence before the text </w:t>
      </w:r>
      <w:r w:rsidR="00A12FCC">
        <w:rPr>
          <w:lang w:val="en-GB"/>
        </w:rPr>
        <w:t xml:space="preserve">appears as seen in the next Figure 3.  </w:t>
      </w:r>
    </w:p>
    <w:p w14:paraId="44436A6C" w14:textId="77777777" w:rsidR="00A12FCC" w:rsidRDefault="00C6125E" w:rsidP="00A12FCC">
      <w:pPr>
        <w:keepNext/>
        <w:spacing w:line="360" w:lineRule="auto"/>
        <w:jc w:val="both"/>
      </w:pPr>
      <w:r>
        <w:rPr>
          <w:noProof/>
        </w:rPr>
        <w:lastRenderedPageBreak/>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1C9A7FAD" w14:textId="01F64AAA" w:rsidR="008608F0" w:rsidRPr="001F7A8C" w:rsidRDefault="00A12FCC" w:rsidP="00A12FCC">
      <w:pPr>
        <w:pStyle w:val="Beschriftung"/>
        <w:jc w:val="both"/>
        <w:rPr>
          <w:lang w:val="en-GB"/>
        </w:rPr>
      </w:pPr>
      <w:r w:rsidRPr="001F7A8C">
        <w:rPr>
          <w:lang w:val="en-GB"/>
        </w:rPr>
        <w:t xml:space="preserve">Figure </w:t>
      </w:r>
      <w:r>
        <w:fldChar w:fldCharType="begin"/>
      </w:r>
      <w:r w:rsidRPr="001F7A8C">
        <w:rPr>
          <w:lang w:val="en-GB"/>
        </w:rPr>
        <w:instrText xml:space="preserve"> SEQ Figure \* ARABIC </w:instrText>
      </w:r>
      <w:r>
        <w:fldChar w:fldCharType="separate"/>
      </w:r>
      <w:r w:rsidR="006C163E">
        <w:rPr>
          <w:noProof/>
          <w:lang w:val="en-GB"/>
        </w:rPr>
        <w:t>3</w:t>
      </w:r>
      <w:r>
        <w:fldChar w:fldCharType="end"/>
      </w:r>
      <w:r w:rsidRPr="001F7A8C">
        <w:rPr>
          <w:lang w:val="en-GB"/>
        </w:rPr>
        <w:t>: Fixation Cross</w:t>
      </w:r>
    </w:p>
    <w:p w14:paraId="6F0380FE" w14:textId="054E9902" w:rsidR="00227E48" w:rsidRPr="00227E48" w:rsidRDefault="00227E48" w:rsidP="00227E48">
      <w:pPr>
        <w:spacing w:line="360" w:lineRule="auto"/>
        <w:jc w:val="both"/>
        <w:rPr>
          <w:lang w:val="en-GB"/>
        </w:rPr>
      </w:pPr>
      <w:r>
        <w:rPr>
          <w:lang w:val="en-GB"/>
        </w:rPr>
        <w:t xml:space="preserve">To position the fixation cross at the spot where the text starts the cross gets the positioning from the </w:t>
      </w:r>
      <w:r w:rsidRPr="00227E48">
        <w:rPr>
          <w:i/>
          <w:iCs/>
          <w:lang w:val="en-GB"/>
        </w:rPr>
        <w:t>text_start_x</w:t>
      </w:r>
      <w:r>
        <w:rPr>
          <w:lang w:val="en-GB"/>
        </w:rPr>
        <w:t xml:space="preserve"> and </w:t>
      </w:r>
      <w:r w:rsidRPr="00227E48">
        <w:rPr>
          <w:i/>
          <w:iCs/>
          <w:lang w:val="en-GB"/>
        </w:rPr>
        <w:t>text_start_y</w:t>
      </w:r>
      <w:r>
        <w:rPr>
          <w:lang w:val="en-GB"/>
        </w:rPr>
        <w:t xml:space="preserve"> variables</w:t>
      </w:r>
      <w:r w:rsidR="001F7A8C">
        <w:rPr>
          <w:lang w:val="en-GB"/>
        </w:rPr>
        <w:t xml:space="preserve"> as you can see in Figure 4</w:t>
      </w:r>
      <w:r>
        <w:rPr>
          <w:lang w:val="en-GB"/>
        </w:rPr>
        <w:t xml:space="preserve">. The first </w:t>
      </w:r>
      <w:r w:rsidRPr="00CF10CC">
        <w:rPr>
          <w:i/>
          <w:iCs/>
          <w:lang w:val="en-GB"/>
        </w:rPr>
        <w:t>fixation_canvas.line</w:t>
      </w:r>
      <w:r>
        <w:rPr>
          <w:lang w:val="en-GB"/>
        </w:rPr>
        <w:t xml:space="preserve"> draws the horizontal line: </w:t>
      </w:r>
      <w:r w:rsidRPr="00CF10CC">
        <w:rPr>
          <w:i/>
          <w:iCs/>
          <w:lang w:val="en-GB"/>
        </w:rPr>
        <w:t>cross_x – cross_size/2</w:t>
      </w:r>
      <w:r>
        <w:rPr>
          <w:lang w:val="en-GB"/>
        </w:rPr>
        <w:t xml:space="preserve">  is the start on the x axis, </w:t>
      </w:r>
      <w:r w:rsidRPr="00CF10CC">
        <w:rPr>
          <w:i/>
          <w:iCs/>
          <w:lang w:val="en-GB"/>
        </w:rPr>
        <w:t>cross_y</w:t>
      </w:r>
      <w:r>
        <w:rPr>
          <w:lang w:val="en-GB"/>
        </w:rPr>
        <w:t xml:space="preserve"> is the start on the y axis, </w:t>
      </w:r>
      <w:r w:rsidRPr="00CF10CC">
        <w:rPr>
          <w:i/>
          <w:iCs/>
          <w:lang w:val="en-GB"/>
        </w:rPr>
        <w:t>cross_x + cross_size/2</w:t>
      </w:r>
      <w:r>
        <w:rPr>
          <w:lang w:val="en-GB"/>
        </w:rPr>
        <w:t xml:space="preserve"> is where the cross ends on the x axis and </w:t>
      </w:r>
      <w:r w:rsidRPr="00CF10CC">
        <w:rPr>
          <w:i/>
          <w:iCs/>
          <w:lang w:val="en-GB"/>
        </w:rPr>
        <w:t>cross_y</w:t>
      </w:r>
      <w:r>
        <w:rPr>
          <w:lang w:val="en-GB"/>
        </w:rPr>
        <w:t xml:space="preserve"> is also the end of the cross on the y axis. </w:t>
      </w:r>
      <w:r w:rsidR="00CF10CC">
        <w:rPr>
          <w:lang w:val="en-GB"/>
        </w:rPr>
        <w:t>Therefore,</w:t>
      </w:r>
      <w:r>
        <w:rPr>
          <w:lang w:val="en-GB"/>
        </w:rPr>
        <w:t xml:space="preserve"> the first line is the horizontal line from the fixation cross. </w:t>
      </w:r>
      <w:r w:rsidR="001F7A8C">
        <w:rPr>
          <w:lang w:val="en-GB"/>
        </w:rPr>
        <w:t>The second line follows the same logic but for the horizontal line. Both lines together form the cross.</w:t>
      </w:r>
    </w:p>
    <w:p w14:paraId="60B48A92" w14:textId="77777777" w:rsidR="001F7A8C" w:rsidRDefault="008F2179" w:rsidP="001F7A8C">
      <w:pPr>
        <w:keepNext/>
        <w:spacing w:line="360" w:lineRule="auto"/>
        <w:jc w:val="both"/>
      </w:pPr>
      <w:r w:rsidRPr="008F2179">
        <w:rPr>
          <w:noProof/>
          <w:lang w:val="en-GB"/>
        </w:rPr>
        <w:drawing>
          <wp:inline distT="0" distB="0" distL="0" distR="0" wp14:anchorId="5B3F532E" wp14:editId="3E9D67BD">
            <wp:extent cx="2619293" cy="2881223"/>
            <wp:effectExtent l="0" t="0" r="0" b="0"/>
            <wp:docPr id="18042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06" name=""/>
                    <pic:cNvPicPr/>
                  </pic:nvPicPr>
                  <pic:blipFill>
                    <a:blip r:embed="rId19"/>
                    <a:stretch>
                      <a:fillRect/>
                    </a:stretch>
                  </pic:blipFill>
                  <pic:spPr>
                    <a:xfrm>
                      <a:off x="0" y="0"/>
                      <a:ext cx="2622497" cy="2884747"/>
                    </a:xfrm>
                    <a:prstGeom prst="rect">
                      <a:avLst/>
                    </a:prstGeom>
                  </pic:spPr>
                </pic:pic>
              </a:graphicData>
            </a:graphic>
          </wp:inline>
        </w:drawing>
      </w:r>
    </w:p>
    <w:p w14:paraId="3F61C8C2" w14:textId="5A049999" w:rsidR="008608F0" w:rsidRPr="006C163E" w:rsidRDefault="001F7A8C" w:rsidP="001F7A8C">
      <w:pPr>
        <w:pStyle w:val="Beschriftung"/>
        <w:jc w:val="both"/>
        <w:rPr>
          <w:lang w:val="en-GB"/>
        </w:rPr>
      </w:pPr>
      <w:r w:rsidRPr="006C163E">
        <w:rPr>
          <w:lang w:val="en-GB"/>
        </w:rPr>
        <w:t xml:space="preserve">Figure </w:t>
      </w:r>
      <w:r>
        <w:fldChar w:fldCharType="begin"/>
      </w:r>
      <w:r w:rsidRPr="006C163E">
        <w:rPr>
          <w:lang w:val="en-GB"/>
        </w:rPr>
        <w:instrText xml:space="preserve"> SEQ Figure \* ARABIC </w:instrText>
      </w:r>
      <w:r>
        <w:fldChar w:fldCharType="separate"/>
      </w:r>
      <w:r w:rsidR="006C163E" w:rsidRPr="006C163E">
        <w:rPr>
          <w:noProof/>
          <w:lang w:val="en-GB"/>
        </w:rPr>
        <w:t>4</w:t>
      </w:r>
      <w:r>
        <w:fldChar w:fldCharType="end"/>
      </w:r>
      <w:r w:rsidRPr="006C163E">
        <w:rPr>
          <w:lang w:val="en-GB"/>
        </w:rPr>
        <w:t>: Fixation Cross Coordinates</w:t>
      </w:r>
    </w:p>
    <w:p w14:paraId="54403463" w14:textId="16B23A57" w:rsidR="00A4419D" w:rsidRPr="00A4419D" w:rsidRDefault="006C163E" w:rsidP="006C163E">
      <w:pPr>
        <w:spacing w:line="360" w:lineRule="auto"/>
        <w:jc w:val="both"/>
        <w:rPr>
          <w:lang w:val="en-GB"/>
        </w:rPr>
      </w:pPr>
      <w:r>
        <w:rPr>
          <w:lang w:val="en-GB"/>
        </w:rPr>
        <w:lastRenderedPageBreak/>
        <w:t xml:space="preserve">To check if the participant looked at the fixation cross the </w:t>
      </w:r>
      <w:r w:rsidRPr="00922B2A">
        <w:rPr>
          <w:i/>
          <w:iCs/>
          <w:lang w:val="en-GB"/>
        </w:rPr>
        <w:t>central_fixation</w:t>
      </w:r>
      <w:r>
        <w:rPr>
          <w:lang w:val="en-GB"/>
        </w:rPr>
        <w:t xml:space="preserve"> is set to </w:t>
      </w:r>
      <w:r w:rsidRPr="00922B2A">
        <w:rPr>
          <w:i/>
          <w:iCs/>
          <w:lang w:val="en-GB"/>
        </w:rPr>
        <w:t>False</w:t>
      </w:r>
      <w:r>
        <w:rPr>
          <w:lang w:val="en-GB"/>
        </w:rPr>
        <w:t xml:space="preserve"> in the beginning. The while loop is true as long as there is no fixation. In the while loop </w:t>
      </w:r>
    </w:p>
    <w:p w14:paraId="11A1B832" w14:textId="77777777" w:rsidR="006C163E" w:rsidRDefault="00A4419D" w:rsidP="006C163E">
      <w:pPr>
        <w:keepNext/>
        <w:spacing w:line="360" w:lineRule="auto"/>
        <w:jc w:val="both"/>
      </w:pPr>
      <w:r w:rsidRPr="00A4419D">
        <w:rPr>
          <w:lang w:val="en-GB"/>
        </w:rPr>
        <w:drawing>
          <wp:inline distT="0" distB="0" distL="0" distR="0" wp14:anchorId="1599CC04" wp14:editId="1171291E">
            <wp:extent cx="2676300" cy="2838091"/>
            <wp:effectExtent l="0" t="0" r="0" b="635"/>
            <wp:docPr id="14457875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7560" name=""/>
                    <pic:cNvPicPr/>
                  </pic:nvPicPr>
                  <pic:blipFill>
                    <a:blip r:embed="rId20"/>
                    <a:stretch>
                      <a:fillRect/>
                    </a:stretch>
                  </pic:blipFill>
                  <pic:spPr>
                    <a:xfrm>
                      <a:off x="0" y="0"/>
                      <a:ext cx="2686508" cy="2848916"/>
                    </a:xfrm>
                    <a:prstGeom prst="rect">
                      <a:avLst/>
                    </a:prstGeom>
                  </pic:spPr>
                </pic:pic>
              </a:graphicData>
            </a:graphic>
          </wp:inline>
        </w:drawing>
      </w:r>
    </w:p>
    <w:p w14:paraId="58E63A38" w14:textId="7B7D4D23" w:rsidR="00227E48" w:rsidRDefault="006C163E" w:rsidP="006C163E">
      <w:pPr>
        <w:pStyle w:val="Beschriftung"/>
        <w:jc w:val="both"/>
        <w:rPr>
          <w:lang w:val="en-GB"/>
        </w:rPr>
      </w:pPr>
      <w:r>
        <w:t xml:space="preserve">Figure </w:t>
      </w:r>
      <w:r>
        <w:fldChar w:fldCharType="begin"/>
      </w:r>
      <w:r>
        <w:instrText xml:space="preserve"> SEQ Figure \* ARABIC </w:instrText>
      </w:r>
      <w:r>
        <w:fldChar w:fldCharType="separate"/>
      </w:r>
      <w:r>
        <w:rPr>
          <w:noProof/>
        </w:rPr>
        <w:t>5</w:t>
      </w:r>
      <w:r>
        <w:fldChar w:fldCharType="end"/>
      </w:r>
      <w:r>
        <w:t>: Fixation Cross Fixation</w:t>
      </w:r>
    </w:p>
    <w:p w14:paraId="19E1E8F9" w14:textId="13EC878F" w:rsidR="00C817DE" w:rsidRDefault="00C817DE" w:rsidP="003B4886">
      <w:pPr>
        <w:spacing w:line="360" w:lineRule="auto"/>
        <w:jc w:val="both"/>
        <w:rPr>
          <w:lang w:val="en-GB"/>
        </w:rPr>
      </w:pPr>
      <w:r>
        <w:rPr>
          <w:lang w:val="en-GB"/>
        </w:rPr>
        <w:t>Sentence generation</w:t>
      </w:r>
    </w:p>
    <w:p w14:paraId="05C15827" w14:textId="5C0F6EC8" w:rsidR="00C817DE" w:rsidRDefault="00C817DE" w:rsidP="00C817DE">
      <w:pPr>
        <w:spacing w:line="360" w:lineRule="auto"/>
        <w:rPr>
          <w:lang w:val="en-GB"/>
        </w:rPr>
      </w:pPr>
      <w:r w:rsidRPr="00C817DE">
        <w:rPr>
          <w:noProof/>
          <w:lang w:val="en-GB"/>
        </w:rPr>
        <w:drawing>
          <wp:inline distT="0" distB="0" distL="0" distR="0" wp14:anchorId="5719E112" wp14:editId="16DC5764">
            <wp:extent cx="2467319" cy="3591426"/>
            <wp:effectExtent l="0" t="0" r="9525" b="9525"/>
            <wp:docPr id="1911554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4567" name=""/>
                    <pic:cNvPicPr/>
                  </pic:nvPicPr>
                  <pic:blipFill>
                    <a:blip r:embed="rId21"/>
                    <a:stretch>
                      <a:fillRect/>
                    </a:stretch>
                  </pic:blipFill>
                  <pic:spPr>
                    <a:xfrm>
                      <a:off x="0" y="0"/>
                      <a:ext cx="2467319" cy="3591426"/>
                    </a:xfrm>
                    <a:prstGeom prst="rect">
                      <a:avLst/>
                    </a:prstGeom>
                  </pic:spPr>
                </pic:pic>
              </a:graphicData>
            </a:graphic>
          </wp:inline>
        </w:drawing>
      </w:r>
    </w:p>
    <w:p w14:paraId="1CC52097" w14:textId="67A160E2" w:rsidR="00C817DE" w:rsidRDefault="00C817DE" w:rsidP="00C817DE">
      <w:pPr>
        <w:spacing w:line="360" w:lineRule="auto"/>
        <w:rPr>
          <w:lang w:val="en-GB"/>
        </w:rPr>
      </w:pPr>
      <w:r>
        <w:rPr>
          <w:lang w:val="en-GB"/>
        </w:rPr>
        <w:t>The</w:t>
      </w:r>
      <w:r w:rsidR="007D7A13">
        <w:rPr>
          <w:lang w:val="en-GB"/>
        </w:rPr>
        <w:t xml:space="preserve"> sentence with the role noun and anaphor is generated dynamically with the RN and AN variable from the trial. The &lt;RN&gt; and &lt;AN&gt; tags mark where the variables from the table will be placed. </w:t>
      </w:r>
    </w:p>
    <w:p w14:paraId="52C7F61F" w14:textId="797A63E2" w:rsidR="00575D5A" w:rsidRDefault="00575D5A" w:rsidP="00C817DE">
      <w:pPr>
        <w:spacing w:line="360" w:lineRule="auto"/>
        <w:rPr>
          <w:lang w:val="en-GB"/>
        </w:rPr>
      </w:pPr>
      <w:r>
        <w:rPr>
          <w:lang w:val="en-GB"/>
        </w:rPr>
        <w:lastRenderedPageBreak/>
        <w:t>The whole text then will be rendered word by word with a font that has a fixed width</w:t>
      </w:r>
    </w:p>
    <w:p w14:paraId="72249C74" w14:textId="77777777" w:rsidR="005A65E4" w:rsidRDefault="005A65E4" w:rsidP="00C817DE">
      <w:pPr>
        <w:spacing w:line="360" w:lineRule="auto"/>
        <w:rPr>
          <w:lang w:val="en-GB"/>
        </w:rPr>
      </w:pPr>
    </w:p>
    <w:p w14:paraId="7D7B271A" w14:textId="31DF8971" w:rsidR="005A65E4" w:rsidRDefault="005A65E4" w:rsidP="00C817DE">
      <w:pPr>
        <w:spacing w:line="360" w:lineRule="auto"/>
        <w:rPr>
          <w:lang w:val="en-GB"/>
        </w:rPr>
      </w:pPr>
      <w:r>
        <w:rPr>
          <w:lang w:val="en-GB"/>
        </w:rPr>
        <w:t>AOI generation</w:t>
      </w:r>
    </w:p>
    <w:p w14:paraId="4541B911" w14:textId="11B01387" w:rsidR="005A65E4" w:rsidRDefault="005A65E4" w:rsidP="00C817DE">
      <w:pPr>
        <w:spacing w:line="360" w:lineRule="auto"/>
        <w:rPr>
          <w:lang w:val="en-GB"/>
        </w:rPr>
      </w:pPr>
      <w:r w:rsidRPr="005A65E4">
        <w:rPr>
          <w:noProof/>
          <w:lang w:val="en-GB"/>
        </w:rPr>
        <w:drawing>
          <wp:inline distT="0" distB="0" distL="0" distR="0" wp14:anchorId="2AE9CC61" wp14:editId="665270C4">
            <wp:extent cx="5172797" cy="5572903"/>
            <wp:effectExtent l="0" t="0" r="8890" b="8890"/>
            <wp:docPr id="1579795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95767" name=""/>
                    <pic:cNvPicPr/>
                  </pic:nvPicPr>
                  <pic:blipFill>
                    <a:blip r:embed="rId22"/>
                    <a:stretch>
                      <a:fillRect/>
                    </a:stretch>
                  </pic:blipFill>
                  <pic:spPr>
                    <a:xfrm>
                      <a:off x="0" y="0"/>
                      <a:ext cx="5172797" cy="5572903"/>
                    </a:xfrm>
                    <a:prstGeom prst="rect">
                      <a:avLst/>
                    </a:prstGeom>
                  </pic:spPr>
                </pic:pic>
              </a:graphicData>
            </a:graphic>
          </wp:inline>
        </w:drawing>
      </w:r>
    </w:p>
    <w:p w14:paraId="01CF1677" w14:textId="5E22CFF8" w:rsidR="005A65E4" w:rsidRDefault="005A65E4" w:rsidP="00C817DE">
      <w:pPr>
        <w:spacing w:line="360" w:lineRule="auto"/>
        <w:rPr>
          <w:lang w:val="en-GB"/>
        </w:rPr>
      </w:pPr>
      <w:r>
        <w:rPr>
          <w:lang w:val="en-GB"/>
        </w:rPr>
        <w:lastRenderedPageBreak/>
        <w:t xml:space="preserve">The results will be safed: </w:t>
      </w:r>
      <w:r>
        <w:rPr>
          <w:lang w:val="en-GB"/>
        </w:rPr>
        <w:br/>
      </w:r>
      <w:r w:rsidRPr="005A65E4">
        <w:rPr>
          <w:noProof/>
          <w:lang w:val="en-GB"/>
        </w:rPr>
        <w:drawing>
          <wp:inline distT="0" distB="0" distL="0" distR="0" wp14:anchorId="7891332F" wp14:editId="756586F6">
            <wp:extent cx="3143689" cy="4810796"/>
            <wp:effectExtent l="0" t="0" r="0" b="0"/>
            <wp:docPr id="1172661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61389" name=""/>
                    <pic:cNvPicPr/>
                  </pic:nvPicPr>
                  <pic:blipFill>
                    <a:blip r:embed="rId23"/>
                    <a:stretch>
                      <a:fillRect/>
                    </a:stretch>
                  </pic:blipFill>
                  <pic:spPr>
                    <a:xfrm>
                      <a:off x="0" y="0"/>
                      <a:ext cx="3143689" cy="4810796"/>
                    </a:xfrm>
                    <a:prstGeom prst="rect">
                      <a:avLst/>
                    </a:prstGeom>
                  </pic:spPr>
                </pic:pic>
              </a:graphicData>
            </a:graphic>
          </wp:inline>
        </w:drawing>
      </w:r>
    </w:p>
    <w:p w14:paraId="2343F94B" w14:textId="73C9107C" w:rsidR="005A65E4" w:rsidRDefault="005A65E4" w:rsidP="00C817DE">
      <w:pPr>
        <w:spacing w:line="360" w:lineRule="auto"/>
        <w:rPr>
          <w:lang w:val="en-GB"/>
        </w:rPr>
      </w:pPr>
      <w:r>
        <w:rPr>
          <w:lang w:val="en-GB"/>
        </w:rPr>
        <w:t>Spillover region</w:t>
      </w:r>
    </w:p>
    <w:p w14:paraId="6E91E30C" w14:textId="664B0E91" w:rsidR="005A65E4" w:rsidRDefault="005A65E4" w:rsidP="00C817DE">
      <w:pPr>
        <w:spacing w:line="360" w:lineRule="auto"/>
        <w:rPr>
          <w:lang w:val="en-GB"/>
        </w:rPr>
      </w:pPr>
      <w:r w:rsidRPr="005A65E4">
        <w:rPr>
          <w:noProof/>
          <w:lang w:val="en-GB"/>
        </w:rPr>
        <w:lastRenderedPageBreak/>
        <w:drawing>
          <wp:inline distT="0" distB="0" distL="0" distR="0" wp14:anchorId="687ABB99" wp14:editId="477BBE23">
            <wp:extent cx="3886742" cy="4077269"/>
            <wp:effectExtent l="0" t="0" r="0" b="0"/>
            <wp:docPr id="636097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97976" name=""/>
                    <pic:cNvPicPr/>
                  </pic:nvPicPr>
                  <pic:blipFill>
                    <a:blip r:embed="rId24"/>
                    <a:stretch>
                      <a:fillRect/>
                    </a:stretch>
                  </pic:blipFill>
                  <pic:spPr>
                    <a:xfrm>
                      <a:off x="0" y="0"/>
                      <a:ext cx="3886742" cy="4077269"/>
                    </a:xfrm>
                    <a:prstGeom prst="rect">
                      <a:avLst/>
                    </a:prstGeom>
                  </pic:spPr>
                </pic:pic>
              </a:graphicData>
            </a:graphic>
          </wp:inline>
        </w:drawing>
      </w:r>
    </w:p>
    <w:p w14:paraId="76FCFCC7" w14:textId="778479BE" w:rsidR="00A12FCC" w:rsidRDefault="00A12FCC" w:rsidP="00C817DE">
      <w:pPr>
        <w:spacing w:line="360" w:lineRule="auto"/>
        <w:rPr>
          <w:lang w:val="en-GB"/>
        </w:rPr>
      </w:pPr>
      <w:r>
        <w:rPr>
          <w:noProof/>
        </w:rPr>
        <w:drawing>
          <wp:inline distT="0" distB="0" distL="0" distR="0" wp14:anchorId="34533ABC" wp14:editId="6886318E">
            <wp:extent cx="5866410" cy="3279033"/>
            <wp:effectExtent l="0" t="0" r="1270" b="0"/>
            <wp:docPr id="19324628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84334" cy="3289052"/>
                    </a:xfrm>
                    <a:prstGeom prst="rect">
                      <a:avLst/>
                    </a:prstGeom>
                    <a:noFill/>
                    <a:ln>
                      <a:noFill/>
                    </a:ln>
                  </pic:spPr>
                </pic:pic>
              </a:graphicData>
            </a:graphic>
          </wp:inline>
        </w:drawing>
      </w:r>
    </w:p>
    <w:p w14:paraId="0223B18D" w14:textId="77777777" w:rsidR="005A65E4" w:rsidRDefault="005A65E4" w:rsidP="00C817DE">
      <w:pPr>
        <w:spacing w:line="360" w:lineRule="auto"/>
        <w:rPr>
          <w:lang w:val="en-GB"/>
        </w:rPr>
      </w:pPr>
    </w:p>
    <w:p w14:paraId="29A38121" w14:textId="463BF574" w:rsidR="003B4886" w:rsidRPr="00193472" w:rsidRDefault="00E0470C" w:rsidP="003B4886">
      <w:pPr>
        <w:spacing w:line="360" w:lineRule="auto"/>
        <w:jc w:val="both"/>
        <w:rPr>
          <w:b/>
          <w:bCs/>
          <w:lang w:val="en-GB"/>
        </w:rPr>
      </w:pPr>
      <w:r w:rsidRPr="00193472">
        <w:rPr>
          <w:b/>
          <w:bCs/>
          <w:lang w:val="en-GB"/>
        </w:rPr>
        <w:t xml:space="preserve">Challenges </w:t>
      </w:r>
    </w:p>
    <w:p w14:paraId="74E11F0E" w14:textId="77777777" w:rsidR="003B4886" w:rsidRDefault="003B4886" w:rsidP="003B4886">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sidR="00E0470C">
        <w:rPr>
          <w:lang w:val="en-GB"/>
        </w:rPr>
        <w:br/>
      </w:r>
      <w:r w:rsidRPr="003B4886">
        <w:rPr>
          <w:i/>
          <w:iCs/>
          <w:lang w:val="en-GB"/>
        </w:rPr>
        <w:lastRenderedPageBreak/>
        <w:t>[logger:67:WARNING] the variable word was created after the first logger call and will therefore not be logged.</w:t>
      </w:r>
    </w:p>
    <w:p w14:paraId="5EFAEF78" w14:textId="08A2EAE4" w:rsidR="003B4886" w:rsidRPr="00FE14A4" w:rsidRDefault="003B4886" w:rsidP="003B4886">
      <w:pPr>
        <w:spacing w:line="360" w:lineRule="auto"/>
        <w:jc w:val="both"/>
        <w:rPr>
          <w:lang w:val="en-GB"/>
        </w:rPr>
      </w:pPr>
      <w:r>
        <w:rPr>
          <w:lang w:val="en-GB"/>
        </w:rPr>
        <w:t xml:space="preserve">We got this Warning with all our variables and after checking the log file we </w:t>
      </w:r>
      <w:r w:rsidR="003C048E">
        <w:rPr>
          <w:lang w:val="en-GB"/>
        </w:rPr>
        <w:t>saw</w:t>
      </w:r>
      <w:r>
        <w:rPr>
          <w:lang w:val="en-GB"/>
        </w:rPr>
        <w:t xml:space="preserve"> that all variables indeed didn’t </w:t>
      </w:r>
      <w:r w:rsidR="00F2030B">
        <w:rPr>
          <w:lang w:val="en-GB"/>
        </w:rPr>
        <w:t>get</w:t>
      </w:r>
      <w:r>
        <w:rPr>
          <w:lang w:val="en-GB"/>
        </w:rPr>
        <w:t xml:space="preserve">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 xml:space="preserve">But after a lot of trial and error we found a solution to fix that problem. We included an inline script at the beginning of the experiment where we initialized all our variables and that fixed the problem and all variables got logged as intended. </w:t>
      </w:r>
      <w:r w:rsidR="00F2030B">
        <w:rPr>
          <w:lang w:val="en-GB"/>
        </w:rPr>
        <w:t>Probably setting all variables in the prepare part of the script would also fix the problem but we kept it as an own inline script because that worked for us so we decided not to change it.</w:t>
      </w: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(Qianyue)</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(Qianyue)</w:t>
      </w:r>
      <w:bookmarkEnd w:id="18"/>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73196B73" w:rsidR="004F4B77" w:rsidRDefault="004F4B77" w:rsidP="00030E28">
      <w:pPr>
        <w:pStyle w:val="berschrift2"/>
        <w:spacing w:line="360" w:lineRule="auto"/>
        <w:jc w:val="both"/>
        <w:rPr>
          <w:lang w:val="en-GB"/>
        </w:rPr>
      </w:pPr>
      <w:bookmarkStart w:id="19" w:name="_Toc235728799"/>
      <w:r w:rsidRPr="007E273E">
        <w:t>3.2 Expected Results</w:t>
      </w:r>
      <w:r w:rsidR="00331C2E">
        <w:t xml:space="preserve"> </w:t>
      </w:r>
      <w:r w:rsidR="00331C2E">
        <w:rPr>
          <w:lang w:val="en-GB"/>
        </w:rPr>
        <w:t>(Aylina)</w:t>
      </w:r>
      <w:bookmarkEnd w:id="19"/>
    </w:p>
    <w:tbl>
      <w:tblPr>
        <w:tblpPr w:leftFromText="141" w:rightFromText="141" w:vertAnchor="text" w:horzAnchor="margin" w:tblpY="-27"/>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030E28" w:rsidRPr="004F4B77" w14:paraId="4DE81CC4" w14:textId="77777777" w:rsidTr="00030E28">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025B08C0" w14:textId="77777777" w:rsidR="00030E28" w:rsidRPr="00030E28" w:rsidRDefault="00030E28" w:rsidP="00030E28">
            <w:pPr>
              <w:spacing w:line="360" w:lineRule="auto"/>
              <w:jc w:val="both"/>
              <w:rPr>
                <w:lang w:val="en-GB"/>
              </w:rPr>
            </w:pPr>
            <w:r w:rsidRPr="00030E28">
              <w:rPr>
                <w:lang w:val="en-GB"/>
              </w:rPr>
              <w:t> </w:t>
            </w:r>
          </w:p>
          <w:p w14:paraId="796B4F2A" w14:textId="77777777" w:rsidR="00030E28" w:rsidRPr="004F4B77" w:rsidRDefault="00030E28" w:rsidP="00030E28">
            <w:pPr>
              <w:spacing w:line="360" w:lineRule="auto"/>
              <w:jc w:val="both"/>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24C8FEEA" w14:textId="77777777" w:rsidR="00030E28" w:rsidRPr="004F4B77" w:rsidRDefault="00030E28" w:rsidP="00030E28">
            <w:pPr>
              <w:spacing w:line="360" w:lineRule="auto"/>
              <w:jc w:val="both"/>
              <w:rPr>
                <w:lang w:val="de-DE"/>
              </w:rPr>
            </w:pPr>
            <w:r w:rsidRPr="004F4B77">
              <w:rPr>
                <w:b/>
                <w:bCs/>
                <w:lang w:val="de-DE"/>
              </w:rPr>
              <w:t>Expected Result</w:t>
            </w:r>
          </w:p>
        </w:tc>
      </w:tr>
      <w:tr w:rsidR="00030E28" w:rsidRPr="004F4B77" w14:paraId="3CD6C17F" w14:textId="77777777" w:rsidTr="00030E28">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5CA46929" w14:textId="77777777" w:rsidR="00030E28" w:rsidRPr="004F4B77" w:rsidRDefault="00030E28" w:rsidP="00030E28">
            <w:pPr>
              <w:spacing w:line="360" w:lineRule="auto"/>
              <w:jc w:val="both"/>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63418F" w14:textId="77777777" w:rsidR="00030E28" w:rsidRPr="004F4B77" w:rsidRDefault="00030E28" w:rsidP="00030E28">
            <w:pPr>
              <w:spacing w:line="360" w:lineRule="auto"/>
              <w:jc w:val="both"/>
              <w:rPr>
                <w:lang w:val="de-DE"/>
              </w:rPr>
            </w:pPr>
            <w:r w:rsidRPr="004F4B77">
              <w:rPr>
                <w:lang w:val="de-DE"/>
              </w:rPr>
              <w:t>Fastest processing (gender match)</w:t>
            </w:r>
          </w:p>
        </w:tc>
      </w:tr>
      <w:tr w:rsidR="00030E28" w:rsidRPr="00227E48" w14:paraId="6233F40A"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5CA07F8" w14:textId="77777777" w:rsidR="00030E28" w:rsidRPr="004F4B77" w:rsidRDefault="00030E28" w:rsidP="00030E28">
            <w:pPr>
              <w:spacing w:line="360" w:lineRule="auto"/>
              <w:jc w:val="both"/>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2A07EFA" w14:textId="77777777" w:rsidR="00030E28" w:rsidRPr="004F4B77" w:rsidRDefault="00030E28" w:rsidP="00030E28">
            <w:pPr>
              <w:spacing w:line="360" w:lineRule="auto"/>
              <w:jc w:val="both"/>
              <w:rPr>
                <w:lang w:val="en-GB"/>
              </w:rPr>
            </w:pPr>
            <w:r w:rsidRPr="004F4B77">
              <w:rPr>
                <w:lang w:val="en-GB"/>
              </w:rPr>
              <w:t>Longer processing  (possible male bias)</w:t>
            </w:r>
          </w:p>
        </w:tc>
      </w:tr>
      <w:tr w:rsidR="00030E28" w:rsidRPr="004F4B77" w14:paraId="1BEA6FAC"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7E261ED0" w14:textId="77777777" w:rsidR="00030E28" w:rsidRPr="004F4B77" w:rsidRDefault="00030E28" w:rsidP="00030E28">
            <w:pPr>
              <w:spacing w:line="360" w:lineRule="auto"/>
              <w:jc w:val="both"/>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7791A16" w14:textId="77777777" w:rsidR="00030E28" w:rsidRPr="004F4B77" w:rsidRDefault="00030E28" w:rsidP="00030E28">
            <w:pPr>
              <w:spacing w:line="360" w:lineRule="auto"/>
              <w:jc w:val="both"/>
              <w:rPr>
                <w:lang w:val="de-DE"/>
              </w:rPr>
            </w:pPr>
            <w:r w:rsidRPr="004F4B77">
              <w:rPr>
                <w:lang w:val="de-DE"/>
              </w:rPr>
              <w:t>Fastest processing (gender match)</w:t>
            </w:r>
          </w:p>
        </w:tc>
      </w:tr>
      <w:tr w:rsidR="00030E28" w:rsidRPr="004F4B77" w14:paraId="6127AE13"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BCADD5F" w14:textId="77777777" w:rsidR="00030E28" w:rsidRPr="004F4B77" w:rsidRDefault="00030E28" w:rsidP="00030E28">
            <w:pPr>
              <w:spacing w:line="360" w:lineRule="auto"/>
              <w:jc w:val="both"/>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09B4EB9" w14:textId="77777777" w:rsidR="00030E28" w:rsidRPr="004F4B77" w:rsidRDefault="00030E28" w:rsidP="00030E28">
            <w:pPr>
              <w:spacing w:line="360" w:lineRule="auto"/>
              <w:jc w:val="both"/>
              <w:rPr>
                <w:lang w:val="de-DE"/>
              </w:rPr>
            </w:pPr>
            <w:r w:rsidRPr="004F4B77">
              <w:rPr>
                <w:lang w:val="de-DE"/>
              </w:rPr>
              <w:t>Longest processing  (gender mismatch)</w:t>
            </w:r>
          </w:p>
        </w:tc>
      </w:tr>
      <w:tr w:rsidR="00030E28" w:rsidRPr="00227E48" w14:paraId="6D076578"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A4E08D0" w14:textId="77777777" w:rsidR="00030E28" w:rsidRPr="004F4B77" w:rsidRDefault="00030E28" w:rsidP="00030E28">
            <w:pPr>
              <w:spacing w:line="360" w:lineRule="auto"/>
              <w:jc w:val="both"/>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EB4E6CF" w14:textId="77777777" w:rsidR="00030E28" w:rsidRPr="004F4B77" w:rsidRDefault="00030E28" w:rsidP="00030E28">
            <w:pPr>
              <w:spacing w:line="360" w:lineRule="auto"/>
              <w:jc w:val="both"/>
              <w:rPr>
                <w:lang w:val="en-GB"/>
              </w:rPr>
            </w:pPr>
            <w:r w:rsidRPr="004F4B77">
              <w:rPr>
                <w:lang w:val="en-GB"/>
              </w:rPr>
              <w:t>Slightly longer processing (slight female bias)</w:t>
            </w:r>
          </w:p>
        </w:tc>
      </w:tr>
      <w:tr w:rsidR="00030E28" w:rsidRPr="00227E48" w14:paraId="4EA76830" w14:textId="77777777" w:rsidTr="00030E28">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4FCC975E" w14:textId="77777777" w:rsidR="00030E28" w:rsidRPr="004F4B77" w:rsidRDefault="00030E28" w:rsidP="00030E28">
            <w:pPr>
              <w:spacing w:line="360" w:lineRule="auto"/>
              <w:jc w:val="both"/>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6D7C4D7" w14:textId="77777777" w:rsidR="00030E28" w:rsidRPr="004F4B77" w:rsidRDefault="00030E28" w:rsidP="00030E28">
            <w:pPr>
              <w:spacing w:line="360" w:lineRule="auto"/>
              <w:jc w:val="both"/>
              <w:rPr>
                <w:lang w:val="en-GB"/>
              </w:rPr>
            </w:pPr>
            <w:r w:rsidRPr="004F4B77">
              <w:rPr>
                <w:lang w:val="en-GB"/>
              </w:rPr>
              <w:t>No strong gender bias expected (reduced bias)</w:t>
            </w:r>
          </w:p>
        </w:tc>
      </w:tr>
    </w:tbl>
    <w:p w14:paraId="2EBA66A6" w14:textId="77777777" w:rsidR="00A12FCC" w:rsidRDefault="00A12FCC" w:rsidP="00030E28">
      <w:pPr>
        <w:spacing w:line="360" w:lineRule="auto"/>
        <w:jc w:val="both"/>
        <w:rPr>
          <w:lang w:val="en-GB"/>
        </w:rPr>
      </w:pPr>
    </w:p>
    <w:p w14:paraId="7CAD07D8" w14:textId="5C75D006" w:rsidR="00030E28" w:rsidRPr="00030E28" w:rsidRDefault="00030E28" w:rsidP="00030E28">
      <w:pPr>
        <w:spacing w:line="360" w:lineRule="auto"/>
        <w:jc w:val="both"/>
        <w:rPr>
          <w:lang w:val="en-GB"/>
        </w:rPr>
      </w:pPr>
      <w:r w:rsidRPr="00030E28">
        <w:rPr>
          <w:lang w:val="en-GB"/>
        </w:rPr>
        <w:lastRenderedPageBreak/>
        <w:t>For masculine role nouns followed by masculine anaphors referring to men, the fastest processing is expected. The masculine role noun should activate a male representation that is consistent with the subsequent anaphor. Consequently, fixation durations on the anaphoric region should be relatively short, and few regressions should occur.</w:t>
      </w:r>
    </w:p>
    <w:p w14:paraId="1512D37F" w14:textId="77777777" w:rsidR="00030E28" w:rsidRPr="00030E28" w:rsidRDefault="00030E28" w:rsidP="00030E28">
      <w:pPr>
        <w:spacing w:line="360" w:lineRule="auto"/>
        <w:jc w:val="both"/>
        <w:rPr>
          <w:lang w:val="en-GB"/>
        </w:rPr>
      </w:pPr>
      <w:r w:rsidRPr="00030E28">
        <w:rPr>
          <w:lang w:val="en-GB"/>
        </w:rPr>
        <w:t>In contrast, a masculine role noun followed by a feminine anaphor referring to women is expected to produce longer processing times. Although the masculine form may be intended generically, it may initially activate a male-biased representation. Encountering a feminine anaphor could therefore require participants to revise or update their interpretation. This condition is expected to show longer fixations and more regressions than the masculine-to-men condition.</w:t>
      </w:r>
    </w:p>
    <w:p w14:paraId="0E486384" w14:textId="77777777" w:rsidR="00030E28" w:rsidRPr="00030E28" w:rsidRDefault="00030E28" w:rsidP="00030E28">
      <w:pPr>
        <w:spacing w:line="360" w:lineRule="auto"/>
        <w:jc w:val="both"/>
        <w:rPr>
          <w:lang w:val="en-GB"/>
        </w:rPr>
      </w:pPr>
      <w:r w:rsidRPr="00030E28">
        <w:rPr>
          <w:lang w:val="en-GB"/>
        </w:rPr>
        <w:t>A similar pattern is expected for feminine role nouns. Feminine role nouns followed by feminine anaphors referring to women should result in the fastest processing because the role noun and anaphor provide matching gender information. Fixation durations should be relatively short, with few regressions.</w:t>
      </w:r>
    </w:p>
    <w:p w14:paraId="0A1E7129" w14:textId="77777777" w:rsidR="00030E28" w:rsidRPr="00030E28" w:rsidRDefault="00030E28" w:rsidP="00030E28">
      <w:pPr>
        <w:spacing w:line="360" w:lineRule="auto"/>
        <w:jc w:val="both"/>
        <w:rPr>
          <w:lang w:val="en-GB"/>
        </w:rPr>
      </w:pPr>
      <w:r w:rsidRPr="00030E28">
        <w:rPr>
          <w:lang w:val="en-GB"/>
        </w:rPr>
        <w:t>The feminine-to-men condition is expected to produce the longest processing times overall. A feminine role noun should activate a female representation, whereas a subsequent masculine anaphor introduces a conflicting gender cue. This mismatch may lead to longer fixations, increased rereading, and a higher probability of regressions. Thus, the feminine-to-men condition is expected to show stronger processing difficulty than the gender-matched feminine-to-women condition.</w:t>
      </w:r>
    </w:p>
    <w:p w14:paraId="4CE7D9D5" w14:textId="77777777" w:rsidR="00030E28" w:rsidRPr="00030E28" w:rsidRDefault="00030E28" w:rsidP="00030E28">
      <w:pPr>
        <w:spacing w:line="360" w:lineRule="auto"/>
        <w:jc w:val="both"/>
        <w:rPr>
          <w:lang w:val="en-GB"/>
        </w:rPr>
      </w:pPr>
      <w:r w:rsidRPr="00030E28">
        <w:rPr>
          <w:lang w:val="en-GB"/>
        </w:rPr>
        <w:t>Gender-inclusive role nouns are expected to produce weaker gender-specific effects. Because these forms are intended to include people of different genders, they should not strongly activate either a male or a female representation. Therefore, the difference between gender-inclusive role nouns followed by male versus female anaphors should be smaller than the corresponding differences in the masculine and feminine conditions.</w:t>
      </w:r>
    </w:p>
    <w:p w14:paraId="759C9319" w14:textId="77777777" w:rsidR="00030E28" w:rsidRPr="00030E28" w:rsidRDefault="00030E28" w:rsidP="00030E28">
      <w:pPr>
        <w:spacing w:line="360" w:lineRule="auto"/>
        <w:jc w:val="both"/>
        <w:rPr>
          <w:lang w:val="en-GB"/>
        </w:rPr>
      </w:pPr>
      <w:r w:rsidRPr="00030E28">
        <w:rPr>
          <w:lang w:val="en-GB"/>
        </w:rPr>
        <w:t xml:space="preserve">A small asymmetry may nevertheless occur in the gender-inclusive conditions. If participants interpret the inclusive form as slightly female-biased, the gender-inclusive-to-men condition may produce somewhat longer processing times than the gender-inclusive-to-women condition. However, this difference is expected to be substantially </w:t>
      </w:r>
      <w:r w:rsidRPr="00030E28">
        <w:rPr>
          <w:lang w:val="en-GB"/>
        </w:rPr>
        <w:lastRenderedPageBreak/>
        <w:t>smaller than the gender mismatch effects observed for masculine-to-women and feminine-to-men conditions.</w:t>
      </w:r>
    </w:p>
    <w:p w14:paraId="6CD9D92B" w14:textId="6CA7950A" w:rsidR="00030E28" w:rsidRPr="00030E28" w:rsidRDefault="00030E28" w:rsidP="00030E28">
      <w:pPr>
        <w:rPr>
          <w:lang w:val="en-GB"/>
        </w:rPr>
      </w:pPr>
    </w:p>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(Qianyue)</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Analysis pipeline</w:t>
      </w:r>
      <w:r w:rsidRPr="00742A41">
        <w:rPr>
          <w:lang w:val="en-GB"/>
        </w:rPr>
        <w:t xml:space="preserve"> </w:t>
      </w:r>
      <w:r w:rsidR="00331C2E">
        <w:rPr>
          <w:lang w:val="en-GB"/>
        </w:rPr>
        <w:t xml:space="preserve"> (Qianyue)</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Qianyue)</w:t>
      </w:r>
      <w:bookmarkEnd w:id="22"/>
    </w:p>
    <w:p w14:paraId="62E195CC" w14:textId="6DD44767" w:rsidR="00E5298D" w:rsidRPr="00095196" w:rsidRDefault="00E5298D" w:rsidP="00E5298D">
      <w:pPr>
        <w:spacing w:line="360" w:lineRule="auto"/>
        <w:jc w:val="both"/>
        <w:rPr>
          <w:b/>
          <w:bCs/>
          <w:lang w:val="en-GB"/>
        </w:rPr>
      </w:pPr>
      <w:r>
        <w:rPr>
          <w:b/>
          <w:bCs/>
          <w:lang w:val="en-GB"/>
        </w:rPr>
        <w:t>Definition</w:t>
      </w:r>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Data Analisis</w:t>
      </w:r>
      <w:r>
        <w:rPr>
          <w:lang w:val="en-GB"/>
        </w:rPr>
        <w:t>(Qianyue)</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Qianyue)</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4" w:name="_Toc235728804"/>
      <w:r>
        <w:rPr>
          <w:lang w:val="en-GB"/>
        </w:rPr>
        <w:t xml:space="preserve">3.4.3 </w:t>
      </w:r>
      <w:r w:rsidR="004F4B77">
        <w:rPr>
          <w:lang w:val="en-GB"/>
        </w:rPr>
        <w:t>Go-past Time</w:t>
      </w:r>
      <w:r w:rsidR="00331C2E">
        <w:rPr>
          <w:lang w:val="en-GB"/>
        </w:rPr>
        <w:t xml:space="preserve"> (Aylina &amp; Qianyue)</w:t>
      </w:r>
      <w:bookmarkEnd w:id="24"/>
    </w:p>
    <w:p w14:paraId="11B164DC" w14:textId="64F12811" w:rsidR="00E5298D" w:rsidRDefault="00E5298D" w:rsidP="00E5298D">
      <w:pPr>
        <w:spacing w:line="360" w:lineRule="auto"/>
        <w:jc w:val="both"/>
        <w:rPr>
          <w:lang w:val="en-GB"/>
        </w:rPr>
      </w:pPr>
      <w:r>
        <w:rPr>
          <w:b/>
          <w:bCs/>
          <w:lang w:val="en-GB"/>
        </w:rPr>
        <w:t>Definition</w:t>
      </w:r>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57F2196A" w14:textId="06ED4852" w:rsidR="00E15884" w:rsidRPr="00095196" w:rsidRDefault="005C55E6" w:rsidP="005C55E6">
      <w:pPr>
        <w:spacing w:line="360" w:lineRule="auto"/>
        <w:jc w:val="both"/>
        <w:rPr>
          <w:b/>
          <w:bCs/>
          <w:lang w:val="en-GB"/>
        </w:rPr>
      </w:pPr>
      <w:r w:rsidRPr="00095196">
        <w:rPr>
          <w:b/>
          <w:bCs/>
          <w:lang w:val="en-GB"/>
        </w:rPr>
        <w:t>Responses</w:t>
      </w:r>
      <w:r w:rsidR="00F620F7">
        <w:rPr>
          <w:lang w:val="en-GB"/>
        </w:rPr>
        <w:t>(Aylina)</w:t>
      </w:r>
    </w:p>
    <w:p w14:paraId="7CFF46A2" w14:textId="48ED7018" w:rsidR="007E273E" w:rsidRPr="007E273E" w:rsidRDefault="007E273E" w:rsidP="007E273E">
      <w:pPr>
        <w:numPr>
          <w:ilvl w:val="0"/>
          <w:numId w:val="15"/>
        </w:numPr>
        <w:rPr>
          <w:lang w:val="de-DE"/>
        </w:rPr>
      </w:pPr>
      <w:r w:rsidRPr="007E273E">
        <w:rPr>
          <w:lang w:val="de-DE"/>
        </w:rPr>
        <w:t>Analyze questionnaire responses</w:t>
      </w:r>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46537F" w14:textId="6B6D819C" w:rsidR="004F4B77" w:rsidRDefault="00AB26CB" w:rsidP="004F4B77">
      <w:pPr>
        <w:rPr>
          <w:lang w:val="en-GB"/>
        </w:rPr>
      </w:pPr>
      <w:r>
        <w:rPr>
          <w:lang w:val="en-GB"/>
        </w:rPr>
        <w:t>Qianyue gives bulletpoints what needs to be included in this chapter</w:t>
      </w:r>
    </w:p>
    <w:p w14:paraId="4B7567CC" w14:textId="4D275828" w:rsidR="00AB26CB" w:rsidRPr="004F4B77" w:rsidRDefault="00AB26CB" w:rsidP="004F4B77">
      <w:pPr>
        <w:rPr>
          <w:lang w:val="en-GB"/>
        </w:rPr>
      </w:pPr>
      <w:r>
        <w:rPr>
          <w:lang w:val="en-GB"/>
        </w:rPr>
        <w:t>Sophie will write it down in sentences</w:t>
      </w: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lastRenderedPageBreak/>
        <w:t>5. D</w:t>
      </w:r>
      <w:r>
        <w:rPr>
          <w:lang w:val="en-GB"/>
        </w:rPr>
        <w:t>iscussion</w:t>
      </w:r>
      <w:r w:rsidR="00584525">
        <w:rPr>
          <w:lang w:val="en-GB"/>
        </w:rPr>
        <w:t xml:space="preserve"> (Aylina)</w:t>
      </w:r>
      <w:bookmarkEnd w:id="27"/>
    </w:p>
    <w:p w14:paraId="2625E25D" w14:textId="77777777" w:rsidR="00515ED7" w:rsidRPr="00515ED7" w:rsidRDefault="00515ED7" w:rsidP="00515ED7">
      <w:pPr>
        <w:spacing w:line="360" w:lineRule="auto"/>
        <w:jc w:val="both"/>
        <w:rPr>
          <w:lang w:val="en-GB"/>
        </w:rPr>
      </w:pPr>
      <w:r w:rsidRPr="00515ED7">
        <w:rPr>
          <w:lang w:val="en-GB"/>
        </w:rPr>
        <w:t>Several limitations should be considered when interpreting the findings. First, the results are constrained by the specific sentence constructions used in the experiment. The role nouns and anaphors were embedded in controlled sentences in order to isolate the effect of grammatical gender. However, this artificial structure may not fully represent how gendered language is encountered in everyday reading. Participants may process gender information differently in longer texts, spontaneous communication, or contexts in which the referent’s gender has already been explicitly established. Previous psycholinguistic research has shown that contextual information can influence whether a gender mismatch produces additional processing difficulty.</w:t>
      </w:r>
    </w:p>
    <w:p w14:paraId="1669C7AE" w14:textId="77777777" w:rsidR="00515ED7" w:rsidRPr="00515ED7" w:rsidRDefault="00515ED7" w:rsidP="00515ED7">
      <w:pPr>
        <w:spacing w:line="360" w:lineRule="auto"/>
        <w:jc w:val="both"/>
        <w:rPr>
          <w:lang w:val="en-GB"/>
        </w:rPr>
      </w:pPr>
      <w:r w:rsidRPr="00515ED7">
        <w:rPr>
          <w:lang w:val="en-GB"/>
        </w:rPr>
        <w:t>This study focuses on German, a language in which grammatical gender is strongly reflected in personal and role nouns. The findings may therefore depend on the particular relationship between grammatical gender and gender-inclusive forms in German. They cannot automatically be generalized to languages with different gender systems, such as English, or to languages in which grammatical gender is organized differently. Even within related languages, gender-marked forms may differ in frequency and conventional usage. Consequently, the present findings should be interpreted primarily as evidence about the processing of German gender-marked language rather than as evidence about gender bias in language in general.</w:t>
      </w:r>
    </w:p>
    <w:p w14:paraId="731E1308" w14:textId="77777777" w:rsidR="00515ED7" w:rsidRPr="00515ED7" w:rsidRDefault="00515ED7" w:rsidP="00515ED7">
      <w:pPr>
        <w:spacing w:line="360" w:lineRule="auto"/>
        <w:jc w:val="both"/>
        <w:rPr>
          <w:lang w:val="en-GB"/>
        </w:rPr>
      </w:pPr>
      <w:r w:rsidRPr="00515ED7">
        <w:rPr>
          <w:lang w:val="en-GB"/>
        </w:rPr>
        <w:t>the experimental categories represent a restricted linguistic contrast between masculine and feminine referents. This binary design was necessary for creating controlled gender-congruent and gender-incongruent conditions, but it does not capture the full range of gender identities or linguistic practices. The male and female categories should therefore be understood as experimental categories referring to the gender information encoded in the stimuli, not as a complete model of gender identity. Future studies should investigate whether gender-inclusive forms can represent non-binary and gender-diverse referents more directly.</w:t>
      </w:r>
    </w:p>
    <w:p w14:paraId="63CD1C48" w14:textId="77777777" w:rsidR="00515ED7" w:rsidRPr="00515ED7" w:rsidRDefault="00515ED7" w:rsidP="00515ED7">
      <w:pPr>
        <w:spacing w:line="360" w:lineRule="auto"/>
        <w:jc w:val="both"/>
        <w:rPr>
          <w:lang w:val="en-GB"/>
        </w:rPr>
      </w:pPr>
      <w:r w:rsidRPr="00515ED7">
        <w:rPr>
          <w:lang w:val="en-GB"/>
        </w:rPr>
        <w:t xml:space="preserve">interpretation of eye-tracking measures requires caution. Longer fixations or more regressions can be consistent with a gender mismatch, but they may also reflect other sources of difficulty, including word frequency, visual complexity, sentence plausibility, lexical familiarity, or attitudes toward a particular form. In particular, gender-star and gender-colon forms may differ from conventional forms in their visual appearance and orthographic complexity. It is therefore not possible to attribute every processing </w:t>
      </w:r>
      <w:r w:rsidRPr="00515ED7">
        <w:rPr>
          <w:lang w:val="en-GB"/>
        </w:rPr>
        <w:lastRenderedPageBreak/>
        <w:t>difference exclusively to gender bias unless these additional factors are carefully controlled.</w:t>
      </w:r>
    </w:p>
    <w:p w14:paraId="7FD55005" w14:textId="77777777" w:rsidR="00515ED7" w:rsidRDefault="00515ED7" w:rsidP="00742A41">
      <w:pPr>
        <w:jc w:val="both"/>
        <w:rPr>
          <w:lang w:val="en-GB"/>
        </w:rPr>
      </w:pPr>
    </w:p>
    <w:p w14:paraId="2F14E48B" w14:textId="187C9E65"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Default="00742A41" w:rsidP="00742A41">
      <w:pPr>
        <w:jc w:val="both"/>
        <w:rPr>
          <w:lang w:val="en-GB"/>
        </w:rPr>
      </w:pPr>
      <w:r w:rsidRPr="00742A41">
        <w:rPr>
          <w:lang w:val="en-GB"/>
        </w:rPr>
        <w:t>Limitations</w:t>
      </w:r>
    </w:p>
    <w:p w14:paraId="19D2525C" w14:textId="5968761E" w:rsidR="006C6751" w:rsidRPr="006C6751" w:rsidRDefault="006C6751" w:rsidP="006C6751">
      <w:pPr>
        <w:pStyle w:val="Listenabsatz"/>
        <w:numPr>
          <w:ilvl w:val="0"/>
          <w:numId w:val="26"/>
        </w:numPr>
        <w:jc w:val="both"/>
        <w:rPr>
          <w:lang w:val="en-GB"/>
        </w:rPr>
      </w:pPr>
      <w:r>
        <w:rPr>
          <w:lang w:val="en-GB"/>
        </w:rPr>
        <w:t>Only 4 women</w:t>
      </w:r>
    </w:p>
    <w:p w14:paraId="394F6633" w14:textId="77777777" w:rsidR="00742A41" w:rsidRDefault="00742A41" w:rsidP="00742A41">
      <w:pPr>
        <w:jc w:val="both"/>
        <w:rPr>
          <w:lang w:val="en-GB"/>
        </w:rPr>
      </w:pPr>
      <w:commentRangeStart w:id="28"/>
      <w:r w:rsidRPr="00742A41">
        <w:rPr>
          <w:lang w:val="en-GB"/>
        </w:rPr>
        <w:t>Challenges during the project</w:t>
      </w:r>
      <w:commentRangeEnd w:id="28"/>
      <w:r w:rsidR="00AB26CB">
        <w:rPr>
          <w:rStyle w:val="Kommentarzeichen"/>
          <w:sz w:val="24"/>
          <w:szCs w:val="24"/>
          <w:lang w:val="en-GB"/>
        </w:rPr>
        <w:commentReference w:id="28"/>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29"/>
      <w:r w:rsidRPr="00742A41">
        <w:rPr>
          <w:lang w:val="en-GB"/>
        </w:rPr>
        <w:t>Outlook / improvements / lessons learned</w:t>
      </w:r>
      <w:commentRangeEnd w:id="29"/>
      <w:r w:rsidR="00AB26CB">
        <w:rPr>
          <w:rStyle w:val="Kommentarzeichen"/>
          <w:sz w:val="24"/>
          <w:szCs w:val="24"/>
          <w:lang w:val="en-GB"/>
        </w:rPr>
        <w:commentReference w:id="29"/>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34"/>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0" w:name="_Toc235728808"/>
      <w:r w:rsidRPr="007E273E">
        <w:rPr>
          <w:lang w:val="en-GB"/>
        </w:rPr>
        <w:lastRenderedPageBreak/>
        <w:t>Appendix</w:t>
      </w:r>
      <w:bookmarkEnd w:id="30"/>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35"/>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36"/>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37"/>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1"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1"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63E7EBFB" w:rsidR="00FE14A4" w:rsidRPr="00742A41" w:rsidRDefault="0088505B" w:rsidP="00FE14A4">
      <w:pPr>
        <w:pStyle w:val="berschrift1"/>
        <w:rPr>
          <w:lang w:val="en-GB"/>
        </w:rPr>
      </w:pPr>
      <w:bookmarkStart w:id="32" w:name="_Toc235728810"/>
      <w:r>
        <w:rPr>
          <w:lang w:val="en-GB"/>
        </w:rPr>
        <w:lastRenderedPageBreak/>
        <w:t>Contribution</w:t>
      </w:r>
      <w:r w:rsidR="00FE14A4">
        <w:rPr>
          <w:lang w:val="en-GB"/>
        </w:rPr>
        <w:t xml:space="preserve"> Table</w:t>
      </w:r>
      <w:bookmarkEnd w:id="32"/>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r>
              <w:rPr>
                <w:lang w:val="en-GB"/>
              </w:rPr>
              <w:t>Qianyue</w:t>
            </w:r>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227E48"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227E48"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38"/>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Sophie Schüttler" w:date="2026-08-20T16:19:00Z" w:initials="SS">
    <w:p w14:paraId="205FD429" w14:textId="77777777" w:rsidR="00AB26CB" w:rsidRDefault="00AB26CB" w:rsidP="00AB26CB">
      <w:pPr>
        <w:pStyle w:val="Kommentartext"/>
      </w:pPr>
      <w:r>
        <w:rPr>
          <w:rStyle w:val="Kommentarzeichen"/>
        </w:rPr>
        <w:annotationRef/>
      </w:r>
      <w:r>
        <w:rPr>
          <w:lang w:val="en-GB"/>
        </w:rPr>
        <w:t>everyone gives bullet points</w:t>
      </w:r>
    </w:p>
  </w:comment>
  <w:comment w:id="29" w:author="Sophie Schüttler" w:date="2026-08-20T16:19:00Z" w:initials="SS">
    <w:p w14:paraId="2EE99CFF" w14:textId="77777777" w:rsidR="00AB26CB" w:rsidRDefault="00AB26CB" w:rsidP="00AB26CB">
      <w:pPr>
        <w:pStyle w:val="Kommentartext"/>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4B0EF" w14:textId="77777777" w:rsidR="008C18A1" w:rsidRDefault="008C18A1" w:rsidP="00742A41">
      <w:pPr>
        <w:spacing w:after="0" w:line="240" w:lineRule="auto"/>
      </w:pPr>
      <w:r>
        <w:separator/>
      </w:r>
    </w:p>
  </w:endnote>
  <w:endnote w:type="continuationSeparator" w:id="0">
    <w:p w14:paraId="785BAE6D" w14:textId="77777777" w:rsidR="008C18A1" w:rsidRDefault="008C18A1"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33967" w14:textId="77777777" w:rsidR="008C18A1" w:rsidRDefault="008C18A1" w:rsidP="00742A41">
      <w:pPr>
        <w:spacing w:after="0" w:line="240" w:lineRule="auto"/>
      </w:pPr>
      <w:r>
        <w:separator/>
      </w:r>
    </w:p>
  </w:footnote>
  <w:footnote w:type="continuationSeparator" w:id="0">
    <w:p w14:paraId="2F808455" w14:textId="77777777" w:rsidR="008C18A1" w:rsidRDefault="008C18A1"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D0E11"/>
    <w:multiLevelType w:val="multilevel"/>
    <w:tmpl w:val="A800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09E3"/>
    <w:multiLevelType w:val="multilevel"/>
    <w:tmpl w:val="110E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7AB5226"/>
    <w:multiLevelType w:val="hybridMultilevel"/>
    <w:tmpl w:val="D6C259C6"/>
    <w:lvl w:ilvl="0" w:tplc="6F86CB6E">
      <w:start w:val="3"/>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70AB2A39"/>
    <w:multiLevelType w:val="multilevel"/>
    <w:tmpl w:val="0B6A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015303648">
    <w:abstractNumId w:val="7"/>
  </w:num>
  <w:num w:numId="2" w16cid:durableId="1439565800">
    <w:abstractNumId w:val="5"/>
  </w:num>
  <w:num w:numId="3" w16cid:durableId="2051298060">
    <w:abstractNumId w:val="5"/>
    <w:lvlOverride w:ilvl="1">
      <w:lvl w:ilvl="1">
        <w:numFmt w:val="bullet"/>
        <w:lvlText w:val=""/>
        <w:lvlJc w:val="left"/>
        <w:pPr>
          <w:tabs>
            <w:tab w:val="num" w:pos="1440"/>
          </w:tabs>
          <w:ind w:left="1440" w:hanging="360"/>
        </w:pPr>
        <w:rPr>
          <w:rFonts w:ascii="Symbol" w:hAnsi="Symbol" w:hint="default"/>
          <w:sz w:val="20"/>
        </w:rPr>
      </w:lvl>
    </w:lvlOverride>
  </w:num>
  <w:num w:numId="4" w16cid:durableId="2021001174">
    <w:abstractNumId w:val="5"/>
    <w:lvlOverride w:ilvl="1">
      <w:lvl w:ilvl="1">
        <w:numFmt w:val="bullet"/>
        <w:lvlText w:val=""/>
        <w:lvlJc w:val="left"/>
        <w:pPr>
          <w:tabs>
            <w:tab w:val="num" w:pos="1440"/>
          </w:tabs>
          <w:ind w:left="1440" w:hanging="360"/>
        </w:pPr>
        <w:rPr>
          <w:rFonts w:ascii="Symbol" w:hAnsi="Symbol" w:hint="default"/>
          <w:sz w:val="20"/>
        </w:rPr>
      </w:lvl>
    </w:lvlOverride>
  </w:num>
  <w:num w:numId="5" w16cid:durableId="272517225">
    <w:abstractNumId w:val="5"/>
    <w:lvlOverride w:ilvl="1">
      <w:lvl w:ilvl="1">
        <w:numFmt w:val="bullet"/>
        <w:lvlText w:val=""/>
        <w:lvlJc w:val="left"/>
        <w:pPr>
          <w:tabs>
            <w:tab w:val="num" w:pos="1440"/>
          </w:tabs>
          <w:ind w:left="1440" w:hanging="360"/>
        </w:pPr>
        <w:rPr>
          <w:rFonts w:ascii="Symbol" w:hAnsi="Symbol" w:hint="default"/>
          <w:sz w:val="20"/>
        </w:rPr>
      </w:lvl>
    </w:lvlOverride>
  </w:num>
  <w:num w:numId="6" w16cid:durableId="52891881">
    <w:abstractNumId w:val="5"/>
    <w:lvlOverride w:ilvl="1">
      <w:lvl w:ilvl="1">
        <w:numFmt w:val="bullet"/>
        <w:lvlText w:val=""/>
        <w:lvlJc w:val="left"/>
        <w:pPr>
          <w:tabs>
            <w:tab w:val="num" w:pos="1440"/>
          </w:tabs>
          <w:ind w:left="1440" w:hanging="360"/>
        </w:pPr>
        <w:rPr>
          <w:rFonts w:ascii="Symbol" w:hAnsi="Symbol" w:hint="default"/>
          <w:sz w:val="20"/>
        </w:rPr>
      </w:lvl>
    </w:lvlOverride>
  </w:num>
  <w:num w:numId="7" w16cid:durableId="1456026106">
    <w:abstractNumId w:val="5"/>
    <w:lvlOverride w:ilvl="1">
      <w:lvl w:ilvl="1">
        <w:numFmt w:val="bullet"/>
        <w:lvlText w:val=""/>
        <w:lvlJc w:val="left"/>
        <w:pPr>
          <w:tabs>
            <w:tab w:val="num" w:pos="1440"/>
          </w:tabs>
          <w:ind w:left="1440" w:hanging="360"/>
        </w:pPr>
        <w:rPr>
          <w:rFonts w:ascii="Symbol" w:hAnsi="Symbol" w:hint="default"/>
          <w:sz w:val="20"/>
        </w:rPr>
      </w:lvl>
    </w:lvlOverride>
  </w:num>
  <w:num w:numId="8" w16cid:durableId="1318806957">
    <w:abstractNumId w:val="5"/>
    <w:lvlOverride w:ilvl="1">
      <w:lvl w:ilvl="1">
        <w:numFmt w:val="bullet"/>
        <w:lvlText w:val=""/>
        <w:lvlJc w:val="left"/>
        <w:pPr>
          <w:tabs>
            <w:tab w:val="num" w:pos="1440"/>
          </w:tabs>
          <w:ind w:left="1440" w:hanging="360"/>
        </w:pPr>
        <w:rPr>
          <w:rFonts w:ascii="Symbol" w:hAnsi="Symbol" w:hint="default"/>
          <w:sz w:val="20"/>
        </w:rPr>
      </w:lvl>
    </w:lvlOverride>
  </w:num>
  <w:num w:numId="9" w16cid:durableId="60450080">
    <w:abstractNumId w:val="5"/>
    <w:lvlOverride w:ilvl="1">
      <w:lvl w:ilvl="1">
        <w:numFmt w:val="bullet"/>
        <w:lvlText w:val=""/>
        <w:lvlJc w:val="left"/>
        <w:pPr>
          <w:tabs>
            <w:tab w:val="num" w:pos="1440"/>
          </w:tabs>
          <w:ind w:left="1440" w:hanging="360"/>
        </w:pPr>
        <w:rPr>
          <w:rFonts w:ascii="Symbol" w:hAnsi="Symbol" w:hint="default"/>
          <w:sz w:val="20"/>
        </w:rPr>
      </w:lvl>
    </w:lvlOverride>
  </w:num>
  <w:num w:numId="10" w16cid:durableId="443889408">
    <w:abstractNumId w:val="5"/>
    <w:lvlOverride w:ilvl="1">
      <w:lvl w:ilvl="1">
        <w:numFmt w:val="bullet"/>
        <w:lvlText w:val=""/>
        <w:lvlJc w:val="left"/>
        <w:pPr>
          <w:tabs>
            <w:tab w:val="num" w:pos="1440"/>
          </w:tabs>
          <w:ind w:left="1440" w:hanging="360"/>
        </w:pPr>
        <w:rPr>
          <w:rFonts w:ascii="Symbol" w:hAnsi="Symbol" w:hint="default"/>
          <w:sz w:val="20"/>
        </w:rPr>
      </w:lvl>
    </w:lvlOverride>
  </w:num>
  <w:num w:numId="11" w16cid:durableId="81798569">
    <w:abstractNumId w:val="3"/>
  </w:num>
  <w:num w:numId="12" w16cid:durableId="1451125725">
    <w:abstractNumId w:val="3"/>
    <w:lvlOverride w:ilvl="1">
      <w:lvl w:ilvl="1">
        <w:numFmt w:val="bullet"/>
        <w:lvlText w:val=""/>
        <w:lvlJc w:val="left"/>
        <w:pPr>
          <w:tabs>
            <w:tab w:val="num" w:pos="1440"/>
          </w:tabs>
          <w:ind w:left="1440" w:hanging="360"/>
        </w:pPr>
        <w:rPr>
          <w:rFonts w:ascii="Symbol" w:hAnsi="Symbol" w:hint="default"/>
          <w:sz w:val="20"/>
        </w:rPr>
      </w:lvl>
    </w:lvlOverride>
  </w:num>
  <w:num w:numId="13" w16cid:durableId="430978927">
    <w:abstractNumId w:val="3"/>
    <w:lvlOverride w:ilvl="1">
      <w:lvl w:ilvl="1">
        <w:numFmt w:val="bullet"/>
        <w:lvlText w:val=""/>
        <w:lvlJc w:val="left"/>
        <w:pPr>
          <w:tabs>
            <w:tab w:val="num" w:pos="1440"/>
          </w:tabs>
          <w:ind w:left="1440" w:hanging="360"/>
        </w:pPr>
        <w:rPr>
          <w:rFonts w:ascii="Symbol" w:hAnsi="Symbol" w:hint="default"/>
          <w:sz w:val="20"/>
        </w:rPr>
      </w:lvl>
    </w:lvlOverride>
  </w:num>
  <w:num w:numId="14" w16cid:durableId="942306459">
    <w:abstractNumId w:val="3"/>
    <w:lvlOverride w:ilvl="1">
      <w:lvl w:ilvl="1">
        <w:numFmt w:val="bullet"/>
        <w:lvlText w:val=""/>
        <w:lvlJc w:val="left"/>
        <w:pPr>
          <w:tabs>
            <w:tab w:val="num" w:pos="1440"/>
          </w:tabs>
          <w:ind w:left="1440" w:hanging="360"/>
        </w:pPr>
        <w:rPr>
          <w:rFonts w:ascii="Symbol" w:hAnsi="Symbol" w:hint="default"/>
          <w:sz w:val="20"/>
        </w:rPr>
      </w:lvl>
    </w:lvlOverride>
  </w:num>
  <w:num w:numId="15" w16cid:durableId="2022853778">
    <w:abstractNumId w:val="6"/>
  </w:num>
  <w:num w:numId="16" w16cid:durableId="1009911308">
    <w:abstractNumId w:val="6"/>
    <w:lvlOverride w:ilvl="1">
      <w:lvl w:ilvl="1">
        <w:numFmt w:val="bullet"/>
        <w:lvlText w:val=""/>
        <w:lvlJc w:val="left"/>
        <w:pPr>
          <w:tabs>
            <w:tab w:val="num" w:pos="1440"/>
          </w:tabs>
          <w:ind w:left="1440" w:hanging="360"/>
        </w:pPr>
        <w:rPr>
          <w:rFonts w:ascii="Symbol" w:hAnsi="Symbol" w:hint="default"/>
          <w:sz w:val="20"/>
        </w:rPr>
      </w:lvl>
    </w:lvlOverride>
  </w:num>
  <w:num w:numId="17" w16cid:durableId="2035763014">
    <w:abstractNumId w:val="6"/>
    <w:lvlOverride w:ilvl="1">
      <w:lvl w:ilvl="1">
        <w:numFmt w:val="bullet"/>
        <w:lvlText w:val=""/>
        <w:lvlJc w:val="left"/>
        <w:pPr>
          <w:tabs>
            <w:tab w:val="num" w:pos="1440"/>
          </w:tabs>
          <w:ind w:left="1440" w:hanging="360"/>
        </w:pPr>
        <w:rPr>
          <w:rFonts w:ascii="Symbol" w:hAnsi="Symbol" w:hint="default"/>
          <w:sz w:val="20"/>
        </w:rPr>
      </w:lvl>
    </w:lvlOverride>
  </w:num>
  <w:num w:numId="18" w16cid:durableId="463162608">
    <w:abstractNumId w:val="6"/>
    <w:lvlOverride w:ilvl="1">
      <w:lvl w:ilvl="1">
        <w:numFmt w:val="bullet"/>
        <w:lvlText w:val=""/>
        <w:lvlJc w:val="left"/>
        <w:pPr>
          <w:tabs>
            <w:tab w:val="num" w:pos="1440"/>
          </w:tabs>
          <w:ind w:left="1440" w:hanging="360"/>
        </w:pPr>
        <w:rPr>
          <w:rFonts w:ascii="Symbol" w:hAnsi="Symbol" w:hint="default"/>
          <w:sz w:val="20"/>
        </w:rPr>
      </w:lvl>
    </w:lvlOverride>
  </w:num>
  <w:num w:numId="19" w16cid:durableId="415565081">
    <w:abstractNumId w:val="2"/>
  </w:num>
  <w:num w:numId="20" w16cid:durableId="567765408">
    <w:abstractNumId w:val="1"/>
  </w:num>
  <w:num w:numId="21" w16cid:durableId="738789826">
    <w:abstractNumId w:val="8"/>
  </w:num>
  <w:num w:numId="22" w16cid:durableId="1650137734">
    <w:abstractNumId w:val="11"/>
  </w:num>
  <w:num w:numId="23" w16cid:durableId="275987848">
    <w:abstractNumId w:val="0"/>
  </w:num>
  <w:num w:numId="24" w16cid:durableId="167714006">
    <w:abstractNumId w:val="4"/>
  </w:num>
  <w:num w:numId="25" w16cid:durableId="1317685026">
    <w:abstractNumId w:val="10"/>
  </w:num>
  <w:num w:numId="26" w16cid:durableId="70491262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0E28"/>
    <w:rsid w:val="000355C3"/>
    <w:rsid w:val="00037C07"/>
    <w:rsid w:val="00075409"/>
    <w:rsid w:val="00092581"/>
    <w:rsid w:val="00095196"/>
    <w:rsid w:val="000C4C32"/>
    <w:rsid w:val="000C7FC2"/>
    <w:rsid w:val="000E1844"/>
    <w:rsid w:val="001000F3"/>
    <w:rsid w:val="00114422"/>
    <w:rsid w:val="00156ABE"/>
    <w:rsid w:val="001613C4"/>
    <w:rsid w:val="00171C8D"/>
    <w:rsid w:val="00193472"/>
    <w:rsid w:val="001B42BA"/>
    <w:rsid w:val="001B72D1"/>
    <w:rsid w:val="001C563F"/>
    <w:rsid w:val="001F7A8C"/>
    <w:rsid w:val="002006ED"/>
    <w:rsid w:val="00227E48"/>
    <w:rsid w:val="00265812"/>
    <w:rsid w:val="002B21EA"/>
    <w:rsid w:val="002B4768"/>
    <w:rsid w:val="002C2FC6"/>
    <w:rsid w:val="00331C2E"/>
    <w:rsid w:val="00335C5F"/>
    <w:rsid w:val="00346C03"/>
    <w:rsid w:val="0036547C"/>
    <w:rsid w:val="003B1591"/>
    <w:rsid w:val="003B4886"/>
    <w:rsid w:val="003C048E"/>
    <w:rsid w:val="003C068F"/>
    <w:rsid w:val="003C30B9"/>
    <w:rsid w:val="003C64B3"/>
    <w:rsid w:val="004218FB"/>
    <w:rsid w:val="00442386"/>
    <w:rsid w:val="00454478"/>
    <w:rsid w:val="004779FC"/>
    <w:rsid w:val="00487D93"/>
    <w:rsid w:val="00495BDD"/>
    <w:rsid w:val="00496B6B"/>
    <w:rsid w:val="004B011E"/>
    <w:rsid w:val="004F4B77"/>
    <w:rsid w:val="00512497"/>
    <w:rsid w:val="00515ED7"/>
    <w:rsid w:val="00542833"/>
    <w:rsid w:val="0055728A"/>
    <w:rsid w:val="00562A28"/>
    <w:rsid w:val="00575D5A"/>
    <w:rsid w:val="005814B0"/>
    <w:rsid w:val="00584525"/>
    <w:rsid w:val="005A65E4"/>
    <w:rsid w:val="005C55E6"/>
    <w:rsid w:val="005C61CA"/>
    <w:rsid w:val="005D0872"/>
    <w:rsid w:val="005D78C0"/>
    <w:rsid w:val="005F0B29"/>
    <w:rsid w:val="006117C0"/>
    <w:rsid w:val="00647C8E"/>
    <w:rsid w:val="00657475"/>
    <w:rsid w:val="00671620"/>
    <w:rsid w:val="00672E8A"/>
    <w:rsid w:val="0067478E"/>
    <w:rsid w:val="006B1DAB"/>
    <w:rsid w:val="006C163E"/>
    <w:rsid w:val="006C6751"/>
    <w:rsid w:val="0071162E"/>
    <w:rsid w:val="00742A41"/>
    <w:rsid w:val="007D6484"/>
    <w:rsid w:val="007D7A13"/>
    <w:rsid w:val="007E06E3"/>
    <w:rsid w:val="007E273E"/>
    <w:rsid w:val="007F2E17"/>
    <w:rsid w:val="007F7E0A"/>
    <w:rsid w:val="00802AC4"/>
    <w:rsid w:val="0083556E"/>
    <w:rsid w:val="00842C63"/>
    <w:rsid w:val="008608F0"/>
    <w:rsid w:val="00876297"/>
    <w:rsid w:val="0088505B"/>
    <w:rsid w:val="00887093"/>
    <w:rsid w:val="008C18A1"/>
    <w:rsid w:val="008C2E22"/>
    <w:rsid w:val="008E1375"/>
    <w:rsid w:val="008F2179"/>
    <w:rsid w:val="008F34CA"/>
    <w:rsid w:val="0091094B"/>
    <w:rsid w:val="00922B2A"/>
    <w:rsid w:val="0094111F"/>
    <w:rsid w:val="00994F19"/>
    <w:rsid w:val="009C6C39"/>
    <w:rsid w:val="009E16E6"/>
    <w:rsid w:val="009E7CFD"/>
    <w:rsid w:val="00A07537"/>
    <w:rsid w:val="00A12FCC"/>
    <w:rsid w:val="00A20E77"/>
    <w:rsid w:val="00A41018"/>
    <w:rsid w:val="00A4419D"/>
    <w:rsid w:val="00A94BC2"/>
    <w:rsid w:val="00AA235E"/>
    <w:rsid w:val="00AB1E09"/>
    <w:rsid w:val="00AB26CB"/>
    <w:rsid w:val="00AC0C0F"/>
    <w:rsid w:val="00AF0254"/>
    <w:rsid w:val="00B163C2"/>
    <w:rsid w:val="00B26EAA"/>
    <w:rsid w:val="00B3006B"/>
    <w:rsid w:val="00BE1A05"/>
    <w:rsid w:val="00C0375B"/>
    <w:rsid w:val="00C12459"/>
    <w:rsid w:val="00C162F5"/>
    <w:rsid w:val="00C4247E"/>
    <w:rsid w:val="00C6125E"/>
    <w:rsid w:val="00C73C78"/>
    <w:rsid w:val="00C817DE"/>
    <w:rsid w:val="00C9356D"/>
    <w:rsid w:val="00CB67CB"/>
    <w:rsid w:val="00CB777C"/>
    <w:rsid w:val="00CE517C"/>
    <w:rsid w:val="00CF10CC"/>
    <w:rsid w:val="00CF1F0D"/>
    <w:rsid w:val="00CF354A"/>
    <w:rsid w:val="00D07503"/>
    <w:rsid w:val="00D23CE3"/>
    <w:rsid w:val="00D32F32"/>
    <w:rsid w:val="00D4177F"/>
    <w:rsid w:val="00DA608A"/>
    <w:rsid w:val="00DB1852"/>
    <w:rsid w:val="00E0470C"/>
    <w:rsid w:val="00E05CEB"/>
    <w:rsid w:val="00E1504D"/>
    <w:rsid w:val="00E15884"/>
    <w:rsid w:val="00E3129B"/>
    <w:rsid w:val="00E40BA1"/>
    <w:rsid w:val="00E5298D"/>
    <w:rsid w:val="00E53CD4"/>
    <w:rsid w:val="00E55A09"/>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chtschreibrat.com/DOX/rfdr_PM_2023-12-20_Geschlechtergerechte_Schreibung_Erlaeuterungs-Begruendungspapier.pdf" TargetMode="Externa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fontTable" Target="fontTable.xml"/><Relationship Id="rId21" Type="http://schemas.openxmlformats.org/officeDocument/2006/relationships/image" Target="media/image4.png"/><Relationship Id="rId34" Type="http://schemas.openxmlformats.org/officeDocument/2006/relationships/footer" Target="footer3.xm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tandfonline.com/doi/full/10.1080/0163853X.2023.2199531" TargetMode="External"/><Relationship Id="rId20" Type="http://schemas.openxmlformats.org/officeDocument/2006/relationships/image" Target="media/image3.png"/><Relationship Id="rId29" Type="http://schemas.openxmlformats.org/officeDocument/2006/relationships/image" Target="media/image12.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chapter/10.1007/978-3-322-83937-4_4" TargetMode="External"/><Relationship Id="rId24" Type="http://schemas.openxmlformats.org/officeDocument/2006/relationships/image" Target="media/image7.png"/><Relationship Id="rId32" Type="http://schemas.microsoft.com/office/2016/09/relationships/commentsIds" Target="commentsIds.xml"/><Relationship Id="rId37" Type="http://schemas.openxmlformats.org/officeDocument/2006/relationships/image" Target="media/image15.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cambridge.org/core/journals/applied-psycholinguistics/article/examining-the-glottal-stop-as-a-mark-of-genderinclusive-language-in-german/B0788EF6809A94F5BC5341FEA6FA7E10"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4.png"/><Relationship Id="rId10" Type="http://schemas.openxmlformats.org/officeDocument/2006/relationships/hyperlink" Target="https://doi.org/10.1037/pas0000156" TargetMode="External"/><Relationship Id="rId19" Type="http://schemas.openxmlformats.org/officeDocument/2006/relationships/image" Target="media/image2.png"/><Relationship Id="rId31"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frontiersin.org/journals/psychology/articles/10.3389/fpsyg.2021.760062/full"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comments" Target="comments.xml"/><Relationship Id="rId35" Type="http://schemas.openxmlformats.org/officeDocument/2006/relationships/image" Target="media/image13.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politbarometer2.zdf.de/store/Politbarometer/2021_07_16/html/1280x720-1626375458070-0469d703.jpg" TargetMode="External"/><Relationship Id="rId17" Type="http://schemas.openxmlformats.org/officeDocument/2006/relationships/hyperlink" Target="https://link.springer.com/article/10.1007/s11616-010-0093-2" TargetMode="External"/><Relationship Id="rId25" Type="http://schemas.openxmlformats.org/officeDocument/2006/relationships/image" Target="media/image8.png"/><Relationship Id="rId33" Type="http://schemas.microsoft.com/office/2018/08/relationships/commentsExtensible" Target="commentsExtensible.xml"/><Relationship Id="rId38"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0C4C32"/>
    <w:rsid w:val="001830B6"/>
    <w:rsid w:val="001E1B03"/>
    <w:rsid w:val="00265812"/>
    <w:rsid w:val="00335C5F"/>
    <w:rsid w:val="003C30B9"/>
    <w:rsid w:val="003C37F2"/>
    <w:rsid w:val="00516574"/>
    <w:rsid w:val="00542833"/>
    <w:rsid w:val="005612A4"/>
    <w:rsid w:val="005904F3"/>
    <w:rsid w:val="005D78C0"/>
    <w:rsid w:val="006730F7"/>
    <w:rsid w:val="0067478E"/>
    <w:rsid w:val="00744F8E"/>
    <w:rsid w:val="007B53A6"/>
    <w:rsid w:val="00802AC4"/>
    <w:rsid w:val="00846D93"/>
    <w:rsid w:val="00963CB1"/>
    <w:rsid w:val="00A94BC2"/>
    <w:rsid w:val="00B20BB0"/>
    <w:rsid w:val="00B50854"/>
    <w:rsid w:val="00C4247E"/>
    <w:rsid w:val="00C64BAF"/>
    <w:rsid w:val="00C73C78"/>
    <w:rsid w:val="00D32F32"/>
    <w:rsid w:val="00DC5186"/>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E1C5F-A367-449C-A69C-66FA7A41E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5367</Words>
  <Characters>33815</Characters>
  <Application>Microsoft Office Word</Application>
  <DocSecurity>0</DocSecurity>
  <Lines>281</Lines>
  <Paragraphs>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86</cp:revision>
  <dcterms:created xsi:type="dcterms:W3CDTF">2026-07-16T19:57:00Z</dcterms:created>
  <dcterms:modified xsi:type="dcterms:W3CDTF">2026-08-25T09:25:00Z</dcterms:modified>
</cp:coreProperties>
</file>