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FA1D19" w:rsidRDefault="007E273E" w:rsidP="00742A41">
      <w:pPr>
        <w:keepNext/>
        <w:keepLines/>
        <w:spacing w:before="240" w:after="0"/>
        <w:outlineLvl w:val="0"/>
        <w:rPr>
          <w:b/>
          <w:sz w:val="36"/>
          <w:lang w:val="de-DE"/>
        </w:rPr>
      </w:pPr>
      <w:bookmarkStart w:id="1" w:name="_Toc235728781"/>
      <w:r w:rsidRPr="00FA1D19">
        <w:rPr>
          <w:b/>
          <w:sz w:val="36"/>
          <w:lang w:val="de-DE"/>
        </w:rPr>
        <w:lastRenderedPageBreak/>
        <w:t>List of Figures</w:t>
      </w:r>
      <w:bookmarkEnd w:id="1"/>
    </w:p>
    <w:p w14:paraId="67FAB5F1" w14:textId="77777777" w:rsidR="00742A41" w:rsidRPr="00FA1D19" w:rsidRDefault="00742A41" w:rsidP="00742A41">
      <w:pPr>
        <w:rPr>
          <w:lang w:val="de-DE"/>
        </w:rPr>
      </w:pPr>
    </w:p>
    <w:p w14:paraId="24C41C90" w14:textId="7F8D5E45" w:rsidR="00742A41" w:rsidRPr="00742A41" w:rsidRDefault="00742A41" w:rsidP="00742A41">
      <w:pPr>
        <w:spacing w:line="360" w:lineRule="auto"/>
      </w:pPr>
      <w:r w:rsidRPr="00742A41">
        <w:fldChar w:fldCharType="begin"/>
      </w:r>
      <w:r w:rsidRPr="00742A41">
        <w:instrText xml:space="preserve"> TOC \h \z \c "Abbildung" </w:instrText>
      </w:r>
      <w:r w:rsidRPr="00742A41">
        <w:fldChar w:fldCharType="separate"/>
      </w:r>
      <w:r w:rsidR="00FA1D19">
        <w:rPr>
          <w:b/>
          <w:bCs/>
          <w:noProof/>
          <w:lang w:val="de-DE"/>
        </w:rPr>
        <w:t>Es konnten keine Einträge für ein Abbildungsverzeichnis gefunden werden.</w:t>
      </w: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34CB4E8C" w14:textId="11B08F1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begin"/>
      </w:r>
      <w:r w:rsidRPr="00742A41">
        <w:instrText xml:space="preserve"> TOC \h \z \c "Tabelle" </w:instrText>
      </w:r>
      <w:r w:rsidRPr="00742A41">
        <w:fldChar w:fldCharType="separate"/>
      </w:r>
      <w:r w:rsidR="00FA1D19">
        <w:rPr>
          <w:b/>
          <w:bCs/>
          <w:noProof/>
          <w:lang w:val="de-DE"/>
        </w:rPr>
        <w:t>Es konnten keine Einträge für ein Abbildungsverzeichnis gefunden werden.</w:t>
      </w: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04C56546" w14:textId="5B0BA99D" w:rsidR="008E1375"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r w:rsidR="003E2CEB">
        <w:rPr>
          <w:lang w:val="en-GB"/>
        </w:rPr>
        <w:t xml:space="preserve">: </w:t>
      </w:r>
      <w:r w:rsidR="003E2CEB" w:rsidRPr="003E2CEB">
        <w:rPr>
          <w:lang w:val="en-GB"/>
        </w:rPr>
        <w:t>: women reported lower task value, lower intrinsic motivation, and lower self</w:t>
      </w:r>
      <w:r w:rsidR="003E2CEB" w:rsidRPr="003E2CEB">
        <w:rPr>
          <w:lang w:val="en-GB"/>
        </w:rPr>
        <w:noBreakHyphen/>
        <w:t>efficacy when items were phrased in masculine</w:t>
      </w:r>
      <w:r w:rsidR="003E2CEB" w:rsidRPr="003E2CEB">
        <w:rPr>
          <w:lang w:val="en-GB"/>
        </w:rPr>
        <w:noBreakHyphen/>
        <w:t>generic form compared with gender</w:t>
      </w:r>
      <w:r w:rsidR="003E2CEB" w:rsidRPr="003E2CEB">
        <w:rPr>
          <w:lang w:val="en-GB"/>
        </w:rPr>
        <w:noBreakHyphen/>
        <w:t>neutral formulations.</w:t>
      </w:r>
    </w:p>
    <w:p w14:paraId="64B4439A" w14:textId="77777777" w:rsidR="003E2CEB" w:rsidRPr="003E2CEB" w:rsidRDefault="003E2CEB" w:rsidP="003E2CEB">
      <w:pPr>
        <w:spacing w:line="360" w:lineRule="auto"/>
        <w:jc w:val="both"/>
        <w:rPr>
          <w:lang w:val="en-GB"/>
        </w:rPr>
      </w:pPr>
      <w:r w:rsidRPr="003E2CEB">
        <w:rPr>
          <w:lang w:val="en-GB"/>
        </w:rPr>
        <w:t>Public opinion surveys illustrate how contested these issues are. A 2021 Politbarometer graphic, for example, shows substantial disagreement in the German population about whether and how language should be changed to become more gender</w:t>
      </w:r>
      <w:r w:rsidRPr="003E2CEB">
        <w:rPr>
          <w:rFonts w:ascii="Cambria Math" w:hAnsi="Cambria Math" w:cs="Cambria Math"/>
          <w:lang w:val="en-GB"/>
        </w:rPr>
        <w:t>‑</w:t>
      </w:r>
      <w:r w:rsidRPr="003E2CEB">
        <w:rPr>
          <w:lang w:val="en-GB"/>
        </w:rPr>
        <w:t>inclusive . At the same time, institutions such as the Council for German Orthography have published detailed position papers explaining and justifying their recommendations for gender</w:t>
      </w:r>
      <w:r w:rsidRPr="003E2CEB">
        <w:rPr>
          <w:rFonts w:ascii="Cambria Math" w:hAnsi="Cambria Math" w:cs="Cambria Math"/>
          <w:lang w:val="en-GB"/>
        </w:rPr>
        <w:t>‑</w:t>
      </w:r>
      <w:r w:rsidRPr="003E2CEB">
        <w:rPr>
          <w:lang w:val="en-GB"/>
        </w:rPr>
        <w:t xml:space="preserve">sensitive spelling, including the use of paired forms, the gender star, and other strategies . </w:t>
      </w:r>
    </w:p>
    <w:p w14:paraId="7292574A" w14:textId="77777777" w:rsidR="003E2CEB" w:rsidRPr="003E2CEB" w:rsidRDefault="003E2CEB" w:rsidP="003E2CEB">
      <w:pPr>
        <w:spacing w:line="360" w:lineRule="auto"/>
        <w:jc w:val="both"/>
        <w:rPr>
          <w:lang w:val="en-GB"/>
        </w:rPr>
      </w:pPr>
      <w:r w:rsidRPr="003E2CEB">
        <w:rPr>
          <w:lang w:val="en-GB"/>
        </w:rPr>
        <w:lastRenderedPageBreak/>
        <w:t>Recent experimental work on the gender star suggests that it does not substantially impair word recognition or text comprehensibility, although small effects on reading time or error rates have been reported (Friedrich et al., 2021).  Studies using word–image pairs and other methods further indicate that the gender star can increase the salience of women in mental representations compared with the generic masculine (Zacharski &amp; Ferstl, 2023). At the same time, some research highlights potential trade</w:t>
      </w:r>
      <w:r w:rsidRPr="003E2CEB">
        <w:rPr>
          <w:rFonts w:ascii="Cambria Math" w:hAnsi="Cambria Math" w:cs="Cambria Math"/>
          <w:lang w:val="en-GB"/>
        </w:rPr>
        <w:t>‑</w:t>
      </w:r>
      <w:r w:rsidRPr="003E2CEB">
        <w:rPr>
          <w:lang w:val="en-GB"/>
        </w:rPr>
        <w:t>offs, for example in perceived readability or aesthetic evaluation of news texts, which fuels ongoing discussion about optimal formulations in different contexts (Blake &amp; Klimmt, 2010) .</w:t>
      </w:r>
    </w:p>
    <w:p w14:paraId="6976CF76" w14:textId="732BA4BF" w:rsidR="003E2CEB" w:rsidRDefault="003E2CEB" w:rsidP="003E2CEB">
      <w:pPr>
        <w:spacing w:line="360" w:lineRule="auto"/>
        <w:jc w:val="both"/>
        <w:rPr>
          <w:lang w:val="en-GB"/>
        </w:rPr>
      </w:pPr>
      <w:r w:rsidRPr="003E2CEB">
        <w:rPr>
          <w:lang w:val="en-GB"/>
        </w:rPr>
        <w:t>A recent study on the glottal stop used a continuation paradigm in which participants first heard a sentence containing a gender</w:t>
      </w:r>
      <w:r w:rsidRPr="003E2CEB">
        <w:rPr>
          <w:rFonts w:ascii="Cambria Math" w:hAnsi="Cambria Math" w:cs="Cambria Math"/>
          <w:lang w:val="en-GB"/>
        </w:rPr>
        <w:t>‑</w:t>
      </w:r>
      <w:r w:rsidRPr="003E2CEB">
        <w:rPr>
          <w:lang w:val="en-GB"/>
        </w:rPr>
        <w:t xml:space="preserve">inclusive role noun such as Lehrerinnen* (produced with an audible glottal stop before </w:t>
      </w:r>
      <w:r w:rsidRPr="003E2CEB">
        <w:rPr>
          <w:rFonts w:ascii="Cambria Math" w:hAnsi="Cambria Math" w:cs="Cambria Math"/>
          <w:lang w:val="en-GB"/>
        </w:rPr>
        <w:t>‑</w:t>
      </w:r>
      <w:r w:rsidRPr="003E2CEB">
        <w:rPr>
          <w:lang w:val="en-GB"/>
        </w:rPr>
        <w:t>innen), followed by a second sentence that referred to either a male or a female subset of that group (e.g., Die meisten Männer/Frauen …). Participants judged whether the second sentence was a sensible continuation of the first. The authors found that the glottal</w:t>
      </w:r>
      <w:r w:rsidRPr="003E2CEB">
        <w:rPr>
          <w:rFonts w:ascii="Cambria Math" w:hAnsi="Cambria Math" w:cs="Cambria Math"/>
          <w:lang w:val="en-GB"/>
        </w:rPr>
        <w:t>‑</w:t>
      </w:r>
      <w:r w:rsidRPr="003E2CEB">
        <w:rPr>
          <w:lang w:val="en-GB"/>
        </w:rPr>
        <w:t>stop form led to more balanced acceptance of male and female continuations than the generic masculine, providing phonetic and processing evidence that forms like Lehrerinnen* are realized as distinct, gender</w:t>
      </w:r>
      <w:r w:rsidRPr="003E2CEB">
        <w:rPr>
          <w:rFonts w:ascii="Cambria Math" w:hAnsi="Cambria Math" w:cs="Cambria Math"/>
          <w:lang w:val="en-GB"/>
        </w:rPr>
        <w:t>‑</w:t>
      </w:r>
      <w:r w:rsidRPr="003E2CEB">
        <w:rPr>
          <w:lang w:val="en-GB"/>
        </w:rPr>
        <w:t>inclusive markers in spoken German (Körner et al., 2024).</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Previous research indicates that (linguistic) gender marking can influence how readers mentally represent the people described in a sentence. Although masculine forms may be intended as generic refernces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t>Eye-tracking studies provide evidence that these effects can occur during the early stages of sentence processing. For example, Redl et al. (2021) examined the Dutch masculine possessive pronoun “zijn”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lastRenderedPageBreak/>
        <w:t>Research on role nouns has produced similar findings. Irmen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Additional evidence comes from research comparing generic masculine forms with gender-inclusive alternatievs. Körner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r w:rsidRPr="00030E28">
        <w:rPr>
          <w:i/>
          <w:iCs/>
          <w:lang w:val="en-GB"/>
        </w:rPr>
        <w:t>Studenten</w:t>
      </w:r>
      <w:r w:rsidRPr="00030E28">
        <w:rPr>
          <w:lang w:val="en-GB"/>
        </w:rPr>
        <w:t xml:space="preserve">; the feminine form, such as </w:t>
      </w:r>
      <w:r w:rsidRPr="00030E28">
        <w:rPr>
          <w:i/>
          <w:iCs/>
          <w:lang w:val="en-GB"/>
        </w:rPr>
        <w:t>Studentinnen</w:t>
      </w:r>
      <w:r w:rsidRPr="00030E28">
        <w:rPr>
          <w:lang w:val="en-GB"/>
        </w:rPr>
        <w:t xml:space="preserve">; and gender-inclusive forms, such as </w:t>
      </w:r>
      <w:r w:rsidRPr="00030E28">
        <w:rPr>
          <w:i/>
          <w:iCs/>
          <w:lang w:val="en-GB"/>
        </w:rPr>
        <w:t>Studen*I</w:t>
      </w:r>
      <w:r w:rsidRPr="00030E28">
        <w:rPr>
          <w:lang w:val="en-GB"/>
        </w:rPr>
        <w:t>innen. The latter being intended to refer to people of different genders, therefore reducing or preventing a one-sidedd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lastRenderedPageBreak/>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r w:rsidRPr="00030E28">
        <w:rPr>
          <w:i/>
          <w:iCs/>
          <w:lang w:val="en-GB"/>
        </w:rPr>
        <w:t>Studenten</w:t>
      </w:r>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r w:rsidRPr="00030E28">
        <w:rPr>
          <w:i/>
          <w:iCs/>
          <w:lang w:val="en-GB"/>
        </w:rPr>
        <w:t>Studentinnen</w:t>
      </w:r>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Student*innen</w:t>
      </w:r>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r w:rsidRPr="00030E28">
        <w:rPr>
          <w:i/>
          <w:iCs/>
          <w:lang w:val="en-GB"/>
        </w:rPr>
        <w:t>Studierende</w:t>
      </w:r>
    </w:p>
    <w:p w14:paraId="5FA3D388" w14:textId="77777777" w:rsidR="00030E28" w:rsidRPr="00030E28" w:rsidRDefault="00030E28" w:rsidP="00030E28">
      <w:pPr>
        <w:spacing w:line="360" w:lineRule="auto"/>
        <w:jc w:val="both"/>
        <w:rPr>
          <w:lang w:val="en-GB"/>
        </w:rPr>
      </w:pPr>
      <w:r w:rsidRPr="00030E28">
        <w:rPr>
          <w:lang w:val="en-GB"/>
        </w:rPr>
        <w:t>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behavior.</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The primary measures include:</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fixate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lastRenderedPageBreak/>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7AFBADB8"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w:t>
      </w:r>
      <w:r w:rsidR="00FA1D19">
        <w:rPr>
          <w:lang w:val="en-GB"/>
        </w:rPr>
        <w:t>and after</w:t>
      </w:r>
      <w:r w:rsidR="00CF354A">
        <w:rPr>
          <w:lang w:val="en-GB"/>
        </w:rPr>
        <w:t xml:space="preserve"> the base sentences to sandwich the sentence with the relevant information. </w:t>
      </w:r>
      <w:r w:rsidR="00FA1D19">
        <w:rPr>
          <w:lang w:val="en-GB"/>
        </w:rPr>
        <w:t>The word in the RN and AN tags are just examples and will be replaced with the right form from the selected condition.</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lastRenderedPageBreak/>
        <w:t>Im Rahmen einer Geschäftsveranstaltung findet derzeit ein Austausch über Arbeitsbedingungen und gesellschaftliche Entwicklungen statt. Die &lt;RN&gt;Arbeitnehmer*innen&lt;/RN&gt;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 xml:space="preserve">Auf einer öffentlichen Veranstaltung werden aktuelle wohnungs- und gesellschaftspolitische Themen diskutiert. Die &lt;RN&gt;Aktivist*innen&lt;/RN&gt; fordern mehr bezahlbaren Wohnraum in Stuttgart und diskutieren faire </w:t>
      </w:r>
      <w:r w:rsidRPr="00842C63">
        <w:lastRenderedPageBreak/>
        <w:t>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 xml:space="preserve">Im Rahmen einer städtischen Planungsrunde wird über die zukünftige Mobilität und den Ausbau des Nahverkehrs diskutiert. Die &lt;RN&gt;Ingenieurinnen&lt;/RN&gt; diskutieren über nachhaltige Verkehrskonzepte und setzen sich für den Ausbau </w:t>
      </w:r>
      <w:r w:rsidRPr="00842C63">
        <w:lastRenderedPageBreak/>
        <w:t>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w:t>
      </w:r>
      <w:commentRangeStart w:id="13"/>
      <w:r>
        <w:rPr>
          <w:lang w:val="en-GB"/>
        </w:rPr>
        <w:t>condition</w:t>
      </w:r>
      <w:commentRangeEnd w:id="13"/>
      <w:r w:rsidR="00FA1D19">
        <w:rPr>
          <w:rStyle w:val="Kommentarzeichen"/>
          <w:sz w:val="24"/>
          <w:szCs w:val="24"/>
          <w:lang w:val="en-GB"/>
        </w:rPr>
        <w:commentReference w:id="13"/>
      </w:r>
      <w:r>
        <w:rPr>
          <w:lang w:val="en-GB"/>
        </w:rPr>
        <w:t xml:space="preserve">.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4"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4"/>
    </w:p>
    <w:p w14:paraId="60EFF737" w14:textId="4F592F71" w:rsidR="00672E8A" w:rsidRDefault="00672E8A" w:rsidP="00672E8A">
      <w:pPr>
        <w:pStyle w:val="berschrift3"/>
        <w:rPr>
          <w:lang w:val="en-GB"/>
        </w:rPr>
      </w:pPr>
      <w:bookmarkStart w:id="15" w:name="_Toc235728794"/>
      <w:r>
        <w:rPr>
          <w:lang w:val="en-GB"/>
        </w:rPr>
        <w:t>2.3.1 Experiment Process</w:t>
      </w:r>
      <w:r w:rsidR="00512497">
        <w:rPr>
          <w:lang w:val="en-GB"/>
        </w:rPr>
        <w:t xml:space="preserve"> (Sophie)</w:t>
      </w:r>
      <w:bookmarkEnd w:id="15"/>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6" w:name="_Toc235728795"/>
      <w:r>
        <w:rPr>
          <w:lang w:val="en-GB"/>
        </w:rPr>
        <w:t xml:space="preserve">2.3.2 </w:t>
      </w:r>
      <w:r w:rsidRPr="007E273E">
        <w:rPr>
          <w:lang w:val="en-GB"/>
        </w:rPr>
        <w:t>Questionnaire</w:t>
      </w:r>
      <w:r>
        <w:rPr>
          <w:lang w:val="en-GB"/>
        </w:rPr>
        <w:t xml:space="preserve"> </w:t>
      </w:r>
      <w:r w:rsidR="00512497">
        <w:rPr>
          <w:lang w:val="en-GB"/>
        </w:rPr>
        <w:t>(Sophie)</w:t>
      </w:r>
      <w:bookmarkEnd w:id="16"/>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7"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7"/>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r w:rsidRPr="00227E48">
        <w:rPr>
          <w:i/>
          <w:iCs/>
          <w:lang w:val="en-GB"/>
        </w:rPr>
        <w:t>text_start_x</w:t>
      </w:r>
      <w:r>
        <w:rPr>
          <w:lang w:val="en-GB"/>
        </w:rPr>
        <w:t xml:space="preserve"> and </w:t>
      </w:r>
      <w:r w:rsidRPr="00227E48">
        <w:rPr>
          <w:i/>
          <w:iCs/>
          <w:lang w:val="en-GB"/>
        </w:rPr>
        <w:t>text_start_y</w:t>
      </w:r>
      <w:r>
        <w:rPr>
          <w:lang w:val="en-GB"/>
        </w:rPr>
        <w:t xml:space="preserve"> variables</w:t>
      </w:r>
      <w:r w:rsidR="001F7A8C">
        <w:rPr>
          <w:lang w:val="en-GB"/>
        </w:rPr>
        <w:t xml:space="preserve"> as you can see in Figure 4</w:t>
      </w:r>
      <w:r>
        <w:rPr>
          <w:lang w:val="en-GB"/>
        </w:rPr>
        <w:t xml:space="preserve">. The first </w:t>
      </w:r>
      <w:r w:rsidRPr="00CF10CC">
        <w:rPr>
          <w:i/>
          <w:iCs/>
          <w:lang w:val="en-GB"/>
        </w:rPr>
        <w:t>fixation_canvas.line</w:t>
      </w:r>
      <w:r>
        <w:rPr>
          <w:lang w:val="en-GB"/>
        </w:rPr>
        <w:t xml:space="preserve"> draws the horizontal line: </w:t>
      </w:r>
      <w:r w:rsidRPr="00CF10CC">
        <w:rPr>
          <w:i/>
          <w:iCs/>
          <w:lang w:val="en-GB"/>
        </w:rPr>
        <w:t>cross_x – cross_size/2</w:t>
      </w:r>
      <w:r>
        <w:rPr>
          <w:lang w:val="en-GB"/>
        </w:rPr>
        <w:t xml:space="preserve">  is the start on the x axis, </w:t>
      </w:r>
      <w:r w:rsidRPr="00CF10CC">
        <w:rPr>
          <w:i/>
          <w:iCs/>
          <w:lang w:val="en-GB"/>
        </w:rPr>
        <w:t>cross_y</w:t>
      </w:r>
      <w:r>
        <w:rPr>
          <w:lang w:val="en-GB"/>
        </w:rPr>
        <w:t xml:space="preserve"> is the start on the y axis, </w:t>
      </w:r>
      <w:r w:rsidRPr="00CF10CC">
        <w:rPr>
          <w:i/>
          <w:iCs/>
          <w:lang w:val="en-GB"/>
        </w:rPr>
        <w:t>cross_x + cross_size/2</w:t>
      </w:r>
      <w:r>
        <w:rPr>
          <w:lang w:val="en-GB"/>
        </w:rPr>
        <w:t xml:space="preserve"> is where the cross ends on the x axis and </w:t>
      </w:r>
      <w:r w:rsidRPr="00CF10CC">
        <w:rPr>
          <w:i/>
          <w:iCs/>
          <w:lang w:val="en-GB"/>
        </w:rPr>
        <w:t>cross_y</w:t>
      </w:r>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5"/>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r w:rsidRPr="00922B2A">
        <w:rPr>
          <w:i/>
          <w:iCs/>
          <w:lang w:val="en-GB"/>
        </w:rPr>
        <w:t>central_fixation</w:t>
      </w:r>
      <w:r>
        <w:rPr>
          <w:lang w:val="en-GB"/>
        </w:rPr>
        <w:t xml:space="preserve"> is set to </w:t>
      </w:r>
      <w:r w:rsidRPr="00922B2A">
        <w:rPr>
          <w:i/>
          <w:iCs/>
          <w:lang w:val="en-GB"/>
        </w:rPr>
        <w:t>False</w:t>
      </w:r>
      <w:r>
        <w:rPr>
          <w:lang w:val="en-GB"/>
        </w:rPr>
        <w:t xml:space="preserve"> in the beginning. The while loop is true as long as the </w:t>
      </w:r>
      <w:r w:rsidRPr="0086592A">
        <w:rPr>
          <w:i/>
          <w:iCs/>
          <w:lang w:val="en-GB"/>
        </w:rPr>
        <w:t>central_fixation</w:t>
      </w:r>
      <w:r>
        <w:rPr>
          <w:lang w:val="en-GB"/>
        </w:rPr>
        <w:t xml:space="preserve"> is False. In the while loop the distance between the sample of the participants gaze position and the fixation centre is calculated. If there is a fixation within a 100 pixel radius the </w:t>
      </w:r>
      <w:r w:rsidRPr="0086592A">
        <w:rPr>
          <w:i/>
          <w:iCs/>
          <w:lang w:val="en-GB"/>
        </w:rPr>
        <w:t>central_fixation</w:t>
      </w:r>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16"/>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17"/>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18"/>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19"/>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safed: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20"/>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r>
        <w:rPr>
          <w:lang w:val="en-GB"/>
        </w:rPr>
        <w:t>Spillover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21"/>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Spillover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german language, a second AOI box is positioned after the anaphor to get the spillover region. The Spillover box is the same hight and width as the anaphor AOI and is right next to it. As shown in Figure 11. </w:t>
      </w:r>
    </w:p>
    <w:p w14:paraId="0A72B60F" w14:textId="77777777" w:rsidR="00DF09F2" w:rsidRDefault="00DF09F2" w:rsidP="00DF09F2">
      <w:pPr>
        <w:keepNext/>
        <w:spacing w:line="360" w:lineRule="auto"/>
      </w:pPr>
      <w:commentRangeStart w:id="18"/>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commentRangeEnd w:id="18"/>
      <w:r w:rsidR="00FA1D19">
        <w:rPr>
          <w:rStyle w:val="Kommentarzeichen"/>
          <w:sz w:val="24"/>
          <w:szCs w:val="24"/>
        </w:rPr>
        <w:commentReference w:id="18"/>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r w:rsidRPr="002970C2">
        <w:rPr>
          <w:i/>
          <w:iCs/>
          <w:lang w:val="en-GB"/>
        </w:rPr>
        <w:t>sentence_onset</w:t>
      </w:r>
      <w:r>
        <w:rPr>
          <w:lang w:val="en-GB"/>
        </w:rPr>
        <w:t xml:space="preserve"> is logged in the inline script and after the participant pressed a key the </w:t>
      </w:r>
      <w:r w:rsidRPr="002970C2">
        <w:rPr>
          <w:i/>
          <w:iCs/>
          <w:lang w:val="en-GB"/>
        </w:rPr>
        <w:t>trial_sequence</w:t>
      </w:r>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r w:rsidRPr="002970C2">
        <w:rPr>
          <w:i/>
          <w:iCs/>
          <w:lang w:val="en-GB"/>
        </w:rPr>
        <w:t>question_sketchpad</w:t>
      </w:r>
      <w:r>
        <w:rPr>
          <w:lang w:val="en-GB"/>
        </w:rPr>
        <w:t xml:space="preserve"> “Um welches Thema ging es in der vorherigen Situation?” and a trial counter to show the participant how many trials are left in the experiment. The </w:t>
      </w:r>
      <w:r w:rsidRPr="002970C2">
        <w:rPr>
          <w:i/>
          <w:iCs/>
          <w:lang w:val="en-GB"/>
        </w:rPr>
        <w:t>question_pygaze_log</w:t>
      </w:r>
      <w:r>
        <w:rPr>
          <w:lang w:val="en-GB"/>
        </w:rPr>
        <w:t xml:space="preserve"> logges the </w:t>
      </w:r>
      <w:r w:rsidRPr="002970C2">
        <w:rPr>
          <w:i/>
          <w:iCs/>
          <w:lang w:val="en-GB"/>
        </w:rPr>
        <w:t>text_onset</w:t>
      </w:r>
      <w:r>
        <w:rPr>
          <w:lang w:val="en-GB"/>
        </w:rPr>
        <w:t xml:space="preserve"> and the sequence starts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r w:rsidRPr="002970C2">
        <w:rPr>
          <w:i/>
          <w:iCs/>
          <w:lang w:val="en-GB"/>
        </w:rPr>
        <w:t>ending_sketchpad</w:t>
      </w:r>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23"/>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[logger:67:WARNING]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9"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9"/>
    </w:p>
    <w:p w14:paraId="360DF302" w14:textId="461ED0E3" w:rsidR="00742A41" w:rsidRPr="00F620F7" w:rsidRDefault="00742A41" w:rsidP="007E273E">
      <w:pPr>
        <w:pStyle w:val="berschrift2"/>
        <w:rPr>
          <w:lang w:val="en-GB"/>
        </w:rPr>
      </w:pPr>
      <w:bookmarkStart w:id="20" w:name="_Toc235728798"/>
      <w:r w:rsidRPr="00F620F7">
        <w:rPr>
          <w:lang w:val="en-GB"/>
        </w:rPr>
        <w:t>3.1 Preprocessing</w:t>
      </w:r>
      <w:r w:rsidR="00331C2E">
        <w:rPr>
          <w:lang w:val="en-GB"/>
        </w:rPr>
        <w:t xml:space="preserve"> (Qianyue)</w:t>
      </w:r>
      <w:bookmarkEnd w:id="20"/>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21" w:name="_Toc235728799"/>
      <w:r w:rsidRPr="007E273E">
        <w:t>3.2 Expected Results</w:t>
      </w:r>
      <w:r w:rsidR="00331C2E">
        <w:t xml:space="preserve"> </w:t>
      </w:r>
      <w:r w:rsidR="00331C2E">
        <w:rPr>
          <w:lang w:val="en-GB"/>
        </w:rPr>
        <w:t>(Aylina)</w:t>
      </w:r>
      <w:bookmarkEnd w:id="21"/>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r w:rsidRPr="004F4B77">
              <w:rPr>
                <w:b/>
                <w:bCs/>
                <w:lang w:val="de-DE"/>
              </w:rPr>
              <w:t>Expected Result</w:t>
            </w:r>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395735"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Longer processing  (possible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r w:rsidRPr="004F4B77">
              <w:rPr>
                <w:lang w:val="de-DE"/>
              </w:rPr>
              <w:t>Longest processing  (gender mismatch)</w:t>
            </w:r>
          </w:p>
        </w:tc>
      </w:tr>
      <w:tr w:rsidR="00030E28" w:rsidRPr="00395735"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395735"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2"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2"/>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3"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3"/>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704F81">
      <w:pPr>
        <w:pStyle w:val="berschrift3"/>
        <w:spacing w:line="360" w:lineRule="auto"/>
        <w:rPr>
          <w:lang w:val="en-GB"/>
        </w:rPr>
      </w:pPr>
      <w:bookmarkStart w:id="24"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4"/>
    </w:p>
    <w:p w14:paraId="61FB27E5" w14:textId="72A73F0E" w:rsidR="00704F81" w:rsidRDefault="00704F81" w:rsidP="00704F81">
      <w:pPr>
        <w:spacing w:line="360" w:lineRule="auto"/>
        <w:jc w:val="both"/>
        <w:rPr>
          <w:color w:val="000000"/>
          <w:szCs w:val="22"/>
          <w:lang w:val="en-GB"/>
        </w:rPr>
      </w:pPr>
      <w:r w:rsidRPr="00704F81">
        <w:rPr>
          <w:color w:val="000000"/>
          <w:szCs w:val="22"/>
          <w:lang w:val="en-GB"/>
        </w:rPr>
        <w:t xml:space="preserve">Fixation duration is the amount of time for which a reader’s eyes remain relatively stable on a particular word or predefined area of text before making the next eye movement, usually measured in milliseconds. In normal adult reading, fixations typically last approximately 150–500 ms, with an average of about 200–250 ms (Schotter &amp; Rayner, 2014). </w:t>
      </w:r>
    </w:p>
    <w:p w14:paraId="152AEBBB" w14:textId="413C2295" w:rsidR="00704F81" w:rsidRPr="00704F81" w:rsidRDefault="00704F81" w:rsidP="00704F81">
      <w:pPr>
        <w:spacing w:line="360" w:lineRule="auto"/>
        <w:jc w:val="both"/>
        <w:rPr>
          <w:color w:val="000000"/>
          <w:szCs w:val="22"/>
          <w:lang w:val="en-GB"/>
        </w:rPr>
      </w:pPr>
      <w:r w:rsidRPr="00704F81">
        <w:rPr>
          <w:color w:val="000000"/>
          <w:szCs w:val="22"/>
          <w:lang w:val="en-GB"/>
        </w:rPr>
        <w:t>In reading research, fixation duration is used as a time-sensitive indicator of the ongoing cognitive demands associated with processing a word or text region. Longer fixation durations may indicate that the material is more difficult to identify, integrate, or interpret, whereas shorter fixations generally indicate more fluent processing. However, fixation duration is not a direct measure of a single cognitive process. It can also be influenced by factors such as word frequency, word length, predictability, visual complexity, and the reader’s prior knowledge (Raney et al., 2014).</w:t>
      </w:r>
    </w:p>
    <w:p w14:paraId="033C9D5D" w14:textId="562B9B8C"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5" w:name="_Toc235728803"/>
      <w:r>
        <w:rPr>
          <w:lang w:val="en-GB"/>
        </w:rPr>
        <w:t xml:space="preserve">3.4.2 </w:t>
      </w:r>
      <w:r w:rsidR="004F4B77">
        <w:rPr>
          <w:lang w:val="en-GB"/>
        </w:rPr>
        <w:t>Regression Probabilities</w:t>
      </w:r>
      <w:r w:rsidR="00331C2E">
        <w:rPr>
          <w:lang w:val="en-GB"/>
        </w:rPr>
        <w:t xml:space="preserve"> (Aylina &amp; Qianyue)</w:t>
      </w:r>
      <w:bookmarkEnd w:id="25"/>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704F81">
      <w:pPr>
        <w:pStyle w:val="berschrift3"/>
        <w:spacing w:line="360" w:lineRule="auto"/>
        <w:rPr>
          <w:lang w:val="en-GB"/>
        </w:rPr>
      </w:pPr>
      <w:bookmarkStart w:id="26" w:name="_Toc235728804"/>
      <w:r>
        <w:rPr>
          <w:lang w:val="en-GB"/>
        </w:rPr>
        <w:t xml:space="preserve">3.4.3 </w:t>
      </w:r>
      <w:r w:rsidR="004F4B77">
        <w:rPr>
          <w:lang w:val="en-GB"/>
        </w:rPr>
        <w:t>Go-past Time</w:t>
      </w:r>
      <w:r w:rsidR="00331C2E">
        <w:rPr>
          <w:lang w:val="en-GB"/>
        </w:rPr>
        <w:t xml:space="preserve"> (Aylina &amp; Qianyue)</w:t>
      </w:r>
      <w:bookmarkEnd w:id="26"/>
    </w:p>
    <w:p w14:paraId="1AE1A6BA" w14:textId="56E4E3E2" w:rsidR="00704F81" w:rsidRPr="00704F81" w:rsidRDefault="00704F81" w:rsidP="00704F81">
      <w:pPr>
        <w:spacing w:line="360" w:lineRule="auto"/>
        <w:jc w:val="both"/>
        <w:rPr>
          <w:lang w:val="en-GB"/>
        </w:rPr>
      </w:pPr>
      <w:r w:rsidRPr="00704F81">
        <w:rPr>
          <w:lang w:val="en-GB"/>
        </w:rPr>
        <w:t>Go-past time is the total time from the reader’s first fixation on a word or predefined text region until the eyes move past that region in the normal reading direction. It includes the sum of all fixations made on the target region and all regressions to the left of it (Mézière et al., 2021).</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7" w:name="_Toc235728805"/>
      <w:r>
        <w:rPr>
          <w:lang w:val="en-GB"/>
        </w:rPr>
        <w:lastRenderedPageBreak/>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7"/>
    </w:p>
    <w:p w14:paraId="71867C2A" w14:textId="77777777" w:rsidR="00950957" w:rsidRPr="00950957" w:rsidRDefault="00950957" w:rsidP="00950957">
      <w:pPr>
        <w:pStyle w:val="berschrift3"/>
        <w:spacing w:before="240" w:after="240" w:line="360" w:lineRule="auto"/>
        <w:rPr>
          <w:rFonts w:ascii="Times New Roman" w:eastAsia="Times New Roman" w:hAnsi="Times New Roman" w:cs="Times New Roman"/>
          <w:sz w:val="24"/>
          <w:szCs w:val="24"/>
          <w:lang w:val="de-DE"/>
        </w:rPr>
      </w:pPr>
      <w:r w:rsidRPr="00950957">
        <w:rPr>
          <w:rFonts w:cs="Arial"/>
          <w:b w:val="0"/>
          <w:bCs/>
          <w:color w:val="000000"/>
          <w:sz w:val="24"/>
          <w:szCs w:val="24"/>
          <w:lang w:val="en-GB"/>
        </w:rPr>
        <w:t xml:space="preserve">The post-experiment questionnaire asked participants what they believed the experiment was about. </w:t>
      </w:r>
      <w:r w:rsidRPr="00950957">
        <w:rPr>
          <w:rFonts w:cs="Arial"/>
          <w:b w:val="0"/>
          <w:bCs/>
          <w:color w:val="000000"/>
          <w:sz w:val="24"/>
          <w:szCs w:val="24"/>
        </w:rPr>
        <w:t>The responses can be divided into three broad groups:</w:t>
      </w:r>
    </w:p>
    <w:p w14:paraId="4F564540" w14:textId="77777777" w:rsidR="00950957" w:rsidRPr="00950957" w:rsidRDefault="00950957" w:rsidP="00950957">
      <w:pPr>
        <w:pStyle w:val="berschrift3"/>
        <w:keepNext w:val="0"/>
        <w:keepLines w:val="0"/>
        <w:numPr>
          <w:ilvl w:val="0"/>
          <w:numId w:val="30"/>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lang w:val="en-GB"/>
        </w:rPr>
        <w:t>Participants who explicitly recognized the focus on gender-inclusive language.</w:t>
      </w:r>
      <w:r w:rsidRPr="00950957">
        <w:rPr>
          <w:rFonts w:cs="Arial"/>
          <w:b w:val="0"/>
          <w:bCs/>
          <w:color w:val="000000"/>
          <w:sz w:val="24"/>
          <w:szCs w:val="24"/>
          <w:lang w:val="en-GB"/>
        </w:rPr>
        <w:br/>
      </w:r>
      <w:r w:rsidRPr="00950957">
        <w:rPr>
          <w:rFonts w:cs="Arial"/>
          <w:b w:val="0"/>
          <w:bCs/>
          <w:color w:val="000000"/>
          <w:sz w:val="24"/>
          <w:szCs w:val="24"/>
        </w:rPr>
        <w:t>Several participants answered “gendern,” “Gender-Sprache,” or “Gendern von Personengruppen.”</w:t>
      </w:r>
    </w:p>
    <w:p w14:paraId="3BAB9AF7" w14:textId="77777777" w:rsidR="00950957" w:rsidRPr="00950957" w:rsidRDefault="00950957" w:rsidP="00950957">
      <w:pPr>
        <w:pStyle w:val="berschrift3"/>
        <w:keepNext w:val="0"/>
        <w:keepLines w:val="0"/>
        <w:numPr>
          <w:ilvl w:val="0"/>
          <w:numId w:val="30"/>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Participants who recognized the language-processing or reading component but not necessarily the gender focus.</w:t>
      </w:r>
      <w:r w:rsidRPr="00950957">
        <w:rPr>
          <w:rFonts w:cs="Arial"/>
          <w:b w:val="0"/>
          <w:bCs/>
          <w:color w:val="000000"/>
          <w:sz w:val="24"/>
          <w:szCs w:val="24"/>
          <w:lang w:val="en-GB"/>
        </w:rPr>
        <w:br/>
        <w:t>These participants mentioned eye movements, keywords, sentence structure, reading time, or which parts of the text were read more carefully.</w:t>
      </w:r>
    </w:p>
    <w:p w14:paraId="4164D317" w14:textId="77777777" w:rsidR="00950957" w:rsidRPr="00950957" w:rsidRDefault="00950957" w:rsidP="00950957">
      <w:pPr>
        <w:pStyle w:val="berschrift3"/>
        <w:keepNext w:val="0"/>
        <w:keepLines w:val="0"/>
        <w:numPr>
          <w:ilvl w:val="0"/>
          <w:numId w:val="30"/>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Participants who described the experiment primarily as a study of political or social topics.</w:t>
      </w:r>
      <w:r w:rsidRPr="00950957">
        <w:rPr>
          <w:rFonts w:cs="Arial"/>
          <w:b w:val="0"/>
          <w:bCs/>
          <w:color w:val="000000"/>
          <w:sz w:val="24"/>
          <w:szCs w:val="24"/>
          <w:lang w:val="en-GB"/>
        </w:rPr>
        <w:br/>
        <w:t>One participant referred to “allgemeine politische Themen,” while others focused on the content of the scenarios rather than on the linguistic manipulation.</w:t>
      </w:r>
    </w:p>
    <w:p w14:paraId="0486630F" w14:textId="4BE81AF4" w:rsidR="00950957" w:rsidRPr="00950957" w:rsidRDefault="00950957" w:rsidP="00950957">
      <w:pPr>
        <w:pStyle w:val="berschrift3"/>
        <w:spacing w:before="240" w:after="240" w:line="360" w:lineRule="auto"/>
        <w:rPr>
          <w:rFonts w:ascii="Times New Roman" w:hAnsi="Times New Roman" w:cs="Times New Roman"/>
          <w:color w:val="auto"/>
          <w:sz w:val="24"/>
          <w:szCs w:val="24"/>
          <w:lang w:val="en-GB"/>
        </w:rPr>
      </w:pPr>
      <w:r w:rsidRPr="00950957">
        <w:rPr>
          <w:rFonts w:cs="Arial"/>
          <w:b w:val="0"/>
          <w:bCs/>
          <w:color w:val="000000"/>
          <w:sz w:val="24"/>
          <w:szCs w:val="24"/>
          <w:lang w:val="en-GB"/>
        </w:rPr>
        <w:t>This variation is important. It suggests that not all participants became equally aware of the experimental purpose. Participants who explicitly identified gender-inclusive language may have noticed the manipulation and could have processed later items more consciously. Therefore, awareness should be considered either as an exclusion criterion, a control variable, or a variable for a separate exploratory analysis.</w:t>
      </w:r>
    </w:p>
    <w:p w14:paraId="225EF210" w14:textId="550232FB" w:rsidR="00950957" w:rsidRPr="00950957" w:rsidRDefault="00950957" w:rsidP="00950957">
      <w:pPr>
        <w:rPr>
          <w:b/>
          <w:lang w:val="en-GB"/>
        </w:rPr>
      </w:pPr>
      <w:r w:rsidRPr="00950957">
        <w:rPr>
          <w:b/>
          <w:lang w:val="en-GB"/>
        </w:rPr>
        <w:t>Use of gender-inclusive language</w:t>
      </w:r>
    </w:p>
    <w:p w14:paraId="67A812FB" w14:textId="0E44E809"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Participants rated how frequently they used gender-inclusive language in spoken and written communication on a scale from 1 to 5.</w:t>
      </w:r>
    </w:p>
    <w:p w14:paraId="35ED0D3D" w14:textId="77777777" w:rsidR="00950957" w:rsidRPr="00950957" w:rsidRDefault="00950957" w:rsidP="00950957">
      <w:pPr>
        <w:pStyle w:val="berschrift3"/>
        <w:spacing w:before="240" w:after="240" w:line="360" w:lineRule="auto"/>
        <w:rPr>
          <w:sz w:val="24"/>
          <w:szCs w:val="24"/>
        </w:rPr>
      </w:pPr>
      <w:r w:rsidRPr="00950957">
        <w:rPr>
          <w:rFonts w:cs="Arial"/>
          <w:b w:val="0"/>
          <w:bCs/>
          <w:color w:val="000000"/>
          <w:sz w:val="24"/>
          <w:szCs w:val="24"/>
        </w:rPr>
        <w:t>Based on the responses:</w:t>
      </w:r>
    </w:p>
    <w:p w14:paraId="62219FC5" w14:textId="77777777" w:rsidR="00950957" w:rsidRPr="00950957" w:rsidRDefault="00950957" w:rsidP="00950957">
      <w:pPr>
        <w:pStyle w:val="berschrift3"/>
        <w:keepNext w:val="0"/>
        <w:keepLines w:val="0"/>
        <w:numPr>
          <w:ilvl w:val="0"/>
          <w:numId w:val="28"/>
        </w:numPr>
        <w:tabs>
          <w:tab w:val="clear" w:pos="2126"/>
        </w:tabs>
        <w:spacing w:before="240" w:after="0" w:line="360" w:lineRule="auto"/>
        <w:textAlignment w:val="baseline"/>
        <w:rPr>
          <w:rFonts w:cs="Arial"/>
          <w:color w:val="000000"/>
          <w:sz w:val="24"/>
          <w:szCs w:val="24"/>
          <w:lang w:val="en-GB"/>
        </w:rPr>
      </w:pPr>
      <w:r w:rsidRPr="00950957">
        <w:rPr>
          <w:rFonts w:cs="Arial"/>
          <w:b w:val="0"/>
          <w:bCs/>
          <w:color w:val="000000"/>
          <w:sz w:val="24"/>
          <w:szCs w:val="24"/>
          <w:lang w:val="en-GB"/>
        </w:rPr>
        <w:t>spoken use ranged from 1 to 4;</w:t>
      </w:r>
    </w:p>
    <w:p w14:paraId="3EFB34C3" w14:textId="77777777" w:rsidR="00950957" w:rsidRPr="00950957" w:rsidRDefault="00950957" w:rsidP="00950957">
      <w:pPr>
        <w:pStyle w:val="berschrift3"/>
        <w:keepNext w:val="0"/>
        <w:keepLines w:val="0"/>
        <w:numPr>
          <w:ilvl w:val="0"/>
          <w:numId w:val="28"/>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written use ranged from 1 to 5;</w:t>
      </w:r>
    </w:p>
    <w:p w14:paraId="462401C5" w14:textId="77777777" w:rsidR="00950957" w:rsidRPr="00950957" w:rsidRDefault="00950957" w:rsidP="00950957">
      <w:pPr>
        <w:pStyle w:val="berschrift3"/>
        <w:keepNext w:val="0"/>
        <w:keepLines w:val="0"/>
        <w:numPr>
          <w:ilvl w:val="0"/>
          <w:numId w:val="28"/>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written use tended to be slightly higher than spoken use.</w:t>
      </w:r>
    </w:p>
    <w:p w14:paraId="6E64AFB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The average self-reported use/noticing was approximately:</w:t>
      </w:r>
    </w:p>
    <w:p w14:paraId="27B6E950" w14:textId="77777777" w:rsidR="00950957" w:rsidRPr="00950957" w:rsidRDefault="00950957" w:rsidP="00950957">
      <w:pPr>
        <w:spacing w:line="360" w:lineRule="auto"/>
        <w:rPr>
          <w:lang w:val="en-GB"/>
        </w:rPr>
      </w:pPr>
    </w:p>
    <w:tbl>
      <w:tblPr>
        <w:tblW w:w="9026" w:type="dxa"/>
        <w:tblCellMar>
          <w:top w:w="15" w:type="dxa"/>
          <w:left w:w="15" w:type="dxa"/>
          <w:bottom w:w="15" w:type="dxa"/>
          <w:right w:w="15" w:type="dxa"/>
        </w:tblCellMar>
        <w:tblLook w:val="04A0" w:firstRow="1" w:lastRow="0" w:firstColumn="1" w:lastColumn="0" w:noHBand="0" w:noVBand="1"/>
      </w:tblPr>
      <w:tblGrid>
        <w:gridCol w:w="7800"/>
        <w:gridCol w:w="1226"/>
      </w:tblGrid>
      <w:tr w:rsidR="00950957" w:rsidRPr="00950957" w14:paraId="57783422"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15B16" w14:textId="77777777" w:rsidR="00950957" w:rsidRPr="00950957" w:rsidRDefault="00950957" w:rsidP="00950957">
            <w:pPr>
              <w:pStyle w:val="StandardWeb"/>
              <w:spacing w:after="0" w:line="360" w:lineRule="auto"/>
            </w:pPr>
            <w:r w:rsidRPr="00950957">
              <w:rPr>
                <w:rFonts w:ascii="Arial" w:hAnsi="Arial" w:cs="Arial"/>
                <w:color w:val="000000"/>
              </w:rPr>
              <w:lastRenderedPageBreak/>
              <w:t>Measure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0173C" w14:textId="77777777" w:rsidR="00950957" w:rsidRPr="00950957" w:rsidRDefault="00950957" w:rsidP="00950957">
            <w:pPr>
              <w:pStyle w:val="StandardWeb"/>
              <w:spacing w:after="0" w:line="360" w:lineRule="auto"/>
            </w:pPr>
            <w:r w:rsidRPr="00950957">
              <w:rPr>
                <w:rFonts w:ascii="Arial" w:hAnsi="Arial" w:cs="Arial"/>
                <w:color w:val="000000"/>
              </w:rPr>
              <w:t>Mean</w:t>
            </w:r>
          </w:p>
        </w:tc>
      </w:tr>
      <w:tr w:rsidR="00950957" w:rsidRPr="00950957" w14:paraId="1564D4D8"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4E64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3EBAB" w14:textId="77777777" w:rsidR="00950957" w:rsidRPr="00950957" w:rsidRDefault="00950957" w:rsidP="00950957">
            <w:pPr>
              <w:pStyle w:val="StandardWeb"/>
              <w:spacing w:after="0" w:line="360" w:lineRule="auto"/>
              <w:jc w:val="center"/>
            </w:pPr>
            <w:r w:rsidRPr="00950957">
              <w:rPr>
                <w:rFonts w:ascii="Arial" w:hAnsi="Arial" w:cs="Arial"/>
                <w:color w:val="000000"/>
              </w:rPr>
              <w:t>2.43</w:t>
            </w:r>
          </w:p>
        </w:tc>
      </w:tr>
      <w:tr w:rsidR="00950957" w:rsidRPr="00950957" w14:paraId="30026D41"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0E27"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9C40A" w14:textId="77777777" w:rsidR="00950957" w:rsidRPr="00950957" w:rsidRDefault="00950957" w:rsidP="00950957">
            <w:pPr>
              <w:pStyle w:val="StandardWeb"/>
              <w:spacing w:after="0" w:line="360" w:lineRule="auto"/>
              <w:jc w:val="center"/>
            </w:pPr>
            <w:r w:rsidRPr="00950957">
              <w:rPr>
                <w:rFonts w:ascii="Arial" w:hAnsi="Arial" w:cs="Arial"/>
                <w:color w:val="000000"/>
              </w:rPr>
              <w:t>3.00</w:t>
            </w:r>
          </w:p>
        </w:tc>
      </w:tr>
      <w:tr w:rsidR="00950957" w:rsidRPr="00950957" w14:paraId="014CCFC7"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6243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18E5" w14:textId="77777777" w:rsidR="00950957" w:rsidRPr="00950957" w:rsidRDefault="00950957" w:rsidP="00950957">
            <w:pPr>
              <w:pStyle w:val="StandardWeb"/>
              <w:spacing w:after="0" w:line="360" w:lineRule="auto"/>
              <w:jc w:val="center"/>
            </w:pPr>
            <w:r w:rsidRPr="00950957">
              <w:rPr>
                <w:rFonts w:ascii="Arial" w:hAnsi="Arial" w:cs="Arial"/>
                <w:color w:val="000000"/>
              </w:rPr>
              <w:t>3.29</w:t>
            </w:r>
          </w:p>
        </w:tc>
      </w:tr>
      <w:tr w:rsidR="00950957" w:rsidRPr="00950957" w14:paraId="1E077230"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BCD0"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76841" w14:textId="77777777" w:rsidR="00950957" w:rsidRPr="00950957" w:rsidRDefault="00950957" w:rsidP="00B812A3">
            <w:pPr>
              <w:pStyle w:val="StandardWeb"/>
              <w:keepNext/>
              <w:spacing w:after="0" w:line="360" w:lineRule="auto"/>
              <w:jc w:val="center"/>
            </w:pPr>
            <w:r w:rsidRPr="00950957">
              <w:rPr>
                <w:rFonts w:ascii="Arial" w:hAnsi="Arial" w:cs="Arial"/>
                <w:color w:val="000000"/>
              </w:rPr>
              <w:t>3.57</w:t>
            </w:r>
          </w:p>
        </w:tc>
      </w:tr>
    </w:tbl>
    <w:p w14:paraId="1EB4568F" w14:textId="784E5F4D" w:rsidR="00950957" w:rsidRPr="00B812A3" w:rsidRDefault="00B812A3" w:rsidP="00B812A3">
      <w:pPr>
        <w:pStyle w:val="Beschriftung"/>
        <w:rPr>
          <w:lang w:val="en-GB"/>
        </w:rPr>
      </w:pPr>
      <w:r w:rsidRPr="00B812A3">
        <w:rPr>
          <w:lang w:val="en-GB"/>
        </w:rPr>
        <w:t xml:space="preserve">Table </w:t>
      </w:r>
      <w:r>
        <w:fldChar w:fldCharType="begin"/>
      </w:r>
      <w:r w:rsidRPr="00B812A3">
        <w:rPr>
          <w:lang w:val="en-GB"/>
        </w:rPr>
        <w:instrText xml:space="preserve"> SEQ Table \* ARABIC </w:instrText>
      </w:r>
      <w:r>
        <w:fldChar w:fldCharType="separate"/>
      </w:r>
      <w:r w:rsidRPr="00B812A3">
        <w:rPr>
          <w:noProof/>
          <w:lang w:val="en-GB"/>
        </w:rPr>
        <w:t>1</w:t>
      </w:r>
      <w:r>
        <w:fldChar w:fldCharType="end"/>
      </w:r>
      <w:r w:rsidRPr="00B812A3">
        <w:rPr>
          <w:lang w:val="en-GB"/>
        </w:rPr>
        <w:t xml:space="preserve"> average self-reported use and noticing of gender-inclusive language</w:t>
      </w:r>
    </w:p>
    <w:p w14:paraId="07696B7E"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Participants therefore reported noticing gender-inclusive language more often than they reported using it. This difference is especially visible in writing, where awareness was relatively high even among participants who reported limited personal use. </w:t>
      </w:r>
    </w:p>
    <w:p w14:paraId="359D8888" w14:textId="736F0CDC" w:rsidR="00950957" w:rsidRPr="00950957" w:rsidRDefault="00950957" w:rsidP="00950957">
      <w:pPr>
        <w:pStyle w:val="berschrift3"/>
        <w:spacing w:before="240" w:after="240" w:line="360" w:lineRule="auto"/>
        <w:rPr>
          <w:rFonts w:cs="Arial"/>
          <w:bCs/>
          <w:color w:val="000000"/>
          <w:sz w:val="24"/>
          <w:szCs w:val="24"/>
          <w:lang w:val="en-GB"/>
        </w:rPr>
      </w:pPr>
      <w:r w:rsidRPr="00950957">
        <w:rPr>
          <w:rFonts w:cs="Arial"/>
          <w:bCs/>
          <w:color w:val="000000"/>
          <w:sz w:val="24"/>
          <w:szCs w:val="24"/>
          <w:lang w:val="en-GB"/>
        </w:rPr>
        <w:t>Attitudes towards gender-inclusive language</w:t>
      </w:r>
    </w:p>
    <w:p w14:paraId="209F8ADB" w14:textId="799A7593"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The open-ended responses were predominantly neutral to positive. Most participants stated that gender-inclusive language was:</w:t>
      </w:r>
    </w:p>
    <w:p w14:paraId="239EB187" w14:textId="77777777" w:rsidR="00950957" w:rsidRPr="00950957" w:rsidRDefault="00950957" w:rsidP="00950957">
      <w:pPr>
        <w:pStyle w:val="berschrift3"/>
        <w:keepNext w:val="0"/>
        <w:keepLines w:val="0"/>
        <w:numPr>
          <w:ilvl w:val="0"/>
          <w:numId w:val="29"/>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rPr>
        <w:t>“gut”;</w:t>
      </w:r>
    </w:p>
    <w:p w14:paraId="1A0D43D7"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“positiv”;</w:t>
      </w:r>
    </w:p>
    <w:p w14:paraId="09F040A3"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“wichtig und richtig”;</w:t>
      </w:r>
    </w:p>
    <w:p w14:paraId="60EC6329"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acceptable if it does not interfere with the flow of speech;</w:t>
      </w:r>
    </w:p>
    <w:p w14:paraId="67A513B4" w14:textId="77777777" w:rsidR="00950957" w:rsidRPr="00950957" w:rsidRDefault="00950957" w:rsidP="00950957">
      <w:pPr>
        <w:pStyle w:val="berschrift3"/>
        <w:keepNext w:val="0"/>
        <w:keepLines w:val="0"/>
        <w:numPr>
          <w:ilvl w:val="0"/>
          <w:numId w:val="29"/>
        </w:numPr>
        <w:tabs>
          <w:tab w:val="clear" w:pos="2126"/>
        </w:tabs>
        <w:spacing w:before="0" w:after="240" w:line="360" w:lineRule="auto"/>
        <w:textAlignment w:val="baseline"/>
        <w:rPr>
          <w:rFonts w:cs="Arial"/>
          <w:color w:val="000000"/>
          <w:sz w:val="24"/>
          <w:szCs w:val="24"/>
        </w:rPr>
      </w:pPr>
      <w:r w:rsidRPr="00950957">
        <w:rPr>
          <w:rFonts w:cs="Arial"/>
          <w:b w:val="0"/>
          <w:bCs/>
          <w:color w:val="000000"/>
          <w:sz w:val="24"/>
          <w:szCs w:val="24"/>
        </w:rPr>
        <w:t>something that “man machen kann.”</w:t>
      </w:r>
    </w:p>
    <w:p w14:paraId="2029A0CE" w14:textId="076A8317" w:rsidR="004F4B77" w:rsidRDefault="008E3125" w:rsidP="00950957">
      <w:pPr>
        <w:spacing w:line="360" w:lineRule="auto"/>
        <w:rPr>
          <w:lang w:val="en-GB"/>
        </w:rPr>
      </w:pPr>
      <w:r w:rsidRPr="008E3125">
        <w:rPr>
          <w:noProof/>
          <w:lang w:val="en-GB"/>
        </w:rPr>
        <w:drawing>
          <wp:inline distT="0" distB="0" distL="0" distR="0" wp14:anchorId="1C33C3A7" wp14:editId="2210DA8E">
            <wp:extent cx="5760720" cy="3154045"/>
            <wp:effectExtent l="0" t="0" r="0" b="8255"/>
            <wp:docPr id="20727749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970" name=""/>
                    <pic:cNvPicPr/>
                  </pic:nvPicPr>
                  <pic:blipFill>
                    <a:blip r:embed="rId28"/>
                    <a:stretch>
                      <a:fillRect/>
                    </a:stretch>
                  </pic:blipFill>
                  <pic:spPr>
                    <a:xfrm>
                      <a:off x="0" y="0"/>
                      <a:ext cx="5760720" cy="3154045"/>
                    </a:xfrm>
                    <a:prstGeom prst="rect">
                      <a:avLst/>
                    </a:prstGeom>
                  </pic:spPr>
                </pic:pic>
              </a:graphicData>
            </a:graphic>
          </wp:inline>
        </w:drawing>
      </w:r>
    </w:p>
    <w:p w14:paraId="5AD32E15" w14:textId="24E4F258" w:rsidR="008E3125" w:rsidRDefault="008E3125" w:rsidP="00950957">
      <w:pPr>
        <w:spacing w:line="360" w:lineRule="auto"/>
        <w:rPr>
          <w:lang w:val="en-GB"/>
        </w:rPr>
      </w:pPr>
      <w:r w:rsidRPr="008E3125">
        <w:rPr>
          <w:noProof/>
          <w:lang w:val="en-GB"/>
        </w:rPr>
        <w:lastRenderedPageBreak/>
        <w:drawing>
          <wp:inline distT="0" distB="0" distL="0" distR="0" wp14:anchorId="7E31DEF9" wp14:editId="0751C765">
            <wp:extent cx="5760720" cy="3154045"/>
            <wp:effectExtent l="0" t="0" r="0" b="8255"/>
            <wp:docPr id="3728291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29159" name=""/>
                    <pic:cNvPicPr/>
                  </pic:nvPicPr>
                  <pic:blipFill>
                    <a:blip r:embed="rId29"/>
                    <a:stretch>
                      <a:fillRect/>
                    </a:stretch>
                  </pic:blipFill>
                  <pic:spPr>
                    <a:xfrm>
                      <a:off x="0" y="0"/>
                      <a:ext cx="5760720" cy="3154045"/>
                    </a:xfrm>
                    <a:prstGeom prst="rect">
                      <a:avLst/>
                    </a:prstGeom>
                  </pic:spPr>
                </pic:pic>
              </a:graphicData>
            </a:graphic>
          </wp:inline>
        </w:drawing>
      </w:r>
    </w:p>
    <w:p w14:paraId="3058E62C" w14:textId="3A3D23AC" w:rsidR="008E3125" w:rsidRDefault="008E3125" w:rsidP="00950957">
      <w:pPr>
        <w:spacing w:line="360" w:lineRule="auto"/>
        <w:rPr>
          <w:lang w:val="en-GB"/>
        </w:rPr>
      </w:pPr>
      <w:r w:rsidRPr="008E3125">
        <w:rPr>
          <w:noProof/>
          <w:lang w:val="en-GB"/>
        </w:rPr>
        <w:drawing>
          <wp:inline distT="0" distB="0" distL="0" distR="0" wp14:anchorId="568E5F0A" wp14:editId="15D2AC5C">
            <wp:extent cx="5760720" cy="4076065"/>
            <wp:effectExtent l="0" t="0" r="0" b="635"/>
            <wp:docPr id="6685982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98219" name=""/>
                    <pic:cNvPicPr/>
                  </pic:nvPicPr>
                  <pic:blipFill>
                    <a:blip r:embed="rId30"/>
                    <a:stretch>
                      <a:fillRect/>
                    </a:stretch>
                  </pic:blipFill>
                  <pic:spPr>
                    <a:xfrm>
                      <a:off x="0" y="0"/>
                      <a:ext cx="5760720" cy="4076065"/>
                    </a:xfrm>
                    <a:prstGeom prst="rect">
                      <a:avLst/>
                    </a:prstGeom>
                  </pic:spPr>
                </pic:pic>
              </a:graphicData>
            </a:graphic>
          </wp:inline>
        </w:drawing>
      </w:r>
    </w:p>
    <w:p w14:paraId="64EB5B13" w14:textId="0182C89F" w:rsidR="008E3125" w:rsidRDefault="008E3125" w:rsidP="00950957">
      <w:pPr>
        <w:spacing w:line="360" w:lineRule="auto"/>
        <w:rPr>
          <w:lang w:val="en-GB"/>
        </w:rPr>
      </w:pPr>
      <w:r w:rsidRPr="008E3125">
        <w:rPr>
          <w:noProof/>
          <w:lang w:val="en-GB"/>
        </w:rPr>
        <w:lastRenderedPageBreak/>
        <w:drawing>
          <wp:inline distT="0" distB="0" distL="0" distR="0" wp14:anchorId="1157316A" wp14:editId="40EDF305">
            <wp:extent cx="5760720" cy="3154045"/>
            <wp:effectExtent l="0" t="0" r="0" b="8255"/>
            <wp:docPr id="17774907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90777" name=""/>
                    <pic:cNvPicPr/>
                  </pic:nvPicPr>
                  <pic:blipFill>
                    <a:blip r:embed="rId31"/>
                    <a:stretch>
                      <a:fillRect/>
                    </a:stretch>
                  </pic:blipFill>
                  <pic:spPr>
                    <a:xfrm>
                      <a:off x="0" y="0"/>
                      <a:ext cx="5760720" cy="3154045"/>
                    </a:xfrm>
                    <a:prstGeom prst="rect">
                      <a:avLst/>
                    </a:prstGeom>
                  </pic:spPr>
                </pic:pic>
              </a:graphicData>
            </a:graphic>
          </wp:inline>
        </w:drawing>
      </w:r>
    </w:p>
    <w:p w14:paraId="663B7365" w14:textId="1A9871A3" w:rsidR="008E3125" w:rsidRPr="004F4B77" w:rsidRDefault="008E3125" w:rsidP="00950957">
      <w:pPr>
        <w:spacing w:line="360" w:lineRule="auto"/>
        <w:rPr>
          <w:lang w:val="en-GB"/>
        </w:rPr>
      </w:pPr>
      <w:r w:rsidRPr="008E3125">
        <w:rPr>
          <w:noProof/>
          <w:lang w:val="en-GB"/>
        </w:rPr>
        <w:drawing>
          <wp:inline distT="0" distB="0" distL="0" distR="0" wp14:anchorId="654C39C1" wp14:editId="1E0E68CF">
            <wp:extent cx="5760720" cy="3556635"/>
            <wp:effectExtent l="0" t="0" r="0" b="5715"/>
            <wp:docPr id="20902116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11675" name=""/>
                    <pic:cNvPicPr/>
                  </pic:nvPicPr>
                  <pic:blipFill>
                    <a:blip r:embed="rId32"/>
                    <a:stretch>
                      <a:fillRect/>
                    </a:stretch>
                  </pic:blipFill>
                  <pic:spPr>
                    <a:xfrm>
                      <a:off x="0" y="0"/>
                      <a:ext cx="5760720" cy="3556635"/>
                    </a:xfrm>
                    <a:prstGeom prst="rect">
                      <a:avLst/>
                    </a:prstGeom>
                  </pic:spPr>
                </pic:pic>
              </a:graphicData>
            </a:graphic>
          </wp:inline>
        </w:drawing>
      </w:r>
    </w:p>
    <w:p w14:paraId="7BE38923" w14:textId="7BB63590" w:rsidR="00742A41" w:rsidRDefault="00742A41" w:rsidP="00092581">
      <w:pPr>
        <w:pStyle w:val="berschrift1"/>
        <w:rPr>
          <w:lang w:val="en-GB"/>
        </w:rPr>
      </w:pPr>
      <w:bookmarkStart w:id="28" w:name="_Toc235728806"/>
      <w:r w:rsidRPr="00742A41">
        <w:rPr>
          <w:lang w:val="en-GB"/>
        </w:rPr>
        <w:t>4. Results</w:t>
      </w:r>
      <w:bookmarkEnd w:id="28"/>
    </w:p>
    <w:p w14:paraId="460982E1" w14:textId="77777777" w:rsidR="00E6414A" w:rsidRPr="0028326B" w:rsidRDefault="00E6414A" w:rsidP="00E6414A">
      <w:pPr>
        <w:spacing w:line="360" w:lineRule="auto"/>
        <w:jc w:val="both"/>
        <w:rPr>
          <w:lang w:val="en-GB"/>
        </w:rPr>
      </w:pPr>
      <w:r w:rsidRPr="0028326B">
        <w:rPr>
          <w:lang w:val="en-GB"/>
        </w:rPr>
        <w:t xml:space="preserve">The analysis revealed that there was no statistically significant (p&lt;0.05) differences between different conditions for most of the measures except the following. </w:t>
      </w:r>
      <w:r w:rsidRPr="0028326B">
        <w:rPr>
          <w:lang w:val="en-GB"/>
        </w:rPr>
        <w:br/>
        <w:t xml:space="preserve">The first-pass duration in the AN for the masculine role noun paired with the male anaphor (C1) showed significantly shorter reading time than the masculine role noun paired with the female anaphor (C2). That indicates that participants had more </w:t>
      </w:r>
      <w:r w:rsidRPr="0028326B">
        <w:rPr>
          <w:lang w:val="en-GB"/>
        </w:rPr>
        <w:lastRenderedPageBreak/>
        <w:t xml:space="preserve">problems processing the female anaphor with the male role noun than with the male anaphor. This finding was predicted in this report due to the gender mismatch we created with the condition C2 our first Hypothesis that the masculine form would produce the strongest male bias, reflected in increased processing difficulty when the subsequent sentence refers to women. </w:t>
      </w:r>
    </w:p>
    <w:p w14:paraId="75EEBE3D" w14:textId="77777777" w:rsidR="00E6414A" w:rsidRPr="0028326B" w:rsidRDefault="00E6414A" w:rsidP="00E6414A">
      <w:pPr>
        <w:spacing w:line="360" w:lineRule="auto"/>
        <w:jc w:val="both"/>
        <w:rPr>
          <w:lang w:val="en-GB"/>
        </w:rPr>
      </w:pPr>
      <w:r w:rsidRPr="0028326B">
        <w:rPr>
          <w:lang w:val="en-GB"/>
        </w:rPr>
        <w:t>In the go-past duration a significant difference was found in the AN condition with the star form. There the star form with the male anaphor (C5) showing a significantly longer reading time than the star form with the female anaphor (C6). What was also shown in the star form conditions was the total fixation duration in the RN AOI. There the star form with the male anaphor (C5) got significantly longer fixation durations than the star form with the female anaphor (C6). These findings indicate that the participants had longer processing times with the star form and a male anaphor (C5) and an easier time reading the star form with a female anaphor (C6). Which could indicate a female bias for the star form.</w:t>
      </w:r>
    </w:p>
    <w:p w14:paraId="63051575" w14:textId="77777777" w:rsidR="00E6414A" w:rsidRPr="0028326B" w:rsidRDefault="00E6414A" w:rsidP="00E6414A">
      <w:pPr>
        <w:spacing w:line="360" w:lineRule="auto"/>
        <w:jc w:val="both"/>
        <w:rPr>
          <w:lang w:val="en-GB"/>
        </w:rPr>
      </w:pPr>
      <w:r w:rsidRPr="0028326B">
        <w:rPr>
          <w:lang w:val="en-GB"/>
        </w:rPr>
        <w:t>There was also a trend that wasn’t statistically significant with the feminine role noun paired with the male anaphor compared to the female anaphor with slightly more differences with the male anaphor (C3) than with the female anaphor (C4). Which previous research also supported.</w:t>
      </w:r>
    </w:p>
    <w:p w14:paraId="5515078A" w14:textId="77777777" w:rsidR="00E6414A" w:rsidRPr="0028326B" w:rsidRDefault="00E6414A" w:rsidP="00E6414A">
      <w:pPr>
        <w:spacing w:line="360" w:lineRule="auto"/>
        <w:jc w:val="both"/>
        <w:rPr>
          <w:lang w:val="en-GB"/>
        </w:rPr>
      </w:pPr>
      <w:r w:rsidRPr="0028326B">
        <w:rPr>
          <w:lang w:val="en-GB"/>
        </w:rPr>
        <w:t>Hypothesis Testing</w:t>
      </w:r>
    </w:p>
    <w:p w14:paraId="22CF1167" w14:textId="77777777" w:rsidR="00E6414A" w:rsidRPr="0028326B" w:rsidRDefault="00E6414A" w:rsidP="00E6414A">
      <w:pPr>
        <w:spacing w:line="360" w:lineRule="auto"/>
        <w:jc w:val="both"/>
        <w:rPr>
          <w:lang w:val="en-GB"/>
        </w:rPr>
      </w:pPr>
      <w:r w:rsidRPr="0028326B">
        <w:rPr>
          <w:b/>
          <w:bCs/>
          <w:lang w:val="en-GB"/>
        </w:rPr>
        <w:t>H1</w:t>
      </w:r>
      <w:r w:rsidRPr="0028326B">
        <w:rPr>
          <w:lang w:val="en-GB"/>
        </w:rPr>
        <w:t>: Masculine forms produce the strongest male bias, reflected in increased processing difficulty when the subsequent sentence refers to women.</w:t>
      </w:r>
    </w:p>
    <w:p w14:paraId="7CDB4ED7" w14:textId="77777777" w:rsidR="00E6414A" w:rsidRPr="0028326B" w:rsidRDefault="00E6414A" w:rsidP="00E6414A">
      <w:pPr>
        <w:spacing w:line="360" w:lineRule="auto"/>
        <w:jc w:val="both"/>
        <w:rPr>
          <w:lang w:val="en-GB"/>
        </w:rPr>
      </w:pPr>
      <w:r w:rsidRPr="0028326B">
        <w:rPr>
          <w:lang w:val="en-GB"/>
        </w:rPr>
        <w:t>Hypothesis 1 was only partially supported with the findings from analysing the first-pass duration with the masculine role noun with the male anaphor compared to the female anaphor. We saw that the condition C1 performed better regarding duration time than the condition C2.</w:t>
      </w:r>
    </w:p>
    <w:p w14:paraId="046C97AE" w14:textId="77777777" w:rsidR="00E6414A" w:rsidRPr="0028326B" w:rsidRDefault="00E6414A" w:rsidP="00E6414A">
      <w:pPr>
        <w:spacing w:line="360" w:lineRule="auto"/>
        <w:jc w:val="both"/>
        <w:rPr>
          <w:lang w:val="en-GB"/>
        </w:rPr>
      </w:pPr>
      <w:r w:rsidRPr="0028326B">
        <w:rPr>
          <w:b/>
          <w:bCs/>
          <w:lang w:val="en-GB"/>
        </w:rPr>
        <w:t>H2</w:t>
      </w:r>
      <w:r w:rsidRPr="0028326B">
        <w:rPr>
          <w:lang w:val="en-GB"/>
        </w:rPr>
        <w:t>: Feminine forms produce the strongest female bias, reflected in increased processing difficulty when the subsequent sentence refers to men.</w:t>
      </w:r>
    </w:p>
    <w:p w14:paraId="55038E34" w14:textId="77777777" w:rsidR="00E6414A" w:rsidRPr="0028326B" w:rsidRDefault="00E6414A" w:rsidP="00E6414A">
      <w:pPr>
        <w:spacing w:line="360" w:lineRule="auto"/>
        <w:jc w:val="both"/>
        <w:rPr>
          <w:lang w:val="en-GB"/>
        </w:rPr>
      </w:pPr>
      <w:r w:rsidRPr="0028326B">
        <w:rPr>
          <w:lang w:val="en-GB"/>
        </w:rPr>
        <w:t>The feminine form did not stand out when comparing the feminine form with male anaphor (C3) and female anaphor (C4) and therefore the Hypothesis H2 could not get supported in the findings.</w:t>
      </w:r>
    </w:p>
    <w:p w14:paraId="4980F1ED" w14:textId="77777777" w:rsidR="00395735" w:rsidRPr="0028326B" w:rsidRDefault="00395735" w:rsidP="00395735">
      <w:pPr>
        <w:spacing w:line="360" w:lineRule="auto"/>
        <w:jc w:val="both"/>
        <w:rPr>
          <w:lang w:val="en-GB"/>
        </w:rPr>
      </w:pPr>
      <w:r w:rsidRPr="0028326B">
        <w:rPr>
          <w:b/>
          <w:bCs/>
          <w:lang w:val="en-GB"/>
        </w:rPr>
        <w:lastRenderedPageBreak/>
        <w:t>H3</w:t>
      </w:r>
      <w:r w:rsidRPr="0028326B">
        <w:rPr>
          <w:lang w:val="en-GB"/>
        </w:rPr>
        <w:t>: Gender-inclusive forms produce the weakest overall gender bias and therefore show the smallest difference between male and female continuations.</w:t>
      </w:r>
    </w:p>
    <w:p w14:paraId="72CDFFD7" w14:textId="77777777" w:rsidR="00395735" w:rsidRPr="0028326B" w:rsidRDefault="00395735" w:rsidP="00395735">
      <w:pPr>
        <w:spacing w:line="360" w:lineRule="auto"/>
        <w:jc w:val="both"/>
        <w:rPr>
          <w:lang w:val="en-GB"/>
        </w:rPr>
      </w:pPr>
      <w:r w:rsidRPr="0028326B">
        <w:rPr>
          <w:lang w:val="en-GB"/>
        </w:rPr>
        <w:t xml:space="preserve">This Hypothesis H3 </w:t>
      </w:r>
      <w:r>
        <w:rPr>
          <w:lang w:val="en-GB"/>
        </w:rPr>
        <w:t>cannot be supported by the findings. The findings showed that there are significant differences between male and female anaphor in the go-past duration of the anaphor AOI with the male anaphor (C5). As well as a longer fixation duration in the role noun AOI using the male anaphor than the female anaphor. Also, the feminine role noun form did not show statistically differences in the anaphor form. Therefore, the star form (here used as the gender-inclusive form) did not show that it produced the weakest overall gender. That means that H3 can’t be supported with the findings.</w:t>
      </w:r>
    </w:p>
    <w:p w14:paraId="63DCC6C7" w14:textId="77777777" w:rsidR="00395735" w:rsidRPr="0028326B" w:rsidRDefault="00395735" w:rsidP="00395735">
      <w:pPr>
        <w:spacing w:line="360" w:lineRule="auto"/>
        <w:rPr>
          <w:lang w:val="en-GB"/>
        </w:rPr>
      </w:pPr>
      <w:r w:rsidRPr="0028326B">
        <w:rPr>
          <w:lang w:val="en-GB"/>
        </w:rPr>
        <w:t>Answer to the Research Question</w:t>
      </w:r>
    </w:p>
    <w:p w14:paraId="27C29AE2" w14:textId="77777777" w:rsidR="00395735" w:rsidRDefault="00395735" w:rsidP="00395735">
      <w:pPr>
        <w:spacing w:line="360" w:lineRule="auto"/>
        <w:jc w:val="both"/>
        <w:rPr>
          <w:b/>
          <w:bCs/>
          <w:i/>
          <w:iCs/>
          <w:lang w:val="en-GB"/>
        </w:rPr>
      </w:pPr>
      <w:r w:rsidRPr="0028326B">
        <w:rPr>
          <w:b/>
          <w:bCs/>
          <w:i/>
          <w:iCs/>
          <w:lang w:val="en-GB"/>
        </w:rPr>
        <w:t>Do different forms of German role nouns (masculine, feminine, and gender-inclusive) elicit male and female biases in native German speakers, and what is the magnitude of these biases?</w:t>
      </w:r>
    </w:p>
    <w:p w14:paraId="6FBC9ABA" w14:textId="77777777" w:rsidR="00395735" w:rsidRDefault="00395735" w:rsidP="00395735">
      <w:pPr>
        <w:spacing w:line="360" w:lineRule="auto"/>
        <w:jc w:val="both"/>
        <w:rPr>
          <w:lang w:val="en-GB"/>
        </w:rPr>
      </w:pPr>
      <w:r>
        <w:rPr>
          <w:lang w:val="en-GB"/>
        </w:rPr>
        <w:t>The results partially suggest that gender biases can be observed in processing different forms of German role nouns. But the magnitude of theses male and female bias varies depending on the role noun form and what processing measure is used. Masculine role noun forms showed a male bias comparing the male and female anaphor by using the first-pass duration as measure there is a significantly difference in processing time. Female forms didn’t show any significantly difference but a tendency towards a female bias. Gender-inclusive forms also showed a male bias while comparing go-past time and fixation duration from the male and female anaphor.</w:t>
      </w:r>
    </w:p>
    <w:p w14:paraId="3188CE7A" w14:textId="77777777" w:rsidR="00395735" w:rsidRPr="00CA2A1E" w:rsidRDefault="00395735" w:rsidP="00395735">
      <w:pPr>
        <w:spacing w:line="360" w:lineRule="auto"/>
        <w:jc w:val="both"/>
        <w:rPr>
          <w:lang w:val="en-GB"/>
        </w:rPr>
      </w:pPr>
      <w:r>
        <w:rPr>
          <w:lang w:val="en-GB"/>
        </w:rPr>
        <w:t xml:space="preserve">Therefore, the findings show that the gender biases are not the same across the three German role nouns used in this experiment. The findings only supported some hypotheses partially and showed tendencies, but these do align with earlier findings from previous research. </w:t>
      </w:r>
    </w:p>
    <w:p w14:paraId="5B8CF157" w14:textId="227000DD" w:rsidR="00742A41" w:rsidRDefault="00742A41" w:rsidP="00092581">
      <w:pPr>
        <w:pStyle w:val="berschrift1"/>
        <w:rPr>
          <w:lang w:val="en-GB"/>
        </w:rPr>
      </w:pPr>
      <w:bookmarkStart w:id="29" w:name="_Toc235728807"/>
      <w:r w:rsidRPr="00742A41">
        <w:rPr>
          <w:lang w:val="en-GB"/>
        </w:rPr>
        <w:t>5. D</w:t>
      </w:r>
      <w:r>
        <w:rPr>
          <w:lang w:val="en-GB"/>
        </w:rPr>
        <w:t>iscussion</w:t>
      </w:r>
      <w:r w:rsidR="00584525">
        <w:rPr>
          <w:lang w:val="en-GB"/>
        </w:rPr>
        <w:t xml:space="preserve"> (Aylina)</w:t>
      </w:r>
      <w:bookmarkEnd w:id="29"/>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lastRenderedPageBreak/>
        <w:t>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behavior from systematic misalignment. Automated correction methods do not perform equally well under all trial characteristics; their accuracy depends on factors such as the direction and magnitude of drift, the structure of the text, and the participant’s reading behavior. Upon that, the drift on the margin on the screen tends to be greater compared to the center,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A second challenge concerned the gaze behavior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behavior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t>Outlook:</w:t>
      </w:r>
    </w:p>
    <w:p w14:paraId="15E08CBF" w14:textId="77777777" w:rsidR="00611727" w:rsidRPr="00611727" w:rsidRDefault="00611727" w:rsidP="00611727">
      <w:pPr>
        <w:spacing w:line="360" w:lineRule="auto"/>
        <w:rPr>
          <w:lang w:val="en-GB"/>
        </w:rPr>
      </w:pPr>
      <w:r w:rsidRPr="00611727">
        <w:rPr>
          <w:lang w:val="en-GB"/>
        </w:rPr>
        <w:t>Future studies could reduce the impact of drift by avoiding the placement of critical areas of interest near the margins of the screen. Target words and anaphoric regions should preferably be positioned closer to the center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t>An additional possibility is to fit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t xml:space="preserve">The problem of tailing gaze could be addressed at the design stage by varying the comprehension questions across trials instead of presenting the same question structure repeatedly. Different questions may encourage participants to maintain </w:t>
      </w:r>
      <w:r w:rsidRPr="00611727">
        <w:rPr>
          <w:lang w:val="en-GB"/>
        </w:rPr>
        <w:lastRenderedPageBreak/>
        <w:t>task-relevant attention and reduce predictable waiting behavior.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 xml:space="preserve">Several </w:t>
      </w:r>
      <w:commentRangeStart w:id="30"/>
      <w:r w:rsidRPr="00515ED7">
        <w:rPr>
          <w:lang w:val="en-GB"/>
        </w:rPr>
        <w:t xml:space="preserve">limitations </w:t>
      </w:r>
      <w:commentRangeEnd w:id="30"/>
      <w:r w:rsidR="00FA1D19" w:rsidRPr="00515ED7">
        <w:rPr>
          <w:rStyle w:val="Kommentarzeichen"/>
          <w:sz w:val="24"/>
          <w:szCs w:val="24"/>
          <w:lang w:val="en-GB"/>
        </w:rPr>
        <w:commentReference w:id="30"/>
      </w:r>
      <w:r w:rsidRPr="00515ED7">
        <w:rPr>
          <w:lang w:val="en-GB"/>
        </w:rPr>
        <w:t>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 xml:space="preserve">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w:t>
      </w:r>
      <w:r w:rsidRPr="00515ED7">
        <w:rPr>
          <w:lang w:val="en-GB"/>
        </w:rPr>
        <w:lastRenderedPageBreak/>
        <w:t>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31"/>
      <w:r w:rsidRPr="00742A41">
        <w:rPr>
          <w:lang w:val="en-GB"/>
        </w:rPr>
        <w:t>Challenges during the project</w:t>
      </w:r>
      <w:commentRangeEnd w:id="31"/>
      <w:r w:rsidR="00AB26CB">
        <w:rPr>
          <w:rStyle w:val="Kommentarzeichen"/>
          <w:sz w:val="24"/>
          <w:szCs w:val="24"/>
          <w:lang w:val="en-GB"/>
        </w:rPr>
        <w:commentReference w:id="31"/>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32"/>
      <w:r w:rsidRPr="00742A41">
        <w:rPr>
          <w:lang w:val="en-GB"/>
        </w:rPr>
        <w:t>Outlook / improvements / lessons learned</w:t>
      </w:r>
      <w:commentRangeEnd w:id="32"/>
      <w:r w:rsidR="00AB26CB">
        <w:rPr>
          <w:rStyle w:val="Kommentarzeichen"/>
          <w:sz w:val="24"/>
          <w:szCs w:val="24"/>
          <w:lang w:val="en-GB"/>
        </w:rPr>
        <w:commentReference w:id="32"/>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3"/>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3" w:name="_Toc235728808"/>
      <w:r w:rsidRPr="007E273E">
        <w:rPr>
          <w:lang w:val="en-GB"/>
        </w:rPr>
        <w:lastRenderedPageBreak/>
        <w:t>Appendix</w:t>
      </w:r>
      <w:bookmarkEnd w:id="33"/>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4"/>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5"/>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6"/>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4"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4"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27A2B989" w14:textId="7777777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en-GB"/>
        </w:rPr>
        <w:t xml:space="preserve">Beauvoir, S. de. (1953). </w:t>
      </w:r>
      <w:r w:rsidRPr="00000097">
        <w:rPr>
          <w:rFonts w:eastAsia="Times New Roman"/>
          <w:i/>
          <w:iCs/>
          <w:color w:val="000000"/>
          <w:lang w:val="en-GB"/>
        </w:rPr>
        <w:t>The second sex</w:t>
      </w:r>
      <w:r w:rsidRPr="00000097">
        <w:rPr>
          <w:rFonts w:eastAsia="Times New Roman"/>
          <w:color w:val="000000"/>
          <w:lang w:val="en-GB"/>
        </w:rPr>
        <w:t xml:space="preserve"> (H. M. Parshley, Trans.). </w:t>
      </w:r>
      <w:r w:rsidRPr="00000097">
        <w:rPr>
          <w:rFonts w:eastAsia="Times New Roman"/>
          <w:color w:val="000000"/>
          <w:lang w:val="de-DE"/>
        </w:rPr>
        <w:t>Penguin. (Original work published 1949)</w:t>
      </w:r>
    </w:p>
    <w:p w14:paraId="28B48B72" w14:textId="4A944BEF"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de-DE"/>
        </w:rPr>
        <w:t xml:space="preserve">Blake, C., &amp; Klimmt, C. (2010). Die Lesbarkeit von Nachrichtentexten unter dem Einfluss geschlechtergerechter Sprache. </w:t>
      </w:r>
      <w:r w:rsidRPr="00000097">
        <w:rPr>
          <w:rFonts w:eastAsia="Times New Roman"/>
          <w:i/>
          <w:iCs/>
          <w:color w:val="000000"/>
          <w:lang w:val="de-DE"/>
        </w:rPr>
        <w:t>Publizistik, 55</w:t>
      </w:r>
      <w:r w:rsidRPr="00000097">
        <w:rPr>
          <w:rFonts w:eastAsia="Times New Roman"/>
          <w:color w:val="000000"/>
          <w:lang w:val="de-DE"/>
        </w:rPr>
        <w:t xml:space="preserve">(2), 183–204. </w:t>
      </w:r>
      <w:hyperlink r:id="rId37" w:history="1">
        <w:r w:rsidRPr="005776B0">
          <w:rPr>
            <w:rStyle w:val="Hyperlink"/>
            <w:rFonts w:eastAsia="Times New Roman"/>
            <w:lang w:val="de-DE"/>
          </w:rPr>
          <w:t>https://doi.org/10.1007/s11616-010-0093-2</w:t>
        </w:r>
      </w:hyperlink>
      <w:r>
        <w:rPr>
          <w:rFonts w:eastAsia="Times New Roman"/>
          <w:color w:val="000000"/>
          <w:lang w:val="de-DE"/>
        </w:rPr>
        <w:t xml:space="preserve"> </w:t>
      </w:r>
    </w:p>
    <w:p w14:paraId="3156639D" w14:textId="20AD4E82" w:rsidR="00000097" w:rsidRPr="00395735"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r w:rsidRPr="00000097">
        <w:rPr>
          <w:rFonts w:eastAsia="Times New Roman"/>
          <w:color w:val="000000"/>
          <w:lang w:val="de-DE"/>
        </w:rPr>
        <w:t xml:space="preserve">Friedrich, M. C. G., Drößler, V., Oberlehberg, N., &amp; Heise, E. (2021). </w:t>
      </w:r>
      <w:r w:rsidRPr="00000097">
        <w:rPr>
          <w:rFonts w:eastAsia="Times New Roman"/>
          <w:color w:val="000000"/>
          <w:lang w:val="en-GB"/>
        </w:rPr>
        <w:t xml:space="preserve">The influence of the gender asterisk (“Gendersternchen”) on comprehensibility and interest. </w:t>
      </w:r>
      <w:r w:rsidRPr="00395735">
        <w:rPr>
          <w:rFonts w:eastAsia="Times New Roman"/>
          <w:i/>
          <w:iCs/>
          <w:color w:val="000000"/>
          <w:lang w:val="en-GB"/>
        </w:rPr>
        <w:t>Frontiers in Psychology, 12</w:t>
      </w:r>
      <w:r w:rsidRPr="00395735">
        <w:rPr>
          <w:rFonts w:eastAsia="Times New Roman"/>
          <w:color w:val="000000"/>
          <w:lang w:val="en-GB"/>
        </w:rPr>
        <w:t xml:space="preserve">, 760062. </w:t>
      </w:r>
      <w:hyperlink r:id="rId38" w:history="1">
        <w:r w:rsidRPr="00395735">
          <w:rPr>
            <w:rStyle w:val="Hyperlink"/>
            <w:rFonts w:eastAsia="Times New Roman"/>
            <w:lang w:val="en-GB"/>
          </w:rPr>
          <w:t>https://doi.org/10.3389/fpsyg.2021.760062</w:t>
        </w:r>
      </w:hyperlink>
      <w:r w:rsidRPr="00395735">
        <w:rPr>
          <w:rFonts w:eastAsia="Times New Roman"/>
          <w:color w:val="000000"/>
          <w:lang w:val="en-GB"/>
        </w:rPr>
        <w:t xml:space="preserve"> </w:t>
      </w:r>
    </w:p>
    <w:p w14:paraId="5A3857A6" w14:textId="46CBFCC8"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r w:rsidRPr="00000097">
        <w:rPr>
          <w:rFonts w:eastAsia="Times New Roman"/>
          <w:color w:val="000000"/>
          <w:lang w:val="en-GB"/>
        </w:rPr>
        <w:t xml:space="preserve">Irmen, L. (2007). What’s in a (role) name? Formal and conceptual aspects of comprehending personal nouns. </w:t>
      </w:r>
      <w:r w:rsidRPr="00000097">
        <w:rPr>
          <w:rFonts w:eastAsia="Times New Roman"/>
          <w:i/>
          <w:iCs/>
          <w:color w:val="000000"/>
          <w:lang w:val="en-GB"/>
        </w:rPr>
        <w:t>Journal of Psycholinguistic Research, 36</w:t>
      </w:r>
      <w:r w:rsidRPr="00000097">
        <w:rPr>
          <w:rFonts w:eastAsia="Times New Roman"/>
          <w:color w:val="000000"/>
          <w:lang w:val="en-GB"/>
        </w:rPr>
        <w:t xml:space="preserve">(5–6), 431–456. </w:t>
      </w:r>
      <w:hyperlink r:id="rId39" w:history="1">
        <w:r w:rsidRPr="005776B0">
          <w:rPr>
            <w:rStyle w:val="Hyperlink"/>
            <w:rFonts w:eastAsia="Times New Roman"/>
            <w:lang w:val="en-GB"/>
          </w:rPr>
          <w:t>https://doi.org/10.1007/s10936-007-9053-z</w:t>
        </w:r>
      </w:hyperlink>
      <w:r>
        <w:rPr>
          <w:rFonts w:eastAsia="Times New Roman"/>
          <w:color w:val="000000"/>
          <w:lang w:val="en-GB"/>
        </w:rPr>
        <w:t xml:space="preserve"> </w:t>
      </w:r>
    </w:p>
    <w:p w14:paraId="3E875E6F" w14:textId="36027E19"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r w:rsidRPr="00000097">
        <w:rPr>
          <w:rFonts w:eastAsia="Times New Roman"/>
          <w:color w:val="000000"/>
          <w:lang w:val="en-GB"/>
        </w:rPr>
        <w:t xml:space="preserve">Körner, F., Rummer, R., &amp; Strack, B. (2024). Examining the glottal stop as a mark of gender-inclusive language in German. </w:t>
      </w:r>
      <w:r w:rsidRPr="00000097">
        <w:rPr>
          <w:rFonts w:eastAsia="Times New Roman"/>
          <w:i/>
          <w:iCs/>
          <w:color w:val="000000"/>
          <w:lang w:val="en-GB"/>
        </w:rPr>
        <w:t>Applied Psycholinguistics</w:t>
      </w:r>
      <w:r w:rsidRPr="00000097">
        <w:rPr>
          <w:rFonts w:eastAsia="Times New Roman"/>
          <w:color w:val="000000"/>
          <w:lang w:val="en-GB"/>
        </w:rPr>
        <w:t xml:space="preserve">. Advance online publication. </w:t>
      </w:r>
      <w:hyperlink r:id="rId40" w:history="1">
        <w:r w:rsidRPr="005776B0">
          <w:rPr>
            <w:rStyle w:val="Hyperlink"/>
            <w:rFonts w:eastAsia="Times New Roman"/>
            <w:lang w:val="en-GB"/>
          </w:rPr>
          <w:t>https://doi.org/10.1017/S0142716424000010</w:t>
        </w:r>
      </w:hyperlink>
      <w:r>
        <w:rPr>
          <w:rFonts w:eastAsia="Times New Roman"/>
          <w:color w:val="000000"/>
          <w:lang w:val="en-GB"/>
        </w:rPr>
        <w:t xml:space="preserve"> </w:t>
      </w:r>
    </w:p>
    <w:p w14:paraId="6A3EAE13" w14:textId="383EBEBB"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en-GB"/>
        </w:rPr>
        <w:t xml:space="preserve">Redl, T., Frank, S. L., de Swart, P., &amp; de Hoop, H. (2021). The male bias of a generically-intended masculine pronoun: Evidence from eye-tracking and sentence evaluation. </w:t>
      </w:r>
      <w:r w:rsidRPr="00000097">
        <w:rPr>
          <w:rFonts w:eastAsia="Times New Roman"/>
          <w:i/>
          <w:iCs/>
          <w:color w:val="000000"/>
          <w:lang w:val="de-DE"/>
        </w:rPr>
        <w:t>PLOS ONE, 16</w:t>
      </w:r>
      <w:r w:rsidRPr="00000097">
        <w:rPr>
          <w:rFonts w:eastAsia="Times New Roman"/>
          <w:color w:val="000000"/>
          <w:lang w:val="de-DE"/>
        </w:rPr>
        <w:t xml:space="preserve">(4), e0249309. </w:t>
      </w:r>
      <w:hyperlink r:id="rId41" w:history="1">
        <w:r w:rsidRPr="005776B0">
          <w:rPr>
            <w:rStyle w:val="Hyperlink"/>
            <w:rFonts w:eastAsia="Times New Roman"/>
            <w:lang w:val="de-DE"/>
          </w:rPr>
          <w:t>https://doi.org/10.1371/journal.pone.0249309</w:t>
        </w:r>
      </w:hyperlink>
      <w:r>
        <w:rPr>
          <w:rFonts w:eastAsia="Times New Roman"/>
          <w:color w:val="000000"/>
          <w:lang w:val="de-DE"/>
        </w:rPr>
        <w:t xml:space="preserve">  </w:t>
      </w:r>
    </w:p>
    <w:p w14:paraId="01A9025F" w14:textId="28687FFF"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r w:rsidRPr="00000097">
        <w:rPr>
          <w:rFonts w:eastAsia="Times New Roman"/>
          <w:color w:val="000000"/>
          <w:lang w:val="de-DE"/>
        </w:rPr>
        <w:t xml:space="preserve">Vainapel, S., Shamir, O. Y., Tenenbaum, Y., &amp; Gilam, G. (2015). </w:t>
      </w:r>
      <w:r w:rsidRPr="00000097">
        <w:rPr>
          <w:rFonts w:eastAsia="Times New Roman"/>
          <w:color w:val="000000"/>
          <w:lang w:val="en-GB"/>
        </w:rPr>
        <w:t xml:space="preserve">The dark side of gendered language: The masculine-generic form as a cause for self-report bias. </w:t>
      </w:r>
      <w:r w:rsidRPr="00000097">
        <w:rPr>
          <w:rFonts w:eastAsia="Times New Roman"/>
          <w:i/>
          <w:iCs/>
          <w:color w:val="000000"/>
          <w:lang w:val="en-GB"/>
        </w:rPr>
        <w:t>Psychological Assessment, 27</w:t>
      </w:r>
      <w:r w:rsidRPr="00000097">
        <w:rPr>
          <w:rFonts w:eastAsia="Times New Roman"/>
          <w:color w:val="000000"/>
          <w:lang w:val="en-GB"/>
        </w:rPr>
        <w:t xml:space="preserve">(4), 1513–1519. </w:t>
      </w:r>
      <w:hyperlink r:id="rId42" w:history="1">
        <w:r w:rsidRPr="005776B0">
          <w:rPr>
            <w:rStyle w:val="Hyperlink"/>
            <w:rFonts w:eastAsia="Times New Roman"/>
            <w:lang w:val="en-GB"/>
          </w:rPr>
          <w:t>https://doi.org/10.1037/pas0000156</w:t>
        </w:r>
      </w:hyperlink>
      <w:r>
        <w:rPr>
          <w:rFonts w:eastAsia="Times New Roman"/>
          <w:color w:val="000000"/>
          <w:lang w:val="en-GB"/>
        </w:rPr>
        <w:t xml:space="preserve"> </w:t>
      </w:r>
    </w:p>
    <w:p w14:paraId="4BCCA677" w14:textId="4E3D9BF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r w:rsidRPr="00000097">
        <w:rPr>
          <w:rFonts w:eastAsia="Times New Roman"/>
          <w:color w:val="000000"/>
          <w:lang w:val="en-GB"/>
        </w:rPr>
        <w:t>Zacharski, A., &amp; Ferstl, E. C. (2023). The im</w:t>
      </w:r>
      <w:r>
        <w:rPr>
          <w:rFonts w:eastAsia="Times New Roman"/>
          <w:color w:val="000000"/>
          <w:lang w:val="en-GB"/>
        </w:rPr>
        <w:t xml:space="preserve"> </w:t>
      </w:r>
      <w:r w:rsidRPr="00000097">
        <w:rPr>
          <w:rFonts w:eastAsia="Times New Roman"/>
          <w:color w:val="000000"/>
          <w:lang w:val="en-GB"/>
        </w:rPr>
        <w:t xml:space="preserve">pact of the gender star on mental representations: Evidence from a word–image pair task. </w:t>
      </w:r>
      <w:r w:rsidRPr="00000097">
        <w:rPr>
          <w:rFonts w:eastAsia="Times New Roman"/>
          <w:i/>
          <w:iCs/>
          <w:color w:val="000000"/>
          <w:lang w:val="en-GB"/>
        </w:rPr>
        <w:t>Discourse Processes</w:t>
      </w:r>
      <w:r w:rsidRPr="00000097">
        <w:rPr>
          <w:rFonts w:eastAsia="Times New Roman"/>
          <w:color w:val="000000"/>
          <w:lang w:val="en-GB"/>
        </w:rPr>
        <w:t xml:space="preserve">. Advance online publication. </w:t>
      </w:r>
      <w:hyperlink r:id="rId43" w:history="1">
        <w:r w:rsidRPr="005776B0">
          <w:rPr>
            <w:rStyle w:val="Hyperlink"/>
            <w:rFonts w:eastAsia="Times New Roman"/>
            <w:lang w:val="en-GB"/>
          </w:rPr>
          <w:t>https://doi.org/10.1080/0163853X.2023.2199531</w:t>
        </w:r>
      </w:hyperlink>
      <w:r>
        <w:rPr>
          <w:rFonts w:eastAsia="Times New Roman"/>
          <w:color w:val="000000"/>
          <w:lang w:val="en-GB"/>
        </w:rPr>
        <w:t xml:space="preserve"> </w:t>
      </w:r>
    </w:p>
    <w:p w14:paraId="051B06AA" w14:textId="77777777" w:rsidR="00000097" w:rsidRPr="00000097" w:rsidRDefault="00000097" w:rsidP="00000097">
      <w:pPr>
        <w:tabs>
          <w:tab w:val="clear" w:pos="2126"/>
        </w:tabs>
        <w:spacing w:after="0" w:line="240" w:lineRule="auto"/>
        <w:rPr>
          <w:rFonts w:ascii="Times New Roman" w:eastAsia="Times New Roman" w:hAnsi="Times New Roman" w:cs="Times New Roman"/>
          <w:lang w:val="en-GB"/>
        </w:rPr>
      </w:pPr>
    </w:p>
    <w:p w14:paraId="78DB681E" w14:textId="3481E9E4" w:rsidR="00000097" w:rsidRPr="00000097" w:rsidRDefault="00000097" w:rsidP="00000097">
      <w:pPr>
        <w:tabs>
          <w:tab w:val="clear" w:pos="2126"/>
        </w:tabs>
        <w:spacing w:before="240" w:after="240" w:line="240" w:lineRule="auto"/>
        <w:rPr>
          <w:rFonts w:ascii="Times New Roman" w:eastAsia="Times New Roman" w:hAnsi="Times New Roman" w:cs="Times New Roman"/>
          <w:lang w:val="en-GB"/>
        </w:rPr>
      </w:pPr>
      <w:r>
        <w:rPr>
          <w:rFonts w:eastAsia="Times New Roman"/>
          <w:color w:val="000000"/>
          <w:lang w:val="en-GB"/>
        </w:rPr>
        <w:t>W</w:t>
      </w:r>
      <w:r w:rsidRPr="00000097">
        <w:rPr>
          <w:rFonts w:eastAsia="Times New Roman"/>
          <w:color w:val="000000"/>
          <w:lang w:val="en-GB"/>
        </w:rPr>
        <w:t xml:space="preserve">eb/ </w:t>
      </w:r>
      <w:r>
        <w:rPr>
          <w:rFonts w:eastAsia="Times New Roman"/>
          <w:color w:val="000000"/>
          <w:lang w:val="en-GB"/>
        </w:rPr>
        <w:t>I</w:t>
      </w:r>
      <w:r w:rsidRPr="00000097">
        <w:rPr>
          <w:rFonts w:eastAsia="Times New Roman"/>
          <w:color w:val="000000"/>
          <w:lang w:val="en-GB"/>
        </w:rPr>
        <w:t>nstitutional sources</w:t>
      </w:r>
      <w:r>
        <w:rPr>
          <w:rFonts w:eastAsia="Times New Roman"/>
          <w:color w:val="000000"/>
          <w:lang w:val="en-GB"/>
        </w:rPr>
        <w:t>:</w:t>
      </w:r>
    </w:p>
    <w:p w14:paraId="1436483A" w14:textId="06BC0ED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en-GB"/>
        </w:rPr>
        <w:t xml:space="preserve">Politbarometer. (2021, July 16). </w:t>
      </w:r>
      <w:r w:rsidRPr="00000097">
        <w:rPr>
          <w:rFonts w:eastAsia="Times New Roman"/>
          <w:i/>
          <w:iCs/>
          <w:color w:val="000000"/>
          <w:lang w:val="en-GB"/>
        </w:rPr>
        <w:t>Gender language survey</w:t>
      </w:r>
      <w:r w:rsidRPr="00000097">
        <w:rPr>
          <w:rFonts w:eastAsia="Times New Roman"/>
          <w:color w:val="000000"/>
          <w:lang w:val="en-GB"/>
        </w:rPr>
        <w:t xml:space="preserve"> [Image]. </w:t>
      </w:r>
      <w:r w:rsidRPr="00000097">
        <w:rPr>
          <w:rFonts w:eastAsia="Times New Roman"/>
          <w:color w:val="000000"/>
          <w:lang w:val="de-DE"/>
        </w:rPr>
        <w:t xml:space="preserve">ZDF. </w:t>
      </w:r>
      <w:hyperlink r:id="rId44" w:history="1">
        <w:r w:rsidRPr="005776B0">
          <w:rPr>
            <w:rStyle w:val="Hyperlink"/>
            <w:rFonts w:eastAsia="Times New Roman"/>
            <w:lang w:val="de-DE"/>
          </w:rPr>
          <w:t>https://politbarometer2.zdf.de/store/Politbarometer/2021_07_16/html/1280x720-1626375458070-0469d703.jpg</w:t>
        </w:r>
      </w:hyperlink>
      <w:r>
        <w:rPr>
          <w:rFonts w:eastAsia="Times New Roman"/>
          <w:color w:val="000000"/>
          <w:lang w:val="de-DE"/>
        </w:rPr>
        <w:t xml:space="preserve"> </w:t>
      </w:r>
    </w:p>
    <w:p w14:paraId="017DA055" w14:textId="70EB5BE6"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de-DE"/>
        </w:rPr>
        <w:t xml:space="preserve">Rat für deutsche Rechtschreibung. (2023, December 20). </w:t>
      </w:r>
      <w:r w:rsidRPr="00000097">
        <w:rPr>
          <w:rFonts w:eastAsia="Times New Roman"/>
          <w:i/>
          <w:iCs/>
          <w:color w:val="000000"/>
          <w:lang w:val="de-DE"/>
        </w:rPr>
        <w:t>Geschlechtergerechte Schreibung: Erläuterungs- und Begründungspapier</w:t>
      </w:r>
      <w:r w:rsidRPr="00000097">
        <w:rPr>
          <w:rFonts w:eastAsia="Times New Roman"/>
          <w:color w:val="000000"/>
          <w:lang w:val="de-DE"/>
        </w:rPr>
        <w:t xml:space="preserve"> [Position paper]. </w:t>
      </w:r>
      <w:hyperlink r:id="rId45" w:history="1">
        <w:r w:rsidRPr="005776B0">
          <w:rPr>
            <w:rStyle w:val="Hyperlink"/>
            <w:rFonts w:eastAsia="Times New Roman"/>
            <w:lang w:val="de-DE"/>
          </w:rPr>
          <w:t>https://www.rechtschreibrat.com/DOX/rfdr_PM_2023-12-20_Geschlechtergerechte_Schreibung_Erlaeuterungs-Begruendungspapier.pdf</w:t>
        </w:r>
      </w:hyperlink>
      <w:r>
        <w:rPr>
          <w:rFonts w:eastAsia="Times New Roman"/>
          <w:color w:val="000000"/>
          <w:lang w:val="de-DE"/>
        </w:rPr>
        <w:t xml:space="preserve"> </w:t>
      </w:r>
    </w:p>
    <w:p w14:paraId="45BE4457" w14:textId="766B4626" w:rsidR="00FE14A4" w:rsidRPr="00000097" w:rsidRDefault="00FE14A4">
      <w:pPr>
        <w:tabs>
          <w:tab w:val="clear" w:pos="2126"/>
        </w:tabs>
        <w:rPr>
          <w:lang w:val="de-DE"/>
        </w:rPr>
      </w:pPr>
      <w:r w:rsidRPr="00000097">
        <w:rPr>
          <w:lang w:val="de-DE"/>
        </w:rPr>
        <w:br w:type="page"/>
      </w:r>
    </w:p>
    <w:p w14:paraId="7310A64F" w14:textId="63E7EBFB" w:rsidR="00FE14A4" w:rsidRPr="00742A41" w:rsidRDefault="0088505B" w:rsidP="00FE14A4">
      <w:pPr>
        <w:pStyle w:val="berschrift1"/>
        <w:rPr>
          <w:lang w:val="en-GB"/>
        </w:rPr>
      </w:pPr>
      <w:bookmarkStart w:id="35" w:name="_Toc235728810"/>
      <w:r>
        <w:rPr>
          <w:lang w:val="en-GB"/>
        </w:rPr>
        <w:lastRenderedPageBreak/>
        <w:t>Contribution</w:t>
      </w:r>
      <w:r w:rsidR="00FE14A4">
        <w:rPr>
          <w:lang w:val="en-GB"/>
        </w:rPr>
        <w:t xml:space="preserve"> Table</w:t>
      </w:r>
      <w:bookmarkEnd w:id="35"/>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395735"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395735"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46"/>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Sophie Schüttler" w:date="2026-08-28T16:55:00Z" w:initials="SS">
    <w:p w14:paraId="244462D5" w14:textId="77777777" w:rsidR="00FA1D19" w:rsidRDefault="00FA1D19" w:rsidP="00FA1D19">
      <w:pPr>
        <w:pStyle w:val="Kommentartext"/>
      </w:pPr>
      <w:r>
        <w:rPr>
          <w:rStyle w:val="Kommentarzeichen"/>
        </w:rPr>
        <w:annotationRef/>
      </w:r>
      <w:r>
        <w:t>Do we need a source for the LSD and have to put an explanation what it is into the first chapter?</w:t>
      </w:r>
    </w:p>
  </w:comment>
  <w:comment w:id="18" w:author="Sophie Schüttler" w:date="2026-08-28T16:55:00Z" w:initials="SS">
    <w:p w14:paraId="29BE941C" w14:textId="77777777" w:rsidR="00FA1D19" w:rsidRDefault="00FA1D19" w:rsidP="00FA1D19">
      <w:pPr>
        <w:pStyle w:val="Kommentartext"/>
      </w:pPr>
      <w:r>
        <w:rPr>
          <w:rStyle w:val="Kommentarzeichen"/>
        </w:rPr>
        <w:annotationRef/>
      </w:r>
      <w:r>
        <w:t>New picture thats not blurry</w:t>
      </w:r>
    </w:p>
  </w:comment>
  <w:comment w:id="30" w:author="Sophie Schüttler" w:date="2026-08-28T16:56:00Z" w:initials="SS">
    <w:p w14:paraId="124937F4" w14:textId="77777777" w:rsidR="00FA1D19" w:rsidRDefault="00FA1D19" w:rsidP="00FA1D19">
      <w:pPr>
        <w:pStyle w:val="Kommentartext"/>
      </w:pPr>
      <w:r>
        <w:rPr>
          <w:rStyle w:val="Kommentarzeichen"/>
        </w:rPr>
        <w:annotationRef/>
      </w:r>
      <w:r>
        <w:t>Is here already included that we have the most participants from the left spectrum?</w:t>
      </w:r>
    </w:p>
  </w:comment>
  <w:comment w:id="31" w:author="Sophie Schüttler" w:date="2026-08-20T16:19:00Z" w:initials="SS">
    <w:p w14:paraId="205FD429" w14:textId="77777777" w:rsidR="00B812A3" w:rsidRPr="00611727" w:rsidRDefault="00B812A3" w:rsidP="00AB26CB">
      <w:pPr>
        <w:pStyle w:val="Kommentartext"/>
        <w:rPr>
          <w:lang w:val="en-GB"/>
        </w:rPr>
      </w:pPr>
      <w:r>
        <w:rPr>
          <w:rStyle w:val="Kommentarzeichen"/>
        </w:rPr>
        <w:annotationRef/>
      </w:r>
      <w:r>
        <w:rPr>
          <w:lang w:val="en-GB"/>
        </w:rPr>
        <w:t>everyone gives bullet points</w:t>
      </w:r>
    </w:p>
  </w:comment>
  <w:comment w:id="32" w:author="Sophie Schüttler" w:date="2026-08-20T16:19:00Z" w:initials="SS">
    <w:p w14:paraId="2EE99CFF" w14:textId="77777777" w:rsidR="00B812A3" w:rsidRPr="00611727" w:rsidRDefault="00B812A3"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4462D5" w15:done="0"/>
  <w15:commentEx w15:paraId="29BE941C" w15:done="0"/>
  <w15:commentEx w15:paraId="124937F4" w15:done="0"/>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71DAFB" w16cex:dateUtc="2026-08-28T14:55:00Z"/>
  <w16cex:commentExtensible w16cex:durableId="5902C23C" w16cex:dateUtc="2026-08-28T14:55:00Z"/>
  <w16cex:commentExtensible w16cex:durableId="63F1B6D1" w16cex:dateUtc="2026-08-28T14:56:00Z"/>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4462D5" w16cid:durableId="6B71DAFB"/>
  <w16cid:commentId w16cid:paraId="29BE941C" w16cid:durableId="5902C23C"/>
  <w16cid:commentId w16cid:paraId="124937F4" w16cid:durableId="63F1B6D1"/>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C8091" w14:textId="77777777" w:rsidR="00071366" w:rsidRDefault="00071366" w:rsidP="00742A41">
      <w:pPr>
        <w:spacing w:after="0" w:line="240" w:lineRule="auto"/>
      </w:pPr>
      <w:r>
        <w:separator/>
      </w:r>
    </w:p>
  </w:endnote>
  <w:endnote w:type="continuationSeparator" w:id="0">
    <w:p w14:paraId="70C4484D" w14:textId="77777777" w:rsidR="00071366" w:rsidRDefault="00071366"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B812A3" w:rsidRDefault="00B812A3">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B812A3" w:rsidRDefault="00B812A3">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B812A3" w:rsidRDefault="00B812A3">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B812A3" w:rsidRDefault="00B812A3">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B812A3" w:rsidRDefault="00B812A3">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B812A3" w:rsidRDefault="00B812A3">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B812A3" w:rsidRDefault="00B812A3">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B812A3" w:rsidRDefault="00B812A3"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958FF" w14:textId="77777777" w:rsidR="00071366" w:rsidRDefault="00071366" w:rsidP="00742A41">
      <w:pPr>
        <w:spacing w:after="0" w:line="240" w:lineRule="auto"/>
      </w:pPr>
      <w:r>
        <w:separator/>
      </w:r>
    </w:p>
  </w:footnote>
  <w:footnote w:type="continuationSeparator" w:id="0">
    <w:p w14:paraId="3385A6D6" w14:textId="77777777" w:rsidR="00071366" w:rsidRDefault="00071366"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2F1510E"/>
    <w:multiLevelType w:val="hybridMultilevel"/>
    <w:tmpl w:val="09961F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34D3267"/>
    <w:multiLevelType w:val="multilevel"/>
    <w:tmpl w:val="D1100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F2293C"/>
    <w:multiLevelType w:val="multilevel"/>
    <w:tmpl w:val="5F9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7B1C95"/>
    <w:multiLevelType w:val="multilevel"/>
    <w:tmpl w:val="4E1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88235527">
    <w:abstractNumId w:val="7"/>
  </w:num>
  <w:num w:numId="2" w16cid:durableId="930117836">
    <w:abstractNumId w:val="5"/>
  </w:num>
  <w:num w:numId="3" w16cid:durableId="1189835620">
    <w:abstractNumId w:val="5"/>
    <w:lvlOverride w:ilvl="1">
      <w:lvl w:ilvl="1">
        <w:numFmt w:val="bullet"/>
        <w:lvlText w:val=""/>
        <w:lvlJc w:val="left"/>
        <w:pPr>
          <w:tabs>
            <w:tab w:val="num" w:pos="1440"/>
          </w:tabs>
          <w:ind w:left="1440" w:hanging="360"/>
        </w:pPr>
        <w:rPr>
          <w:rFonts w:ascii="Symbol" w:hAnsi="Symbol" w:hint="default"/>
          <w:sz w:val="20"/>
        </w:rPr>
      </w:lvl>
    </w:lvlOverride>
  </w:num>
  <w:num w:numId="4" w16cid:durableId="554703238">
    <w:abstractNumId w:val="5"/>
    <w:lvlOverride w:ilvl="1">
      <w:lvl w:ilvl="1">
        <w:numFmt w:val="bullet"/>
        <w:lvlText w:val=""/>
        <w:lvlJc w:val="left"/>
        <w:pPr>
          <w:tabs>
            <w:tab w:val="num" w:pos="1440"/>
          </w:tabs>
          <w:ind w:left="1440" w:hanging="360"/>
        </w:pPr>
        <w:rPr>
          <w:rFonts w:ascii="Symbol" w:hAnsi="Symbol" w:hint="default"/>
          <w:sz w:val="20"/>
        </w:rPr>
      </w:lvl>
    </w:lvlOverride>
  </w:num>
  <w:num w:numId="5" w16cid:durableId="719285567">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480735912">
    <w:abstractNumId w:val="5"/>
    <w:lvlOverride w:ilvl="1">
      <w:lvl w:ilvl="1">
        <w:numFmt w:val="bullet"/>
        <w:lvlText w:val=""/>
        <w:lvlJc w:val="left"/>
        <w:pPr>
          <w:tabs>
            <w:tab w:val="num" w:pos="1440"/>
          </w:tabs>
          <w:ind w:left="1440" w:hanging="360"/>
        </w:pPr>
        <w:rPr>
          <w:rFonts w:ascii="Symbol" w:hAnsi="Symbol" w:hint="default"/>
          <w:sz w:val="20"/>
        </w:rPr>
      </w:lvl>
    </w:lvlOverride>
  </w:num>
  <w:num w:numId="7" w16cid:durableId="1722560488">
    <w:abstractNumId w:val="5"/>
    <w:lvlOverride w:ilvl="1">
      <w:lvl w:ilvl="1">
        <w:numFmt w:val="bullet"/>
        <w:lvlText w:val=""/>
        <w:lvlJc w:val="left"/>
        <w:pPr>
          <w:tabs>
            <w:tab w:val="num" w:pos="1440"/>
          </w:tabs>
          <w:ind w:left="1440" w:hanging="360"/>
        </w:pPr>
        <w:rPr>
          <w:rFonts w:ascii="Symbol" w:hAnsi="Symbol" w:hint="default"/>
          <w:sz w:val="20"/>
        </w:rPr>
      </w:lvl>
    </w:lvlOverride>
  </w:num>
  <w:num w:numId="8" w16cid:durableId="1326085624">
    <w:abstractNumId w:val="5"/>
    <w:lvlOverride w:ilvl="1">
      <w:lvl w:ilvl="1">
        <w:numFmt w:val="bullet"/>
        <w:lvlText w:val=""/>
        <w:lvlJc w:val="left"/>
        <w:pPr>
          <w:tabs>
            <w:tab w:val="num" w:pos="1440"/>
          </w:tabs>
          <w:ind w:left="1440" w:hanging="360"/>
        </w:pPr>
        <w:rPr>
          <w:rFonts w:ascii="Symbol" w:hAnsi="Symbol" w:hint="default"/>
          <w:sz w:val="20"/>
        </w:rPr>
      </w:lvl>
    </w:lvlOverride>
  </w:num>
  <w:num w:numId="9" w16cid:durableId="1636369182">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16cid:durableId="526524956">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16cid:durableId="540551474">
    <w:abstractNumId w:val="3"/>
  </w:num>
  <w:num w:numId="12" w16cid:durableId="184489444">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16cid:durableId="710110359">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16cid:durableId="1388184449">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16cid:durableId="844442624">
    <w:abstractNumId w:val="6"/>
  </w:num>
  <w:num w:numId="16" w16cid:durableId="849414842">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16cid:durableId="973371553">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16cid:durableId="1988196603">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16cid:durableId="195581576">
    <w:abstractNumId w:val="2"/>
  </w:num>
  <w:num w:numId="20" w16cid:durableId="1450010766">
    <w:abstractNumId w:val="1"/>
  </w:num>
  <w:num w:numId="21" w16cid:durableId="1656448175">
    <w:abstractNumId w:val="11"/>
  </w:num>
  <w:num w:numId="22" w16cid:durableId="1189180950">
    <w:abstractNumId w:val="15"/>
  </w:num>
  <w:num w:numId="23" w16cid:durableId="1202330257">
    <w:abstractNumId w:val="0"/>
  </w:num>
  <w:num w:numId="24" w16cid:durableId="1528132149">
    <w:abstractNumId w:val="4"/>
  </w:num>
  <w:num w:numId="25" w16cid:durableId="1684437769">
    <w:abstractNumId w:val="14"/>
  </w:num>
  <w:num w:numId="26" w16cid:durableId="2068412747">
    <w:abstractNumId w:val="13"/>
  </w:num>
  <w:num w:numId="27" w16cid:durableId="317149118">
    <w:abstractNumId w:val="9"/>
  </w:num>
  <w:num w:numId="28" w16cid:durableId="607153173">
    <w:abstractNumId w:val="10"/>
  </w:num>
  <w:num w:numId="29" w16cid:durableId="2047676726">
    <w:abstractNumId w:val="12"/>
  </w:num>
  <w:num w:numId="30" w16cid:durableId="158584236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00097"/>
    <w:rsid w:val="000163C7"/>
    <w:rsid w:val="00030E28"/>
    <w:rsid w:val="000355C3"/>
    <w:rsid w:val="00037C07"/>
    <w:rsid w:val="00071366"/>
    <w:rsid w:val="00075409"/>
    <w:rsid w:val="00092581"/>
    <w:rsid w:val="00095196"/>
    <w:rsid w:val="000C4C32"/>
    <w:rsid w:val="000C7FC2"/>
    <w:rsid w:val="000E1844"/>
    <w:rsid w:val="000F45E7"/>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C7076"/>
    <w:rsid w:val="002F2EA5"/>
    <w:rsid w:val="00331C2E"/>
    <w:rsid w:val="00335C5F"/>
    <w:rsid w:val="00346C03"/>
    <w:rsid w:val="0036547C"/>
    <w:rsid w:val="00395735"/>
    <w:rsid w:val="003B1591"/>
    <w:rsid w:val="003B4886"/>
    <w:rsid w:val="003C048E"/>
    <w:rsid w:val="003C068F"/>
    <w:rsid w:val="003C30B9"/>
    <w:rsid w:val="003C64B3"/>
    <w:rsid w:val="003E2CEB"/>
    <w:rsid w:val="003F724E"/>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47C8E"/>
    <w:rsid w:val="00657475"/>
    <w:rsid w:val="00671620"/>
    <w:rsid w:val="00672E8A"/>
    <w:rsid w:val="0067478E"/>
    <w:rsid w:val="006B1DAB"/>
    <w:rsid w:val="006C163E"/>
    <w:rsid w:val="006C6751"/>
    <w:rsid w:val="00704F81"/>
    <w:rsid w:val="0071162E"/>
    <w:rsid w:val="00742A41"/>
    <w:rsid w:val="00766B71"/>
    <w:rsid w:val="007765C8"/>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E3125"/>
    <w:rsid w:val="008F2179"/>
    <w:rsid w:val="008F34CA"/>
    <w:rsid w:val="0091094B"/>
    <w:rsid w:val="00922B2A"/>
    <w:rsid w:val="00940B04"/>
    <w:rsid w:val="0094111F"/>
    <w:rsid w:val="00950957"/>
    <w:rsid w:val="00994F19"/>
    <w:rsid w:val="009C6C39"/>
    <w:rsid w:val="009E16E6"/>
    <w:rsid w:val="009E7CFD"/>
    <w:rsid w:val="009F1AFD"/>
    <w:rsid w:val="00A07537"/>
    <w:rsid w:val="00A12FCC"/>
    <w:rsid w:val="00A20E77"/>
    <w:rsid w:val="00A41018"/>
    <w:rsid w:val="00A4371C"/>
    <w:rsid w:val="00A4419D"/>
    <w:rsid w:val="00A94BC2"/>
    <w:rsid w:val="00AA235E"/>
    <w:rsid w:val="00AB1E09"/>
    <w:rsid w:val="00AB26CB"/>
    <w:rsid w:val="00AC0C0F"/>
    <w:rsid w:val="00AF0254"/>
    <w:rsid w:val="00B163C2"/>
    <w:rsid w:val="00B26EAA"/>
    <w:rsid w:val="00B3006B"/>
    <w:rsid w:val="00B6021F"/>
    <w:rsid w:val="00B812A3"/>
    <w:rsid w:val="00BE1A05"/>
    <w:rsid w:val="00C0375B"/>
    <w:rsid w:val="00C12459"/>
    <w:rsid w:val="00C162F5"/>
    <w:rsid w:val="00C200F5"/>
    <w:rsid w:val="00C4247E"/>
    <w:rsid w:val="00C6125E"/>
    <w:rsid w:val="00C66A58"/>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D3E01"/>
    <w:rsid w:val="00DF09F2"/>
    <w:rsid w:val="00E0470C"/>
    <w:rsid w:val="00E05CEB"/>
    <w:rsid w:val="00E1504D"/>
    <w:rsid w:val="00E15884"/>
    <w:rsid w:val="00E3129B"/>
    <w:rsid w:val="00E40BA1"/>
    <w:rsid w:val="00E5298D"/>
    <w:rsid w:val="00E53CD4"/>
    <w:rsid w:val="00E55A09"/>
    <w:rsid w:val="00E6414A"/>
    <w:rsid w:val="00EB72BD"/>
    <w:rsid w:val="00EC666D"/>
    <w:rsid w:val="00F2030B"/>
    <w:rsid w:val="00F35254"/>
    <w:rsid w:val="00F620F7"/>
    <w:rsid w:val="00F751DF"/>
    <w:rsid w:val="00FA1D19"/>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717140">
      <w:bodyDiv w:val="1"/>
      <w:marLeft w:val="0"/>
      <w:marRight w:val="0"/>
      <w:marTop w:val="0"/>
      <w:marBottom w:val="0"/>
      <w:divBdr>
        <w:top w:val="none" w:sz="0" w:space="0" w:color="auto"/>
        <w:left w:val="none" w:sz="0" w:space="0" w:color="auto"/>
        <w:bottom w:val="none" w:sz="0" w:space="0" w:color="auto"/>
        <w:right w:val="none" w:sz="0" w:space="0" w:color="auto"/>
      </w:divBdr>
    </w:div>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1372145644">
      <w:bodyDiv w:val="1"/>
      <w:marLeft w:val="0"/>
      <w:marRight w:val="0"/>
      <w:marTop w:val="0"/>
      <w:marBottom w:val="0"/>
      <w:divBdr>
        <w:top w:val="none" w:sz="0" w:space="0" w:color="auto"/>
        <w:left w:val="none" w:sz="0" w:space="0" w:color="auto"/>
        <w:bottom w:val="none" w:sz="0" w:space="0" w:color="auto"/>
        <w:right w:val="none" w:sz="0" w:space="0" w:color="auto"/>
      </w:divBdr>
    </w:div>
    <w:div w:id="1843200085">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doi.org/10.1007/s10936-007-9053-z" TargetMode="External"/><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hyperlink" Target="https://doi.org/10.1037/pas0000156" TargetMode="External"/><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microsoft.com/office/2011/relationships/commentsExtended" Target="commentsExtended.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doi.org/10.1007/s11616-010-0093-2" TargetMode="External"/><Relationship Id="rId40" Type="http://schemas.openxmlformats.org/officeDocument/2006/relationships/hyperlink" Target="https://doi.org/10.1017/S0142716424000010" TargetMode="External"/><Relationship Id="rId45" Type="http://schemas.openxmlformats.org/officeDocument/2006/relationships/hyperlink" Target="https://www.rechtschreibrat.com/DOX/rfdr_PM_2023-12-20_Geschlechtergerechte_Schreibung_Erlaeuterungs-Begruendungspapier.pdf"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glossaryDocument" Target="glossary/document.xml"/><Relationship Id="rId10" Type="http://schemas.openxmlformats.org/officeDocument/2006/relationships/comments" Target="comment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politbarometer2.zdf.de/store/Politbarometer/2021_07_16/html/1280x720-1626375458070-0469d703.jpg"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doi.org/10.1080/0163853X.2023.2199531" TargetMode="External"/><Relationship Id="rId48" Type="http://schemas.microsoft.com/office/2011/relationships/people" Target="people.xml"/><Relationship Id="rId8" Type="http://schemas.openxmlformats.org/officeDocument/2006/relationships/footer" Target="footer1.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3.xml"/><Relationship Id="rId38" Type="http://schemas.openxmlformats.org/officeDocument/2006/relationships/hyperlink" Target="https://doi.org/10.3389/fpsyg.2021.760062" TargetMode="External"/><Relationship Id="rId46" Type="http://schemas.openxmlformats.org/officeDocument/2006/relationships/footer" Target="footer4.xml"/><Relationship Id="rId20" Type="http://schemas.openxmlformats.org/officeDocument/2006/relationships/image" Target="media/image7.png"/><Relationship Id="rId41" Type="http://schemas.openxmlformats.org/officeDocument/2006/relationships/hyperlink" Target="https://doi.org/10.1371/journal.pone.0249309" TargetMode="Externa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C11C4"/>
    <w:rsid w:val="001E1B03"/>
    <w:rsid w:val="00265812"/>
    <w:rsid w:val="002F2EA5"/>
    <w:rsid w:val="00335C5F"/>
    <w:rsid w:val="003C30B9"/>
    <w:rsid w:val="003C37F2"/>
    <w:rsid w:val="00442916"/>
    <w:rsid w:val="00516574"/>
    <w:rsid w:val="00542833"/>
    <w:rsid w:val="005612A4"/>
    <w:rsid w:val="005904F3"/>
    <w:rsid w:val="005D78C0"/>
    <w:rsid w:val="005E016B"/>
    <w:rsid w:val="006730F7"/>
    <w:rsid w:val="0067478E"/>
    <w:rsid w:val="00744F8E"/>
    <w:rsid w:val="007B53A6"/>
    <w:rsid w:val="00802AC4"/>
    <w:rsid w:val="00846D93"/>
    <w:rsid w:val="00963CB1"/>
    <w:rsid w:val="00A94BC2"/>
    <w:rsid w:val="00B20BB0"/>
    <w:rsid w:val="00B25052"/>
    <w:rsid w:val="00B50854"/>
    <w:rsid w:val="00B6021F"/>
    <w:rsid w:val="00BA3ED8"/>
    <w:rsid w:val="00BA569E"/>
    <w:rsid w:val="00C4247E"/>
    <w:rsid w:val="00C47330"/>
    <w:rsid w:val="00C64BAF"/>
    <w:rsid w:val="00C73C78"/>
    <w:rsid w:val="00D32F32"/>
    <w:rsid w:val="00DC5186"/>
    <w:rsid w:val="00DE0ACB"/>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3BCA09-769B-409D-BF9A-6272F56BB3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7488</Words>
  <Characters>47176</Characters>
  <Application>Microsoft Office Word</Application>
  <DocSecurity>0</DocSecurity>
  <Lines>393</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104</cp:revision>
  <dcterms:created xsi:type="dcterms:W3CDTF">2026-07-16T19:57:00Z</dcterms:created>
  <dcterms:modified xsi:type="dcterms:W3CDTF">2026-08-28T14:56:00Z</dcterms:modified>
</cp:coreProperties>
</file>