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A4371C">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A4371C">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A4371C">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A4371C"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A4371C"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w:t>
      </w:r>
      <w:proofErr w:type="spellStart"/>
      <w:r>
        <w:rPr>
          <w:lang w:val="en-GB"/>
        </w:rPr>
        <w:t>Parshley</w:t>
      </w:r>
      <w:proofErr w:type="spellEnd"/>
      <w:r>
        <w:rPr>
          <w:lang w:val="en-GB"/>
        </w:rPr>
        <w:t>,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04C56546" w14:textId="5B0BA99D" w:rsidR="008E1375"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proofErr w:type="gramStart"/>
      <w:r w:rsidR="003E2CEB">
        <w:rPr>
          <w:lang w:val="en-GB"/>
        </w:rPr>
        <w:t xml:space="preserve">: </w:t>
      </w:r>
      <w:r w:rsidR="003E2CEB" w:rsidRPr="003E2CEB">
        <w:rPr>
          <w:lang w:val="en-GB"/>
        </w:rPr>
        <w:t>:</w:t>
      </w:r>
      <w:proofErr w:type="gramEnd"/>
      <w:r w:rsidR="003E2CEB" w:rsidRPr="003E2CEB">
        <w:rPr>
          <w:lang w:val="en-GB"/>
        </w:rPr>
        <w:t xml:space="preserve"> women reported lower task value, lower intrinsic motivation, and lower self</w:t>
      </w:r>
      <w:r w:rsidR="003E2CEB" w:rsidRPr="003E2CEB">
        <w:rPr>
          <w:lang w:val="en-GB"/>
        </w:rPr>
        <w:noBreakHyphen/>
        <w:t>efficacy when items were phrased in masculine</w:t>
      </w:r>
      <w:r w:rsidR="003E2CEB" w:rsidRPr="003E2CEB">
        <w:rPr>
          <w:lang w:val="en-GB"/>
        </w:rPr>
        <w:noBreakHyphen/>
        <w:t>generic form compared with gender</w:t>
      </w:r>
      <w:r w:rsidR="003E2CEB" w:rsidRPr="003E2CEB">
        <w:rPr>
          <w:lang w:val="en-GB"/>
        </w:rPr>
        <w:noBreakHyphen/>
        <w:t>neutral formulations.</w:t>
      </w:r>
    </w:p>
    <w:p w14:paraId="64B4439A" w14:textId="77777777" w:rsidR="003E2CEB" w:rsidRPr="003E2CEB" w:rsidRDefault="003E2CEB" w:rsidP="003E2CEB">
      <w:pPr>
        <w:spacing w:line="360" w:lineRule="auto"/>
        <w:jc w:val="both"/>
        <w:rPr>
          <w:lang w:val="en-GB"/>
        </w:rPr>
      </w:pPr>
      <w:r w:rsidRPr="003E2CEB">
        <w:rPr>
          <w:lang w:val="en-GB"/>
        </w:rPr>
        <w:t xml:space="preserve">Public opinion surveys illustrate how contested these issues are. A 2021 </w:t>
      </w:r>
      <w:proofErr w:type="spellStart"/>
      <w:r w:rsidRPr="003E2CEB">
        <w:rPr>
          <w:lang w:val="en-GB"/>
        </w:rPr>
        <w:t>Politbarometer</w:t>
      </w:r>
      <w:proofErr w:type="spellEnd"/>
      <w:r w:rsidRPr="003E2CEB">
        <w:rPr>
          <w:lang w:val="en-GB"/>
        </w:rPr>
        <w:t xml:space="preserve"> graphic, for example, shows substantial disagreement in the German population about whether and how language should be changed to become more gender</w:t>
      </w:r>
      <w:r w:rsidRPr="003E2CEB">
        <w:rPr>
          <w:rFonts w:ascii="Cambria Math" w:hAnsi="Cambria Math" w:cs="Cambria Math"/>
          <w:lang w:val="en-GB"/>
        </w:rPr>
        <w:t>‑</w:t>
      </w:r>
      <w:proofErr w:type="gramStart"/>
      <w:r w:rsidRPr="003E2CEB">
        <w:rPr>
          <w:lang w:val="en-GB"/>
        </w:rPr>
        <w:t>inclusive .</w:t>
      </w:r>
      <w:proofErr w:type="gramEnd"/>
      <w:r w:rsidRPr="003E2CEB">
        <w:rPr>
          <w:lang w:val="en-GB"/>
        </w:rPr>
        <w:t xml:space="preserve"> At the same time, institutions such as the Council for German Orthography have published detailed position papers explaining and justifying their recommendations for gender</w:t>
      </w:r>
      <w:r w:rsidRPr="003E2CEB">
        <w:rPr>
          <w:rFonts w:ascii="Cambria Math" w:hAnsi="Cambria Math" w:cs="Cambria Math"/>
          <w:lang w:val="en-GB"/>
        </w:rPr>
        <w:t>‑</w:t>
      </w:r>
      <w:r w:rsidRPr="003E2CEB">
        <w:rPr>
          <w:lang w:val="en-GB"/>
        </w:rPr>
        <w:t xml:space="preserve">sensitive spelling, including the use of paired forms, the gender star, and other </w:t>
      </w:r>
      <w:proofErr w:type="gramStart"/>
      <w:r w:rsidRPr="003E2CEB">
        <w:rPr>
          <w:lang w:val="en-GB"/>
        </w:rPr>
        <w:t>strategies .</w:t>
      </w:r>
      <w:proofErr w:type="gramEnd"/>
      <w:r w:rsidRPr="003E2CEB">
        <w:rPr>
          <w:lang w:val="en-GB"/>
        </w:rPr>
        <w:t xml:space="preserve"> </w:t>
      </w:r>
    </w:p>
    <w:p w14:paraId="7292574A" w14:textId="77777777" w:rsidR="003E2CEB" w:rsidRPr="003E2CEB" w:rsidRDefault="003E2CEB" w:rsidP="003E2CEB">
      <w:pPr>
        <w:spacing w:line="360" w:lineRule="auto"/>
        <w:jc w:val="both"/>
        <w:rPr>
          <w:lang w:val="en-GB"/>
        </w:rPr>
      </w:pPr>
      <w:r w:rsidRPr="003E2CEB">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w:t>
      </w:r>
      <w:proofErr w:type="spellStart"/>
      <w:r w:rsidRPr="003E2CEB">
        <w:rPr>
          <w:lang w:val="en-GB"/>
        </w:rPr>
        <w:t>Zacharski</w:t>
      </w:r>
      <w:proofErr w:type="spellEnd"/>
      <w:r w:rsidRPr="003E2CEB">
        <w:rPr>
          <w:lang w:val="en-GB"/>
        </w:rPr>
        <w:t xml:space="preserve"> &amp; </w:t>
      </w:r>
      <w:proofErr w:type="spellStart"/>
      <w:r w:rsidRPr="003E2CEB">
        <w:rPr>
          <w:lang w:val="en-GB"/>
        </w:rPr>
        <w:t>Ferstl</w:t>
      </w:r>
      <w:proofErr w:type="spellEnd"/>
      <w:r w:rsidRPr="003E2CEB">
        <w:rPr>
          <w:lang w:val="en-GB"/>
        </w:rPr>
        <w:t>, 2023). At the same time, some research highlights potential trade</w:t>
      </w:r>
      <w:r w:rsidRPr="003E2CEB">
        <w:rPr>
          <w:rFonts w:ascii="Cambria Math" w:hAnsi="Cambria Math" w:cs="Cambria Math"/>
          <w:lang w:val="en-GB"/>
        </w:rPr>
        <w:t>‑</w:t>
      </w:r>
      <w:r w:rsidRPr="003E2CEB">
        <w:rPr>
          <w:lang w:val="en-GB"/>
        </w:rPr>
        <w:t xml:space="preserve">offs, for example in perceived readability or aesthetic evaluation of news texts, which fuels ongoing discussion about optimal formulations in different contexts (Blake &amp; </w:t>
      </w:r>
      <w:proofErr w:type="spellStart"/>
      <w:r w:rsidRPr="003E2CEB">
        <w:rPr>
          <w:lang w:val="en-GB"/>
        </w:rPr>
        <w:t>Klimmt</w:t>
      </w:r>
      <w:proofErr w:type="spellEnd"/>
      <w:r w:rsidRPr="003E2CEB">
        <w:rPr>
          <w:lang w:val="en-GB"/>
        </w:rPr>
        <w:t>, 2010</w:t>
      </w:r>
      <w:proofErr w:type="gramStart"/>
      <w:r w:rsidRPr="003E2CEB">
        <w:rPr>
          <w:lang w:val="en-GB"/>
        </w:rPr>
        <w:t>) .</w:t>
      </w:r>
      <w:proofErr w:type="gramEnd"/>
    </w:p>
    <w:p w14:paraId="6976CF76" w14:textId="732BA4BF" w:rsidR="003E2CEB" w:rsidRDefault="003E2CEB" w:rsidP="003E2CEB">
      <w:pPr>
        <w:spacing w:line="360" w:lineRule="auto"/>
        <w:jc w:val="both"/>
        <w:rPr>
          <w:lang w:val="en-GB"/>
        </w:rPr>
      </w:pPr>
      <w:r w:rsidRPr="003E2CEB">
        <w:rPr>
          <w:lang w:val="en-GB"/>
        </w:rPr>
        <w:t>A recent study on the glottal stop used a continuation paradigm in which participants first heard a sentence containing a gender</w:t>
      </w:r>
      <w:r w:rsidRPr="003E2CEB">
        <w:rPr>
          <w:rFonts w:ascii="Cambria Math" w:hAnsi="Cambria Math" w:cs="Cambria Math"/>
          <w:lang w:val="en-GB"/>
        </w:rPr>
        <w:t>‑</w:t>
      </w:r>
      <w:r w:rsidRPr="003E2CEB">
        <w:rPr>
          <w:lang w:val="en-GB"/>
        </w:rPr>
        <w:t xml:space="preserve">inclusive role noun such as </w:t>
      </w:r>
      <w:proofErr w:type="spellStart"/>
      <w:r w:rsidRPr="003E2CEB">
        <w:rPr>
          <w:lang w:val="en-GB"/>
        </w:rPr>
        <w:t>Lehrerinnen</w:t>
      </w:r>
      <w:proofErr w:type="spellEnd"/>
      <w:r w:rsidRPr="003E2CEB">
        <w:rPr>
          <w:lang w:val="en-GB"/>
        </w:rPr>
        <w:t xml:space="preserve">* (produced with an audible glottal stop before </w:t>
      </w:r>
      <w:r w:rsidRPr="003E2CEB">
        <w:rPr>
          <w:rFonts w:ascii="Cambria Math" w:hAnsi="Cambria Math" w:cs="Cambria Math"/>
          <w:lang w:val="en-GB"/>
        </w:rPr>
        <w:t>‑</w:t>
      </w:r>
      <w:proofErr w:type="spellStart"/>
      <w:r w:rsidRPr="003E2CEB">
        <w:rPr>
          <w:lang w:val="en-GB"/>
        </w:rPr>
        <w:t>innen</w:t>
      </w:r>
      <w:proofErr w:type="spellEnd"/>
      <w:r w:rsidRPr="003E2CEB">
        <w:rPr>
          <w:lang w:val="en-GB"/>
        </w:rPr>
        <w:t xml:space="preserve">), followed by a second sentence that referred to either a male or a female subset of that group (e.g., Die </w:t>
      </w:r>
      <w:proofErr w:type="spellStart"/>
      <w:r w:rsidRPr="003E2CEB">
        <w:rPr>
          <w:lang w:val="en-GB"/>
        </w:rPr>
        <w:t>meisten</w:t>
      </w:r>
      <w:proofErr w:type="spellEnd"/>
      <w:r w:rsidRPr="003E2CEB">
        <w:rPr>
          <w:lang w:val="en-GB"/>
        </w:rPr>
        <w:t xml:space="preserve"> </w:t>
      </w:r>
      <w:proofErr w:type="spellStart"/>
      <w:r w:rsidRPr="003E2CEB">
        <w:rPr>
          <w:lang w:val="en-GB"/>
        </w:rPr>
        <w:t>Männer</w:t>
      </w:r>
      <w:proofErr w:type="spellEnd"/>
      <w:r w:rsidRPr="003E2CEB">
        <w:rPr>
          <w:lang w:val="en-GB"/>
        </w:rPr>
        <w:t>/Frauen …). Participants judged whether the second sentence was a sensible continuation of the first. The authors found that the glottal</w:t>
      </w:r>
      <w:r w:rsidRPr="003E2CEB">
        <w:rPr>
          <w:rFonts w:ascii="Cambria Math" w:hAnsi="Cambria Math" w:cs="Cambria Math"/>
          <w:lang w:val="en-GB"/>
        </w:rPr>
        <w:t>‑</w:t>
      </w:r>
      <w:r w:rsidRPr="003E2CEB">
        <w:rPr>
          <w:lang w:val="en-GB"/>
        </w:rPr>
        <w:t xml:space="preserve">stop form led to more balanced acceptance of male and female continuations than the generic masculine, providing phonetic and processing evidence that forms like </w:t>
      </w:r>
      <w:proofErr w:type="spellStart"/>
      <w:r w:rsidRPr="003E2CEB">
        <w:rPr>
          <w:lang w:val="en-GB"/>
        </w:rPr>
        <w:t>Lehrerinnen</w:t>
      </w:r>
      <w:proofErr w:type="spellEnd"/>
      <w:r w:rsidRPr="003E2CEB">
        <w:rPr>
          <w:lang w:val="en-GB"/>
        </w:rPr>
        <w:t>* are realized as distinct, gender</w:t>
      </w:r>
      <w:r w:rsidRPr="003E2CEB">
        <w:rPr>
          <w:rFonts w:ascii="Cambria Math" w:hAnsi="Cambria Math" w:cs="Cambria Math"/>
          <w:lang w:val="en-GB"/>
        </w:rPr>
        <w:t>‑</w:t>
      </w:r>
      <w:r w:rsidRPr="003E2CEB">
        <w:rPr>
          <w:lang w:val="en-GB"/>
        </w:rPr>
        <w:t>inclusive markers in spoken German (</w:t>
      </w:r>
      <w:proofErr w:type="spellStart"/>
      <w:r w:rsidRPr="003E2CEB">
        <w:rPr>
          <w:lang w:val="en-GB"/>
        </w:rPr>
        <w:t>Körner</w:t>
      </w:r>
      <w:proofErr w:type="spellEnd"/>
      <w:r w:rsidRPr="003E2CEB">
        <w:rPr>
          <w:lang w:val="en-GB"/>
        </w:rPr>
        <w:t xml:space="preserve"> et al., 2024).</w:t>
      </w:r>
    </w:p>
    <w:p w14:paraId="0C420936" w14:textId="5831D14E" w:rsidR="00742A41" w:rsidRPr="00092581" w:rsidRDefault="00742A41" w:rsidP="00092581">
      <w:pPr>
        <w:pStyle w:val="berschrift2"/>
        <w:rPr>
          <w:lang w:val="en-GB"/>
        </w:rPr>
      </w:pPr>
      <w:bookmarkStart w:id="5" w:name="_Toc235728785"/>
      <w:bookmarkStart w:id="6" w:name="_GoBack"/>
      <w:bookmarkEnd w:id="6"/>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7" w:name="_Toc235728786"/>
      <w:r w:rsidRPr="00E15884">
        <w:rPr>
          <w:lang w:val="en-GB"/>
        </w:rPr>
        <w:t>1.3 Research Question</w:t>
      </w:r>
      <w:r w:rsidR="00442386">
        <w:rPr>
          <w:lang w:val="en-GB"/>
        </w:rPr>
        <w:t xml:space="preserve"> </w:t>
      </w:r>
      <w:r w:rsidR="00442386">
        <w:rPr>
          <w:b w:val="0"/>
          <w:lang w:val="en-GB"/>
        </w:rPr>
        <w:t>(Aylina)</w:t>
      </w:r>
      <w:bookmarkEnd w:id="7"/>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8"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8"/>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9"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9"/>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10"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10"/>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1" w:name="_Toc235728790"/>
      <w:r w:rsidRPr="00E15884">
        <w:rPr>
          <w:lang w:val="en-GB"/>
        </w:rPr>
        <w:lastRenderedPageBreak/>
        <w:t>2. Experimental methods</w:t>
      </w:r>
      <w:r w:rsidR="00442386">
        <w:rPr>
          <w:lang w:val="en-GB"/>
        </w:rPr>
        <w:t xml:space="preserve"> (Sophie)</w:t>
      </w:r>
      <w:bookmarkEnd w:id="11"/>
    </w:p>
    <w:p w14:paraId="3BF94EDE" w14:textId="2E54FA26" w:rsidR="00742A41" w:rsidRPr="00E15884" w:rsidRDefault="00742A41" w:rsidP="007E273E">
      <w:pPr>
        <w:pStyle w:val="berschrift2"/>
        <w:rPr>
          <w:lang w:val="en-GB"/>
        </w:rPr>
      </w:pPr>
      <w:bookmarkStart w:id="12" w:name="_Toc235728791"/>
      <w:r w:rsidRPr="00E15884">
        <w:rPr>
          <w:lang w:val="en-GB"/>
        </w:rPr>
        <w:t>2.1 Participants</w:t>
      </w:r>
      <w:r w:rsidR="00442386">
        <w:rPr>
          <w:lang w:val="en-GB"/>
        </w:rPr>
        <w:t xml:space="preserve"> (Sophie)</w:t>
      </w:r>
      <w:bookmarkEnd w:id="12"/>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3" w:name="_Toc235728792"/>
      <w:r w:rsidRPr="00D4177F">
        <w:rPr>
          <w:lang w:val="en-GB"/>
        </w:rPr>
        <w:t>2.2 Materials/Stimuli</w:t>
      </w:r>
      <w:r w:rsidR="00442386" w:rsidRPr="00D4177F">
        <w:rPr>
          <w:lang w:val="en-GB"/>
        </w:rPr>
        <w:t xml:space="preserve"> (Sophie)</w:t>
      </w:r>
      <w:bookmarkEnd w:id="13"/>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4"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4"/>
    </w:p>
    <w:p w14:paraId="60EFF737" w14:textId="4F592F71" w:rsidR="00672E8A" w:rsidRDefault="00672E8A" w:rsidP="00672E8A">
      <w:pPr>
        <w:pStyle w:val="berschrift3"/>
        <w:rPr>
          <w:lang w:val="en-GB"/>
        </w:rPr>
      </w:pPr>
      <w:bookmarkStart w:id="15" w:name="_Toc235728794"/>
      <w:r>
        <w:rPr>
          <w:lang w:val="en-GB"/>
        </w:rPr>
        <w:t>2.3.1 Experiment Process</w:t>
      </w:r>
      <w:r w:rsidR="00512497">
        <w:rPr>
          <w:lang w:val="en-GB"/>
        </w:rPr>
        <w:t xml:space="preserve"> (Sophie)</w:t>
      </w:r>
      <w:bookmarkEnd w:id="15"/>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6" w:name="_Toc235728795"/>
      <w:r>
        <w:rPr>
          <w:lang w:val="en-GB"/>
        </w:rPr>
        <w:t xml:space="preserve">2.3.2 </w:t>
      </w:r>
      <w:r w:rsidRPr="007E273E">
        <w:rPr>
          <w:lang w:val="en-GB"/>
        </w:rPr>
        <w:t>Questionnaire</w:t>
      </w:r>
      <w:r>
        <w:rPr>
          <w:lang w:val="en-GB"/>
        </w:rPr>
        <w:t xml:space="preserve"> </w:t>
      </w:r>
      <w:r w:rsidR="00512497">
        <w:rPr>
          <w:lang w:val="en-GB"/>
        </w:rPr>
        <w:t>(Sophie)</w:t>
      </w:r>
      <w:bookmarkEnd w:id="16"/>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7"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7"/>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8"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8"/>
    </w:p>
    <w:p w14:paraId="360DF302" w14:textId="461ED0E3" w:rsidR="00742A41" w:rsidRPr="00F620F7" w:rsidRDefault="00742A41" w:rsidP="007E273E">
      <w:pPr>
        <w:pStyle w:val="berschrift2"/>
        <w:rPr>
          <w:lang w:val="en-GB"/>
        </w:rPr>
      </w:pPr>
      <w:bookmarkStart w:id="19"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9"/>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20"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20"/>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3E2CEB"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3E2CEB"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3E2CEB"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1"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1"/>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2"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2"/>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3"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3"/>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w:t>
      </w:r>
      <w:proofErr w:type="spellStart"/>
      <w:r w:rsidRPr="00704F81">
        <w:rPr>
          <w:color w:val="000000"/>
          <w:szCs w:val="22"/>
          <w:lang w:val="en-GB"/>
        </w:rPr>
        <w:t>ms</w:t>
      </w:r>
      <w:proofErr w:type="spellEnd"/>
      <w:r w:rsidRPr="00704F81">
        <w:rPr>
          <w:color w:val="000000"/>
          <w:szCs w:val="22"/>
          <w:lang w:val="en-GB"/>
        </w:rPr>
        <w:t xml:space="preserve">, with an average of about 200–250 </w:t>
      </w:r>
      <w:proofErr w:type="spellStart"/>
      <w:r w:rsidRPr="00704F81">
        <w:rPr>
          <w:color w:val="000000"/>
          <w:szCs w:val="22"/>
          <w:lang w:val="en-GB"/>
        </w:rPr>
        <w:t>ms</w:t>
      </w:r>
      <w:proofErr w:type="spellEnd"/>
      <w:r w:rsidRPr="00704F81">
        <w:rPr>
          <w:color w:val="000000"/>
          <w:szCs w:val="22"/>
          <w:lang w:val="en-GB"/>
        </w:rPr>
        <w:t xml:space="preserve"> (</w:t>
      </w:r>
      <w:proofErr w:type="spellStart"/>
      <w:r w:rsidRPr="00704F81">
        <w:rPr>
          <w:color w:val="000000"/>
          <w:szCs w:val="22"/>
          <w:lang w:val="en-GB"/>
        </w:rPr>
        <w:t>Schotter</w:t>
      </w:r>
      <w:proofErr w:type="spellEnd"/>
      <w:r w:rsidRPr="00704F81">
        <w:rPr>
          <w:color w:val="000000"/>
          <w:szCs w:val="22"/>
          <w:lang w:val="en-GB"/>
        </w:rPr>
        <w:t xml:space="preserve">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4"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4"/>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5"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5"/>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w:t>
      </w:r>
      <w:proofErr w:type="spellStart"/>
      <w:r w:rsidRPr="00704F81">
        <w:rPr>
          <w:lang w:val="en-GB"/>
        </w:rPr>
        <w:t>Mézière</w:t>
      </w:r>
      <w:proofErr w:type="spellEnd"/>
      <w:r w:rsidRPr="00704F81">
        <w:rPr>
          <w:lang w:val="en-GB"/>
        </w:rPr>
        <w:t xml:space="preserve"> et al., 2021).</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6"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6"/>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 xml:space="preserve">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can</w:t>
      </w:r>
      <w:proofErr w:type="spellEnd"/>
      <w:r w:rsidRPr="00950957">
        <w:rPr>
          <w:rFonts w:cs="Arial"/>
          <w:b w:val="0"/>
          <w:bCs/>
          <w:color w:val="000000"/>
          <w:sz w:val="24"/>
          <w:szCs w:val="24"/>
        </w:rPr>
        <w:t xml:space="preserve"> be </w:t>
      </w:r>
      <w:proofErr w:type="spellStart"/>
      <w:r w:rsidRPr="00950957">
        <w:rPr>
          <w:rFonts w:cs="Arial"/>
          <w:b w:val="0"/>
          <w:bCs/>
          <w:color w:val="000000"/>
          <w:sz w:val="24"/>
          <w:szCs w:val="24"/>
        </w:rPr>
        <w:t>divided</w:t>
      </w:r>
      <w:proofErr w:type="spellEnd"/>
      <w:r w:rsidRPr="00950957">
        <w:rPr>
          <w:rFonts w:cs="Arial"/>
          <w:b w:val="0"/>
          <w:bCs/>
          <w:color w:val="000000"/>
          <w:sz w:val="24"/>
          <w:szCs w:val="24"/>
        </w:rPr>
        <w:t xml:space="preserve"> into three </w:t>
      </w:r>
      <w:proofErr w:type="spellStart"/>
      <w:r w:rsidRPr="00950957">
        <w:rPr>
          <w:rFonts w:cs="Arial"/>
          <w:b w:val="0"/>
          <w:bCs/>
          <w:color w:val="000000"/>
          <w:sz w:val="24"/>
          <w:szCs w:val="24"/>
        </w:rPr>
        <w:t>broad</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groups</w:t>
      </w:r>
      <w:proofErr w:type="spellEnd"/>
      <w:r w:rsidRPr="00950957">
        <w:rPr>
          <w:rFonts w:cs="Arial"/>
          <w:b w:val="0"/>
          <w:bCs/>
          <w:color w:val="000000"/>
          <w:sz w:val="24"/>
          <w:szCs w:val="24"/>
        </w:rPr>
        <w:t>:</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proofErr w:type="spellStart"/>
      <w:r w:rsidRPr="00950957">
        <w:rPr>
          <w:rFonts w:cs="Arial"/>
          <w:b w:val="0"/>
          <w:bCs/>
          <w:color w:val="000000"/>
          <w:sz w:val="24"/>
          <w:szCs w:val="24"/>
        </w:rPr>
        <w:t>Several</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participants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answered</w:t>
      </w:r>
      <w:proofErr w:type="spellEnd"/>
      <w:r w:rsidRPr="00950957">
        <w:rPr>
          <w:rFonts w:cs="Arial"/>
          <w:b w:val="0"/>
          <w:bCs/>
          <w:color w:val="000000"/>
          <w:sz w:val="24"/>
          <w:szCs w:val="24"/>
        </w:rPr>
        <w:t xml:space="preserve"> “gendern,” “Gender-Sprache,” </w:t>
      </w:r>
      <w:proofErr w:type="spellStart"/>
      <w:r w:rsidRPr="00950957">
        <w:rPr>
          <w:rFonts w:cs="Arial"/>
          <w:b w:val="0"/>
          <w:bCs/>
          <w:color w:val="000000"/>
          <w:sz w:val="24"/>
          <w:szCs w:val="24"/>
        </w:rPr>
        <w:t>or</w:t>
      </w:r>
      <w:proofErr w:type="spellEnd"/>
      <w:r w:rsidRPr="00950957">
        <w:rPr>
          <w:rFonts w:cs="Arial"/>
          <w:b w:val="0"/>
          <w:bCs/>
          <w:color w:val="000000"/>
          <w:sz w:val="24"/>
          <w:szCs w:val="24"/>
        </w:rPr>
        <w:t xml:space="preserve">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w:t>
      </w:r>
      <w:proofErr w:type="spellStart"/>
      <w:r w:rsidRPr="00950957">
        <w:rPr>
          <w:rFonts w:cs="Arial"/>
          <w:b w:val="0"/>
          <w:bCs/>
          <w:color w:val="000000"/>
          <w:sz w:val="24"/>
          <w:szCs w:val="24"/>
          <w:lang w:val="en-GB"/>
        </w:rPr>
        <w:t>allgemeine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politische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Themen</w:t>
      </w:r>
      <w:proofErr w:type="spellEnd"/>
      <w:r w:rsidRPr="00950957">
        <w:rPr>
          <w:rFonts w:cs="Arial"/>
          <w:b w:val="0"/>
          <w:bCs/>
          <w:color w:val="000000"/>
          <w:sz w:val="24"/>
          <w:szCs w:val="24"/>
          <w:lang w:val="en-GB"/>
        </w:rPr>
        <w:t>,”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proofErr w:type="spellStart"/>
      <w:r w:rsidRPr="00950957">
        <w:rPr>
          <w:rFonts w:cs="Arial"/>
          <w:b w:val="0"/>
          <w:bCs/>
          <w:color w:val="000000"/>
          <w:sz w:val="24"/>
          <w:szCs w:val="24"/>
        </w:rPr>
        <w:t>Based</w:t>
      </w:r>
      <w:proofErr w:type="spellEnd"/>
      <w:r w:rsidRPr="00950957">
        <w:rPr>
          <w:rFonts w:cs="Arial"/>
          <w:b w:val="0"/>
          <w:bCs/>
          <w:color w:val="000000"/>
          <w:sz w:val="24"/>
          <w:szCs w:val="24"/>
        </w:rPr>
        <w:t xml:space="preserve"> on 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proofErr w:type="spellStart"/>
            <w:r w:rsidRPr="00950957">
              <w:rPr>
                <w:rFonts w:ascii="Arial" w:hAnsi="Arial" w:cs="Arial"/>
                <w:color w:val="000000"/>
              </w:rPr>
              <w:lastRenderedPageBreak/>
              <w:t>Measure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noProof/>
          <w:lang w:val="en-GB"/>
        </w:rPr>
        <w:lastRenderedPageBreak/>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24"/>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noProof/>
          <w:lang w:val="en-GB"/>
        </w:rPr>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25"/>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noProof/>
          <w:lang w:val="en-GB"/>
        </w:rPr>
        <w:lastRenderedPageBreak/>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26"/>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noProof/>
          <w:lang w:val="en-GB"/>
        </w:rPr>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27"/>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noProof/>
          <w:lang w:val="en-GB"/>
        </w:rPr>
        <w:lastRenderedPageBreak/>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28"/>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7" w:name="_Toc235728806"/>
      <w:r w:rsidRPr="00742A41">
        <w:rPr>
          <w:lang w:val="en-GB"/>
        </w:rPr>
        <w:t>4. Results</w:t>
      </w:r>
      <w:bookmarkEnd w:id="27"/>
    </w:p>
    <w:p w14:paraId="0882ED11" w14:textId="36D8D845" w:rsidR="004F4B77" w:rsidRDefault="002C7076" w:rsidP="002C7076">
      <w:pPr>
        <w:spacing w:line="360" w:lineRule="auto"/>
        <w:rPr>
          <w:lang w:val="en-GB"/>
        </w:rPr>
      </w:pPr>
      <w:r>
        <w:rPr>
          <w:lang w:val="en-GB"/>
        </w:rPr>
        <w:t xml:space="preserve">The analysis revealed that there was </w:t>
      </w:r>
      <w:r w:rsidR="00766B71">
        <w:rPr>
          <w:lang w:val="en-GB"/>
        </w:rPr>
        <w:t>no</w:t>
      </w:r>
      <w:r>
        <w:rPr>
          <w:lang w:val="en-GB"/>
        </w:rPr>
        <w:t xml:space="preserve"> statistically significant (p&lt;0.05) differences between different conditions for most of the measures except the following. </w:t>
      </w:r>
      <w:r>
        <w:rPr>
          <w:lang w:val="en-GB"/>
        </w:rPr>
        <w:br/>
        <w:t xml:space="preserve">The first-pass duration in the AN </w:t>
      </w:r>
      <w:r w:rsidR="00766B71">
        <w:rPr>
          <w:lang w:val="en-GB"/>
        </w:rPr>
        <w:t xml:space="preserve">for the masculine role noun paired with the male anaphor (C1) showed significantly shorter reading time than the masculine role noun paired with the female anaphor (C2). That indicates that participants had more problems processing the female anaphor with the male role noun than with the male anaphor. This finding was predicted in this report due to the gender mismatch we created with the condition C2 our first Hypothesis that the masculine form would produce the strongest male bias, reflected in increased processing difficulty when the subsequent sentence refers to women. </w:t>
      </w:r>
    </w:p>
    <w:p w14:paraId="0A5CA4D1" w14:textId="77777777" w:rsidR="00766B71" w:rsidRDefault="00766B71" w:rsidP="002C7076">
      <w:pPr>
        <w:spacing w:line="360" w:lineRule="auto"/>
        <w:rPr>
          <w:lang w:val="en-GB"/>
        </w:rPr>
      </w:pPr>
    </w:p>
    <w:p w14:paraId="4A196607" w14:textId="77777777" w:rsidR="00766B71" w:rsidRDefault="00766B71" w:rsidP="002C7076">
      <w:pPr>
        <w:spacing w:line="360" w:lineRule="auto"/>
        <w:rPr>
          <w:lang w:val="en-GB"/>
        </w:rPr>
      </w:pPr>
    </w:p>
    <w:p w14:paraId="2C906039" w14:textId="267305BA" w:rsidR="002C7076" w:rsidRDefault="002C7076" w:rsidP="002C7076">
      <w:pPr>
        <w:spacing w:line="360" w:lineRule="auto"/>
        <w:rPr>
          <w:lang w:val="en-GB"/>
        </w:rPr>
      </w:pPr>
      <w:r>
        <w:rPr>
          <w:lang w:val="en-GB"/>
        </w:rPr>
        <w:t xml:space="preserve">The </w:t>
      </w:r>
    </w:p>
    <w:p w14:paraId="23BEF5F6" w14:textId="716D371D" w:rsidR="00C200F5" w:rsidRDefault="002C7076" w:rsidP="002C7076">
      <w:pPr>
        <w:spacing w:line="360" w:lineRule="auto"/>
        <w:rPr>
          <w:lang w:val="en-GB"/>
        </w:rPr>
      </w:pPr>
      <w:r>
        <w:rPr>
          <w:lang w:val="en-GB"/>
        </w:rPr>
        <w:t>Hypothesis Testing</w:t>
      </w:r>
    </w:p>
    <w:p w14:paraId="39189711" w14:textId="51DC54E7" w:rsidR="002C7076" w:rsidRDefault="002C7076" w:rsidP="002C7076">
      <w:pPr>
        <w:spacing w:line="360" w:lineRule="auto"/>
        <w:rPr>
          <w:lang w:val="en-GB"/>
        </w:rPr>
      </w:pPr>
      <w:r>
        <w:rPr>
          <w:lang w:val="en-GB"/>
        </w:rPr>
        <w:t>Answer to the Research Question</w:t>
      </w:r>
    </w:p>
    <w:p w14:paraId="221CDE46" w14:textId="77777777" w:rsidR="002C7076" w:rsidRPr="004F4B77" w:rsidRDefault="002C7076"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8" w:name="_Toc235728807"/>
      <w:r w:rsidRPr="00742A41">
        <w:rPr>
          <w:lang w:val="en-GB"/>
        </w:rPr>
        <w:t>5. D</w:t>
      </w:r>
      <w:r>
        <w:rPr>
          <w:lang w:val="en-GB"/>
        </w:rPr>
        <w:t>iscussion</w:t>
      </w:r>
      <w:r w:rsidR="00584525">
        <w:rPr>
          <w:lang w:val="en-GB"/>
        </w:rPr>
        <w:t xml:space="preserve"> (Aylina)</w:t>
      </w:r>
      <w:bookmarkEnd w:id="28"/>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lastRenderedPageBreak/>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 xml:space="preserve">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w:t>
      </w:r>
      <w:r w:rsidRPr="00515ED7">
        <w:rPr>
          <w:lang w:val="en-GB"/>
        </w:rPr>
        <w:lastRenderedPageBreak/>
        <w:t>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9"/>
      <w:r w:rsidRPr="00742A41">
        <w:rPr>
          <w:lang w:val="en-GB"/>
        </w:rPr>
        <w:t>Challenges during the project</w:t>
      </w:r>
      <w:commentRangeEnd w:id="29"/>
      <w:r w:rsidR="00AB26CB">
        <w:rPr>
          <w:rStyle w:val="Kommentarzeichen"/>
          <w:sz w:val="24"/>
          <w:szCs w:val="24"/>
          <w:lang w:val="en-GB"/>
        </w:rPr>
        <w:commentReference w:id="29"/>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0"/>
      <w:r w:rsidRPr="00742A41">
        <w:rPr>
          <w:lang w:val="en-GB"/>
        </w:rPr>
        <w:t>Outlook / improvements / lessons learned</w:t>
      </w:r>
      <w:commentRangeEnd w:id="30"/>
      <w:r w:rsidR="00AB26CB">
        <w:rPr>
          <w:rStyle w:val="Kommentarzeichen"/>
          <w:sz w:val="24"/>
          <w:szCs w:val="24"/>
          <w:lang w:val="en-GB"/>
        </w:rPr>
        <w:commentReference w:id="30"/>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1" w:name="_Toc235728808"/>
      <w:r w:rsidRPr="007E273E">
        <w:rPr>
          <w:lang w:val="en-GB"/>
        </w:rPr>
        <w:lastRenderedPageBreak/>
        <w:t>Appendix</w:t>
      </w:r>
      <w:bookmarkEnd w:id="31"/>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2" w:name="_Toc235728809" w:displacedByCustomXml="next"/>
    <w:sdt>
      <w:sdtPr>
        <w:rPr>
          <w:lang w:val="en-GB"/>
        </w:rPr>
        <w:tag w:val="CitaviBibliography"/>
        <w:id w:val="-1102875876"/>
        <w:placeholder>
          <w:docPart w:val="F0E2A6984B7C4143889978B0811E4044"/>
        </w:placeholder>
      </w:sdtPr>
      <w:sdtEnd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2"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3E2CEB"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3E2CEB"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30"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378022" w14:textId="77777777" w:rsidR="00A4371C" w:rsidRDefault="00A4371C" w:rsidP="00742A41">
      <w:pPr>
        <w:spacing w:after="0" w:line="240" w:lineRule="auto"/>
      </w:pPr>
      <w:r>
        <w:separator/>
      </w:r>
    </w:p>
  </w:endnote>
  <w:endnote w:type="continuationSeparator" w:id="0">
    <w:p w14:paraId="7EFD2EF1" w14:textId="77777777" w:rsidR="00A4371C" w:rsidRDefault="00A4371C"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B31132" w14:textId="77777777" w:rsidR="00A4371C" w:rsidRDefault="00A4371C" w:rsidP="00742A41">
      <w:pPr>
        <w:spacing w:after="0" w:line="240" w:lineRule="auto"/>
      </w:pPr>
      <w:r>
        <w:separator/>
      </w:r>
    </w:p>
  </w:footnote>
  <w:footnote w:type="continuationSeparator" w:id="0">
    <w:p w14:paraId="6C9CCFF2" w14:textId="77777777" w:rsidR="00A4371C" w:rsidRDefault="00A4371C"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11"/>
  </w:num>
  <w:num w:numId="22">
    <w:abstractNumId w:val="15"/>
  </w:num>
  <w:num w:numId="23">
    <w:abstractNumId w:val="0"/>
  </w:num>
  <w:num w:numId="24">
    <w:abstractNumId w:val="4"/>
  </w:num>
  <w:num w:numId="25">
    <w:abstractNumId w:val="14"/>
  </w:num>
  <w:num w:numId="26">
    <w:abstractNumId w:val="13"/>
  </w:num>
  <w:num w:numId="27">
    <w:abstractNumId w:val="9"/>
  </w:num>
  <w:num w:numId="28">
    <w:abstractNumId w:val="10"/>
  </w:num>
  <w:num w:numId="29">
    <w:abstractNumId w:val="12"/>
  </w:num>
  <w:num w:numId="3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163C7"/>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C7076"/>
    <w:rsid w:val="002F2EA5"/>
    <w:rsid w:val="00331C2E"/>
    <w:rsid w:val="00335C5F"/>
    <w:rsid w:val="00346C03"/>
    <w:rsid w:val="0036547C"/>
    <w:rsid w:val="003B1591"/>
    <w:rsid w:val="003B4886"/>
    <w:rsid w:val="003C048E"/>
    <w:rsid w:val="003C068F"/>
    <w:rsid w:val="003C30B9"/>
    <w:rsid w:val="003C64B3"/>
    <w:rsid w:val="003E2CEB"/>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66B7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9F1AFD"/>
    <w:rsid w:val="00A07537"/>
    <w:rsid w:val="00A12FCC"/>
    <w:rsid w:val="00A20E77"/>
    <w:rsid w:val="00A41018"/>
    <w:rsid w:val="00A4371C"/>
    <w:rsid w:val="00A4419D"/>
    <w:rsid w:val="00A94BC2"/>
    <w:rsid w:val="00AA235E"/>
    <w:rsid w:val="00AB1E09"/>
    <w:rsid w:val="00AB26CB"/>
    <w:rsid w:val="00AC0C0F"/>
    <w:rsid w:val="00AF0254"/>
    <w:rsid w:val="00B163C2"/>
    <w:rsid w:val="00B26EAA"/>
    <w:rsid w:val="00B3006B"/>
    <w:rsid w:val="00B6021F"/>
    <w:rsid w:val="00BE1A05"/>
    <w:rsid w:val="00C0375B"/>
    <w:rsid w:val="00C12459"/>
    <w:rsid w:val="00C162F5"/>
    <w:rsid w:val="00C200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843200085">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glossaryDocument" Target="glossary/document.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comments" Target="comments.xml"/><Relationship Id="rId41"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4.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commentsExtended" Target="commentsExtended.xml"/><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5E016B"/>
    <w:rsid w:val="006730F7"/>
    <w:rsid w:val="0067478E"/>
    <w:rsid w:val="00744F8E"/>
    <w:rsid w:val="007B53A6"/>
    <w:rsid w:val="00802AC4"/>
    <w:rsid w:val="00846D93"/>
    <w:rsid w:val="00963CB1"/>
    <w:rsid w:val="00A94BC2"/>
    <w:rsid w:val="00B20BB0"/>
    <w:rsid w:val="00B25052"/>
    <w:rsid w:val="00B50854"/>
    <w:rsid w:val="00B6021F"/>
    <w:rsid w:val="00C4247E"/>
    <w:rsid w:val="00C47330"/>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45E7A-73EF-4168-B4D7-FF80217B6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6632</Words>
  <Characters>41787</Characters>
  <Application>Microsoft Office Word</Application>
  <DocSecurity>0</DocSecurity>
  <Lines>348</Lines>
  <Paragraphs>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96</cp:revision>
  <dcterms:created xsi:type="dcterms:W3CDTF">2026-07-16T19:57:00Z</dcterms:created>
  <dcterms:modified xsi:type="dcterms:W3CDTF">2026-08-28T13:07:00Z</dcterms:modified>
</cp:coreProperties>
</file>