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508" w:lineRule="exact"/>
        <w:jc w:val="left"/>
      </w:pPr>
      <w:r>
        <w:rPr>
          <w:rFonts w:ascii="Arial" w:hAnsi="Arial"/>
          <w:b/>
          <w:color w:val="000000"/>
          <w:sz w:val="44"/>
        </w:rPr>
        <w:t>Auditing Provenance Confounding in Image Authenticity Classification: A Counterfeit-Medicine Case Study</w:t>
      </w:r>
    </w:p>
    <w:p>
      <w:pPr>
        <w:spacing w:after="20" w:line="240" w:lineRule="exact"/>
        <w:jc w:val="left"/>
      </w:pPr>
      <w:r>
        <w:rPr>
          <w:rFonts w:ascii="Times New Roman" w:hAnsi="Times New Roman"/>
          <w:b/>
          <w:i/>
          <w:sz w:val="16"/>
        </w:rPr>
        <w:t>SOPHIE ZHU</w:t>
      </w:r>
      <w:r>
        <w:rPr>
          <w:rFonts w:ascii="Times New Roman" w:hAnsi="Times New Roman"/>
          <w:i/>
          <w:sz w:val="16"/>
          <w:vertAlign w:val="superscript"/>
        </w:rPr>
        <w:t>1</w:t>
      </w:r>
    </w:p>
    <w:p>
      <w:pPr>
        <w:spacing w:after="20" w:line="240" w:lineRule="exact"/>
        <w:jc w:val="left"/>
      </w:pPr>
      <w:r>
        <w:rPr>
          <w:rFonts w:ascii="Times New Roman" w:hAnsi="Times New Roman"/>
          <w:i/>
          <w:sz w:val="16"/>
          <w:vertAlign w:val="superscript"/>
        </w:rPr>
        <w:t>1</w:t>
      </w:r>
      <w:r>
        <w:rPr>
          <w:rFonts w:ascii="Times New Roman" w:hAnsi="Times New Roman"/>
          <w:i/>
          <w:sz w:val="16"/>
        </w:rPr>
        <w:t>Mira Costa High School, Manhattan Beach, CA 90266 USA (e-mail: sophiezhu2028@gmail.com)</w:t>
      </w:r>
    </w:p>
    <w:p>
      <w:pPr>
        <w:spacing w:after="20" w:line="240" w:lineRule="exact"/>
        <w:jc w:val="left"/>
      </w:pPr>
      <w:r>
        <w:rPr>
          <w:rFonts w:ascii="Times New Roman" w:hAnsi="Times New Roman"/>
          <w:i/>
          <w:sz w:val="16"/>
        </w:rPr>
        <w:t>ORCID: 0009-0004-2403-910X</w:t>
      </w:r>
    </w:p>
    <w:p>
      <w:pPr>
        <w:spacing w:after="20" w:line="240" w:lineRule="exact"/>
        <w:jc w:val="left"/>
      </w:pPr>
      <w:r>
        <w:rPr>
          <w:rFonts w:ascii="Times New Roman" w:hAnsi="Times New Roman"/>
          <w:i/>
          <w:sz w:val="16"/>
        </w:rPr>
        <w:t>Corresponding author: Sophie Zhu (e-mail: sophiezhu2028@gmail.com).</w:t>
      </w:r>
    </w:p>
    <w:p>
      <w:pPr>
        <w:spacing w:after="20" w:line="240" w:lineRule="exact"/>
        <w:jc w:val="left"/>
      </w:pPr>
      <w:r>
        <w:rPr>
          <w:rFonts w:ascii="Times New Roman" w:hAnsi="Times New Roman"/>
          <w:i/>
          <w:sz w:val="16"/>
        </w:rPr>
        <w:t>This work received no specific grant from any funding agency in the public, commercial, or not-for-profit sectors.</w:t>
      </w:r>
    </w:p>
    <w:p>
      <w:pPr>
        <w:spacing w:after="160" w:line="240" w:lineRule="exact"/>
        <w:jc w:val="both"/>
      </w:pPr>
      <w:r>
        <w:rPr>
          <w:rFonts w:ascii="Arial" w:hAnsi="Arial"/>
          <w:b/>
          <w:color w:val="00548F"/>
          <w:sz w:val="20"/>
        </w:rPr>
        <w:t xml:space="preserve">ABSTRACT </w:t>
      </w:r>
      <w:r>
        <w:rPr>
          <w:rFonts w:ascii="Times New Roman" w:hAnsi="Times New Roman"/>
          <w:sz w:val="20"/>
        </w:rPr>
        <w:t xml:space="preserve">In image datasets that ask whether an object is genuine, the inauthentic class is usually scarcer and is often obtained by a different route: screen-captured, scraped or generated. The label then predicts the acquisition process, and every partition inherits the association. We call this </w:t>
      </w:r>
      <w:r>
        <w:rPr>
          <w:rFonts w:ascii="Times New Roman" w:hAnsi="Times New Roman"/>
          <w:b/>
          <w:sz w:val="20"/>
        </w:rPr>
        <w:t>class-conditional provenance confounding</w:t>
      </w:r>
      <w:r>
        <w:rPr>
          <w:rFonts w:ascii="Times New Roman" w:hAnsi="Times New Roman"/>
          <w:sz w:val="20"/>
        </w:rPr>
        <w:t xml:space="preserve"> and formalize and operationalize a pre-training </w:t>
      </w:r>
      <w:r>
        <w:rPr>
          <w:rFonts w:ascii="Times New Roman" w:hAnsi="Times New Roman"/>
          <w:b/>
          <w:sz w:val="20"/>
        </w:rPr>
        <w:t>provenance audit</w:t>
      </w:r>
      <w:r>
        <w:rPr>
          <w:rFonts w:ascii="Times New Roman" w:hAnsi="Times New Roman"/>
          <w:sz w:val="20"/>
        </w:rPr>
        <w:t xml:space="preserve"> for it: fit the classifier the study intends to use to acquisition metadata alone, on the study's own leakage-free partition, reading attributes the object cannot influence separately from mixed proxies. The audit is deliberately simple; a counterfeit-medicine case study shows its value. On a public dataset it returns </w:t>
      </w:r>
      <w:r>
        <w:rPr>
          <w:rFonts w:ascii="Times New Roman" w:hAnsi="Times New Roman"/>
          <w:b/>
          <w:sz w:val="20"/>
        </w:rPr>
        <w:t>1.000</w:t>
      </w:r>
      <w:r>
        <w:rPr>
          <w:rFonts w:ascii="Times New Roman" w:hAnsi="Times New Roman"/>
          <w:sz w:val="20"/>
        </w:rPr>
        <w:t>: every counterfeit-labeled file is a PNG screen capture and every authentic-labeled file a JPEG across all 510 images, so three header fields reproduce the labels, and in-distribution accuracy cannot separate packaging from provenance recognition. Two split designs differ by at most 6.8 points and near-duplicate leakage moves accuracy by 0.3. The model reaching 97.4% authentic-class accuracy on its own test partition recovers 6.0% of 150 independently sourced authentic photographs. On a balanced external set of 46 regulator-confirmed falsified products against 46 authentic-labeled photographs, balanced accuracy runs 0.478 to 0.652 and only one model excludes chance. An exploratory normalization removes the audited statistics and leaves both corrected backbones depending on the outer region of the frame: removing one provenance signal exposed another. A screen of six further archives shows that the audit discriminates across domains; how often the confound occurs is not established.</w:t>
      </w:r>
    </w:p>
    <w:p>
      <w:pPr>
        <w:spacing w:after="160" w:line="240" w:lineRule="exact"/>
        <w:jc w:val="both"/>
      </w:pPr>
      <w:r>
        <w:rPr>
          <w:rFonts w:ascii="Arial" w:hAnsi="Arial"/>
          <w:b/>
          <w:color w:val="00548F"/>
          <w:sz w:val="20"/>
        </w:rPr>
        <w:t xml:space="preserve">INDEX TERMS </w:t>
      </w:r>
      <w:r>
        <w:rPr>
          <w:rFonts w:ascii="Times New Roman" w:hAnsi="Times New Roman"/>
          <w:sz w:val="20"/>
        </w:rPr>
        <w:t>Data leakage, dataset bias, domain generalization, external validation, hidden stratification, image classification, provenance confounding, shortcut learning.</w:t>
      </w:r>
    </w:p>
    <w:p>
      <w:pPr>
        <w:sectPr>
          <w:footerReference w:type="default" r:id="rId9"/>
          <w:pgSz w:w="11520" w:h="15659"/>
          <w:pgMar w:top="1080" w:right="728" w:bottom="1134" w:left="728" w:header="720" w:footer="720" w:gutter="0"/>
          <w:docGrid w:linePitch="360"/>
          <w:cols w:num="1" w:equalWidth="1" w:space="0" w:sep="0"/>
        </w:sectPr>
      </w:pPr>
    </w:p>
    <w:p>
      <w:pPr>
        <w:keepNext/>
        <w:spacing w:before="200" w:after="60" w:line="240" w:lineRule="exact"/>
        <w:jc w:val="left"/>
      </w:pPr>
      <w:r>
        <w:rPr>
          <w:rFonts w:ascii="Arial" w:hAnsi="Arial"/>
          <w:b/>
          <w:i w:val="0"/>
          <w:color w:val="00548F"/>
          <w:sz w:val="18"/>
        </w:rPr>
        <w:t>I. INTRODUCTION</w:t>
      </w:r>
    </w:p>
    <w:p>
      <w:pPr>
        <w:spacing w:after="0" w:before="0" w:line="240" w:lineRule="exact"/>
        <w:ind w:firstLine="202"/>
        <w:jc w:val="both"/>
      </w:pPr>
      <w:r>
        <w:rPr>
          <w:rFonts w:ascii="Times New Roman" w:hAnsi="Times New Roman"/>
          <w:sz w:val="20"/>
        </w:rPr>
        <w:t xml:space="preserve">Substandard and falsified medical products are a persistent global health problem, concentrated in low- and middle-income countries and in unregulated online supply chains [1], [2]. Because much falsified product is visually imperfect — misprinted cartons, wrong color separations, missing batch information — image-based screening from a consumer smartphone is an attractive triage tool, and a body of work has applied convolutional networks to photographs of medicine packaging and reported high binary accuracy [3], [26]–[28], alongside a larger literature on pharmaceutical </w:t>
      </w:r>
      <w:r>
        <w:rPr>
          <w:rFonts w:ascii="Times New Roman" w:hAnsi="Times New Roman"/>
          <w:i/>
          <w:sz w:val="20"/>
        </w:rPr>
        <w:t>identification</w:t>
      </w:r>
      <w:r>
        <w:rPr>
          <w:rFonts w:ascii="Times New Roman" w:hAnsi="Times New Roman"/>
          <w:sz w:val="20"/>
        </w:rPr>
        <w:t xml:space="preserve"> rather than </w:t>
      </w:r>
      <w:r>
        <w:rPr>
          <w:rFonts w:ascii="Times New Roman" w:hAnsi="Times New Roman"/>
          <w:i/>
          <w:sz w:val="20"/>
        </w:rPr>
        <w:t>authentication</w:t>
      </w:r>
      <w:r>
        <w:rPr>
          <w:rFonts w:ascii="Times New Roman" w:hAnsi="Times New Roman"/>
          <w:sz w:val="20"/>
        </w:rPr>
        <w:t xml:space="preserve"> [4], [5].</w:t>
      </w:r>
    </w:p>
    <w:p>
      <w:pPr>
        <w:spacing w:after="0" w:before="0" w:line="240" w:lineRule="exact"/>
        <w:ind w:firstLine="202"/>
        <w:jc w:val="both"/>
      </w:pPr>
      <w:r>
        <w:rPr>
          <w:rFonts w:ascii="Times New Roman" w:hAnsi="Times New Roman"/>
          <w:sz w:val="20"/>
        </w:rPr>
        <w:t>A property of that body of work motivates this paper's method as much as its subject. There is no shared benchmark for pharmaceutical authentication: each study identified through our targeted literature search built or adopted its own image set, and we did not identify any that reports a check for confounds between acquisition and label (Section II-A). Each reported figure therefore rests on the construction of a single ad hoc collection, and that construction is not examined in the paper reporting it.</w:t>
      </w:r>
    </w:p>
    <w:p>
      <w:pPr>
        <w:spacing w:after="0" w:before="0" w:line="240" w:lineRule="exact"/>
        <w:ind w:firstLine="202"/>
        <w:jc w:val="both"/>
      </w:pPr>
      <w:r>
        <w:rPr>
          <w:rFonts w:ascii="Times New Roman" w:hAnsi="Times New Roman"/>
          <w:b/>
          <w:sz w:val="20"/>
        </w:rPr>
        <w:t>The gap this exposes is procedural rather than architectural.</w:t>
      </w:r>
      <w:r>
        <w:rPr>
          <w:rFonts w:ascii="Times New Roman" w:hAnsi="Times New Roman"/>
          <w:sz w:val="20"/>
        </w:rPr>
        <w:t xml:space="preserve"> Methods for diagnosing a confounded classifier exist, but they act after the fact, requiring the images and a trained model [31]. What is missing is a check a study can run on itself </w:t>
      </w:r>
      <w:r>
        <w:rPr>
          <w:rFonts w:ascii="Times New Roman" w:hAnsi="Times New Roman"/>
          <w:i/>
          <w:sz w:val="20"/>
        </w:rPr>
        <w:t>before</w:t>
      </w:r>
      <w:r>
        <w:rPr>
          <w:rFonts w:ascii="Times New Roman" w:hAnsi="Times New Roman"/>
          <w:sz w:val="20"/>
        </w:rPr>
        <w:t xml:space="preserve"> training, from the files alone, that establishes whether the intended task is separable from the way the data was acquired. This paper formalizes and operationalizes one — a pre-training </w:t>
      </w:r>
      <w:r>
        <w:rPr>
          <w:rFonts w:ascii="Times New Roman" w:hAnsi="Times New Roman"/>
          <w:b/>
          <w:sz w:val="20"/>
        </w:rPr>
        <w:t>provenance audit</w:t>
      </w:r>
      <w:r>
        <w:rPr>
          <w:rFonts w:ascii="Times New Roman" w:hAnsi="Times New Roman"/>
          <w:sz w:val="20"/>
        </w:rPr>
        <w:t xml:space="preserve"> that fits the intended classifier to acquisition metadata under the study's own leakage-free split and reports the number — and demonstrates it through a counterfeit-medicine case study. The audit's ingredients are ordinary, and we do not present it as a new statistical technique; what we specify is when it runs, on which partition, on which variables, and how its score is read.</w:t>
      </w:r>
    </w:p>
    <w:p>
      <w:pPr>
        <w:spacing w:after="0" w:before="0" w:line="240" w:lineRule="exact"/>
        <w:ind w:firstLine="202"/>
        <w:jc w:val="both"/>
      </w:pPr>
      <w:r>
        <w:rPr>
          <w:rFonts w:ascii="Times New Roman" w:hAnsi="Times New Roman"/>
          <w:b/>
          <w:sz w:val="20"/>
        </w:rPr>
        <w:t>The central result is easily stated.</w:t>
      </w:r>
      <w:r>
        <w:rPr>
          <w:rFonts w:ascii="Times New Roman" w:hAnsi="Times New Roman"/>
          <w:sz w:val="20"/>
        </w:rPr>
        <w:t xml:space="preserve"> On the public counterfeit-medicine dataset audited here, </w:t>
      </w:r>
      <w:r>
        <w:rPr>
          <w:rFonts w:ascii="Times New Roman" w:hAnsi="Times New Roman"/>
          <w:b/>
          <w:sz w:val="20"/>
        </w:rPr>
        <w:t>all 510 labels are predictable from container format alone</w:t>
      </w:r>
      <w:r>
        <w:rPr>
          <w:rFonts w:ascii="Times New Roman" w:hAnsi="Times New Roman"/>
          <w:sz w:val="20"/>
        </w:rPr>
        <w:t>: every counterfeit-labeled file is a PNG screen capture and every authentic-labeled file a JPEG photograph. High internal classifier performance on this dataset therefore cannot be interpreted as evidence of object-level authentication. Everything else in the paper follows from that result: how to detect it before training, what it costs on independent data, and what happens when it is removed.</w:t>
      </w:r>
    </w:p>
    <w:p>
      <w:pPr>
        <w:keepNext/>
        <w:spacing w:before="160" w:after="60" w:line="240" w:lineRule="exact"/>
        <w:jc w:val="left"/>
      </w:pPr>
      <w:r>
        <w:rPr>
          <w:rFonts w:ascii="Arial" w:hAnsi="Arial"/>
          <w:b/>
          <w:i/>
          <w:color w:val="000000"/>
          <w:sz w:val="18"/>
        </w:rPr>
        <w:t>A. ASYMMETRIC CLASS SOURCING, AND WHAT IT DOES TO A LABEL</w:t>
      </w:r>
    </w:p>
    <w:p>
      <w:pPr>
        <w:spacing w:after="0" w:before="0" w:line="240" w:lineRule="exact"/>
        <w:ind w:firstLine="202"/>
        <w:jc w:val="both"/>
      </w:pPr>
      <w:r>
        <w:rPr>
          <w:rFonts w:ascii="Times New Roman" w:hAnsi="Times New Roman"/>
          <w:sz w:val="20"/>
        </w:rPr>
        <w:t xml:space="preserve">There is no reason to expect the situation that motivates this paper — a scarce class obtained by a different route — to be peculiar to pharmaceuticals. In a two-class image dataset asking </w:t>
      </w:r>
      <w:r>
        <w:rPr>
          <w:rFonts w:ascii="Times New Roman" w:hAnsi="Times New Roman"/>
          <w:i/>
          <w:sz w:val="20"/>
        </w:rPr>
        <w:t>is this genuine?</w:t>
      </w:r>
      <w:r>
        <w:rPr>
          <w:rFonts w:ascii="Times New Roman" w:hAnsi="Times New Roman"/>
          <w:sz w:val="20"/>
        </w:rPr>
        <w:t xml:space="preserve">, authentic examples are typically abundant while the other class is scarce: verified counterfeit stock is hard to obtain for research and often restricted, and forged documents are ordinarily held as evidence. A researcher needing a negative class therefore obtains it </w:t>
      </w:r>
      <w:r>
        <w:rPr>
          <w:rFonts w:ascii="Times New Roman" w:hAnsi="Times New Roman"/>
          <w:i/>
          <w:sz w:val="20"/>
        </w:rPr>
        <w:t>by some other means than the one that produced the positive class</w:t>
      </w:r>
      <w:r>
        <w:rPr>
          <w:rFonts w:ascii="Times New Roman" w:hAnsi="Times New Roman"/>
          <w:sz w:val="20"/>
        </w:rPr>
        <w:t>: screen-capturing regulator bulletins, scraping a different corpus, editing authentic images, or generating examples with a model.</w:t>
      </w:r>
    </w:p>
    <w:p>
      <w:pPr>
        <w:spacing w:after="0" w:before="0" w:line="240" w:lineRule="exact"/>
        <w:ind w:firstLine="202"/>
        <w:jc w:val="both"/>
      </w:pPr>
      <w:r>
        <w:rPr>
          <w:rFonts w:ascii="Times New Roman" w:hAnsi="Times New Roman"/>
          <w:sz w:val="20"/>
        </w:rPr>
        <w:t xml:space="preserve">Each such substitution can introduce a systematic difference between the classes unrelated to the property being labeled, because acquisition method influences file format, encoded size, resolution, noise floor, compression signature, color rendering and often backdrop. We call this </w:t>
      </w:r>
      <w:r>
        <w:rPr>
          <w:rFonts w:ascii="Times New Roman" w:hAnsi="Times New Roman"/>
          <w:b/>
          <w:sz w:val="20"/>
        </w:rPr>
        <w:t>class-conditional provenance confounding</w:t>
      </w:r>
      <w:r>
        <w:rPr>
          <w:rFonts w:ascii="Times New Roman" w:hAnsi="Times New Roman"/>
          <w:sz w:val="20"/>
        </w:rPr>
        <w:t xml:space="preserve"> and identify asymmetric class availability as one mechanism by which it can arise — a mechanism that is predictable from how a dataset was assembled, which is what makes it auditable in advance.</w:t>
      </w:r>
    </w:p>
    <w:p>
      <w:pPr>
        <w:spacing w:after="0" w:before="0" w:line="240" w:lineRule="exact"/>
        <w:ind w:firstLine="202"/>
        <w:jc w:val="both"/>
      </w:pPr>
      <w:r>
        <w:rPr>
          <w:rFonts w:ascii="Times New Roman" w:hAnsi="Times New Roman"/>
          <w:sz w:val="20"/>
        </w:rPr>
        <w:t xml:space="preserve">Let </w:t>
      </w:r>
      <w:r>
        <w:rPr>
          <w:rFonts w:ascii="Times New Roman" w:hAnsi="Times New Roman"/>
          <w:i/>
          <w:sz w:val="20"/>
        </w:rPr>
        <w:t>Y</w:t>
      </w:r>
      <w:r>
        <w:rPr>
          <w:rFonts w:ascii="Times New Roman" w:hAnsi="Times New Roman"/>
          <w:sz w:val="20"/>
        </w:rPr>
        <w:t xml:space="preserve"> be the label and </w:t>
      </w:r>
      <w:r>
        <w:rPr>
          <w:rFonts w:ascii="Times New Roman" w:hAnsi="Times New Roman"/>
          <w:i/>
          <w:sz w:val="20"/>
        </w:rPr>
        <w:t>X</w:t>
      </w:r>
      <w:r>
        <w:rPr>
          <w:rFonts w:ascii="Times New Roman" w:hAnsi="Times New Roman"/>
          <w:sz w:val="20"/>
        </w:rPr>
        <w:t xml:space="preserve"> the image content on which a correct decision would rest. Write </w:t>
      </w:r>
      <w:r>
        <w:rPr>
          <w:rFonts w:ascii="Times New Roman" w:hAnsi="Times New Roman"/>
          <w:i/>
          <w:sz w:val="20"/>
        </w:rPr>
        <w:t>A</w:t>
      </w:r>
      <w:r>
        <w:rPr>
          <w:rFonts w:ascii="Times New Roman" w:hAnsi="Times New Roman"/>
          <w:sz w:val="20"/>
        </w:rPr>
        <w:t xml:space="preserve"> for the acquisition variables a file carries, divided into two kinds, because the division governs how an audit score is read:</w:t>
      </w:r>
    </w:p>
    <w:p>
      <w:pPr>
        <w:pStyle w:val="ListBullet"/>
        <w:spacing w:after="40" w:line="240" w:lineRule="exact"/>
      </w:pPr>
      <w:r>
        <w:rPr>
          <w:rFonts w:ascii="Times New Roman" w:hAnsi="Times New Roman"/>
          <w:i/>
          <w:sz w:val="20"/>
        </w:rPr>
        <w:t>A_(pure)</w:t>
      </w:r>
      <w:r>
        <w:rPr>
          <w:rFonts w:ascii="Times New Roman" w:hAnsi="Times New Roman"/>
          <w:sz w:val="20"/>
        </w:rPr>
        <w:t>, attributes fixed by how the file was produced and stored, which the depicted object cannot influence: container format, encoder and its settings, filename pattern, embedded capture timestamps.</w:t>
      </w:r>
    </w:p>
    <w:p>
      <w:pPr>
        <w:pStyle w:val="ListBullet"/>
        <w:spacing w:after="40" w:line="240" w:lineRule="exact"/>
      </w:pPr>
      <w:r>
        <w:rPr>
          <w:rFonts w:ascii="Times New Roman" w:hAnsi="Times New Roman"/>
          <w:i/>
          <w:sz w:val="20"/>
        </w:rPr>
        <w:t>A_(mix)</w:t>
      </w:r>
      <w:r>
        <w:rPr>
          <w:rFonts w:ascii="Times New Roman" w:hAnsi="Times New Roman"/>
          <w:sz w:val="20"/>
        </w:rPr>
        <w:t>, attributes jointly determined by acquisition and by content: encoded size, stored dimensions, aspect ratio, and pixel statistics such as mean brightness.</w:t>
      </w:r>
    </w:p>
    <w:p>
      <w:pPr>
        <w:spacing w:after="0" w:before="0" w:line="240" w:lineRule="exact"/>
        <w:ind w:firstLine="202"/>
        <w:jc w:val="both"/>
      </w:pPr>
      <w:r>
        <w:rPr>
          <w:rFonts w:ascii="Times New Roman" w:hAnsi="Times New Roman"/>
          <w:sz w:val="20"/>
        </w:rPr>
        <w:t xml:space="preserve">The difficulty is not that </w:t>
      </w:r>
      <w:r>
        <w:rPr>
          <w:rFonts w:ascii="Times New Roman" w:hAnsi="Times New Roman"/>
          <w:i/>
          <w:sz w:val="20"/>
        </w:rPr>
        <w:t>A</w:t>
      </w:r>
      <w:r>
        <w:rPr>
          <w:rFonts w:ascii="Times New Roman" w:hAnsi="Times New Roman"/>
          <w:sz w:val="20"/>
        </w:rPr>
        <w:t xml:space="preserve"> exists but that the assembly procedure makes it informative about the label,</w:t>
      </w:r>
    </w:p>
    <w:p>
      <w:pPr>
        <w:spacing w:before="80" w:after="80"/>
        <w:jc w:val="center"/>
      </w:pPr>
      <w:r>
        <w:rPr>
          <w:rFonts w:ascii="Times New Roman" w:hAnsi="Times New Roman"/>
          <w:i/>
          <w:sz w:val="20"/>
        </w:rPr>
        <w:t>I(Y; A) &gt; 0</w:t>
      </w:r>
    </w:p>
    <w:p>
      <w:pPr>
        <w:spacing w:after="0" w:before="0" w:line="240" w:lineRule="exact"/>
        <w:ind w:firstLine="202"/>
        <w:jc w:val="both"/>
      </w:pPr>
      <w:r>
        <w:rPr>
          <w:rFonts w:ascii="Times New Roman" w:hAnsi="Times New Roman"/>
          <w:sz w:val="20"/>
        </w:rPr>
        <w:t>The extreme case, and the one this dataset presents, is</w:t>
      </w:r>
    </w:p>
    <w:p>
      <w:pPr>
        <w:spacing w:before="80" w:after="80"/>
        <w:jc w:val="center"/>
      </w:pPr>
      <w:r>
        <w:rPr>
          <w:rFonts w:ascii="Times New Roman" w:hAnsi="Times New Roman"/>
          <w:i/>
          <w:sz w:val="20"/>
        </w:rPr>
        <w:t>H(Y  |  A_(pure)) = 0</w:t>
      </w:r>
    </w:p>
    <w:p>
      <w:pPr>
        <w:spacing w:after="0" w:before="0" w:line="240" w:lineRule="exact"/>
        <w:ind w:firstLine="202"/>
        <w:jc w:val="both"/>
      </w:pPr>
      <w:r>
        <w:rPr>
          <w:rFonts w:ascii="Times New Roman" w:hAnsi="Times New Roman"/>
          <w:sz w:val="20"/>
        </w:rPr>
        <w:t xml:space="preserve">— the label a deterministic function of variables that carry no information about the object at all. Here container format alone leaves no residual entropy: every counterfeit-labeled file is a PNG and every authentic-labeled file a JPEG, across all 510 images. A </w:t>
      </w:r>
      <w:r>
        <w:rPr>
          <w:rFonts w:ascii="Times New Roman" w:hAnsi="Times New Roman"/>
          <w:b/>
          <w:sz w:val="20"/>
        </w:rPr>
        <w:t>provenance audit</w:t>
      </w:r>
      <w:r>
        <w:rPr>
          <w:rFonts w:ascii="Times New Roman" w:hAnsi="Times New Roman"/>
          <w:sz w:val="20"/>
        </w:rPr>
        <w:t xml:space="preserve"> measures how close a dataset sits to that extreme by fitting a classifier to </w:t>
      </w:r>
      <w:r>
        <w:rPr>
          <w:rFonts w:ascii="Times New Roman" w:hAnsi="Times New Roman"/>
          <w:i/>
          <w:sz w:val="20"/>
        </w:rPr>
        <w:t>A</w:t>
      </w:r>
      <w:r>
        <w:rPr>
          <w:rFonts w:ascii="Times New Roman" w:hAnsi="Times New Roman"/>
          <w:sz w:val="20"/>
        </w:rPr>
        <w:t xml:space="preserve"> alone and reporting its held-out accuracy, which is, up to sampling error, a lower bound on how well acquisition can predict the label. A high score on </w:t>
      </w:r>
      <w:r>
        <w:rPr>
          <w:rFonts w:ascii="Times New Roman" w:hAnsi="Times New Roman"/>
          <w:i/>
          <w:sz w:val="20"/>
        </w:rPr>
        <w:t>A_(pure)</w:t>
      </w:r>
      <w:r>
        <w:rPr>
          <w:rFonts w:ascii="Times New Roman" w:hAnsi="Times New Roman"/>
          <w:sz w:val="20"/>
        </w:rPr>
        <w:t xml:space="preserve"> is close to decisive, because storage format is never a property of the photographed object. A high score on </w:t>
      </w:r>
      <w:r>
        <w:rPr>
          <w:rFonts w:ascii="Times New Roman" w:hAnsi="Times New Roman"/>
          <w:i/>
          <w:sz w:val="20"/>
        </w:rPr>
        <w:t>A_(mix)</w:t>
      </w:r>
      <w:r>
        <w:rPr>
          <w:rFonts w:ascii="Times New Roman" w:hAnsi="Times New Roman"/>
          <w:sz w:val="20"/>
        </w:rPr>
        <w:t xml:space="preserve"> is a reason to investigate, since the separation it detects may belong to the objects rather than to how they were acquired.</w:t>
      </w:r>
    </w:p>
    <w:p>
      <w:pPr>
        <w:sectPr>
          <w:type w:val="continuous"/>
          <w:pgSz w:w="11520" w:h="15659"/>
          <w:pgMar w:top="1080" w:right="728" w:bottom="1134" w:left="728" w:header="720" w:footer="720" w:gutter="0"/>
          <w:docGrid w:linePitch="360"/>
          <w:cols w:num="2" w:equalWidth="1" w:space="394" w:sep="0"/>
        </w:sectPr>
      </w:pPr>
    </w:p>
    <w:p>
      <w:pPr>
        <w:keepNext/>
        <w:spacing w:before="120" w:after="40" w:line="240" w:lineRule="auto"/>
        <w:jc w:val="center"/>
      </w:pPr>
      <w:r>
        <w:drawing>
          <wp:inline xmlns:a="http://schemas.openxmlformats.org/drawingml/2006/main" xmlns:pic="http://schemas.openxmlformats.org/drawingml/2006/picture">
            <wp:extent cx="6120000" cy="3198351"/>
            <wp:docPr id="1" name="Picture 1"/>
            <wp:cNvGraphicFramePr>
              <a:graphicFrameLocks noChangeAspect="1"/>
            </wp:cNvGraphicFramePr>
            <a:graphic>
              <a:graphicData uri="http://schemas.openxmlformats.org/drawingml/2006/picture">
                <pic:pic>
                  <pic:nvPicPr>
                    <pic:cNvPr id="0" name="fig15_mechanism.png"/>
                    <pic:cNvPicPr/>
                  </pic:nvPicPr>
                  <pic:blipFill>
                    <a:blip r:embed="rId10"/>
                    <a:stretch>
                      <a:fillRect/>
                    </a:stretch>
                  </pic:blipFill>
                  <pic:spPr>
                    <a:xfrm>
                      <a:off x="0" y="0"/>
                      <a:ext cx="6120000" cy="3198351"/>
                    </a:xfrm>
                    <a:prstGeom prst="rect"/>
                  </pic:spPr>
                </pic:pic>
              </a:graphicData>
            </a:graphic>
          </wp:inline>
        </w:drawing>
      </w:r>
    </w:p>
    <w:p>
      <w:pPr>
        <w:spacing w:before="80" w:after="160" w:line="168" w:lineRule="exact"/>
        <w:jc w:val="left"/>
      </w:pPr>
      <w:r>
        <w:rPr>
          <w:rFonts w:ascii="Arial" w:hAnsi="Arial"/>
          <w:b/>
          <w:color w:val="00548F"/>
          <w:sz w:val="14"/>
        </w:rPr>
        <w:t xml:space="preserve">FIGURE 1. </w:t>
      </w:r>
      <w:r>
        <w:rPr>
          <w:rFonts w:ascii="Arial" w:hAnsi="Arial"/>
          <w:color w:val="000000"/>
          <w:sz w:val="14"/>
        </w:rPr>
        <w:t>The mechanism, and where it is detectable. The boxes are general and carry no numbers; the gray line beneath each is this paper's measurement of that step on the case-study dataset. The audit of Section IV-A reads the third box, which is reachable from a file listing before any model exists.</w:t>
      </w: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condition is damaging because it is </w:t>
      </w:r>
      <w:r>
        <w:rPr>
          <w:rFonts w:ascii="Times New Roman" w:hAnsi="Times New Roman"/>
          <w:b/>
          <w:sz w:val="20"/>
        </w:rPr>
        <w:t>the easiest thing in the data to learn</w:t>
      </w:r>
      <w:r>
        <w:rPr>
          <w:rFonts w:ascii="Times New Roman" w:hAnsi="Times New Roman"/>
          <w:sz w:val="20"/>
        </w:rPr>
        <w:t xml:space="preserve">, low-level global statistics being easier to extract than the semantics of a printed carton, and a shortcut-seeking optimizer [6] finds them first. It is </w:t>
      </w:r>
      <w:r>
        <w:rPr>
          <w:rFonts w:ascii="Times New Roman" w:hAnsi="Times New Roman"/>
          <w:b/>
          <w:sz w:val="20"/>
        </w:rPr>
        <w:t>invisible in-distribution</w:t>
      </w:r>
      <w:r>
        <w:rPr>
          <w:rFonts w:ascii="Times New Roman" w:hAnsi="Times New Roman"/>
          <w:sz w:val="20"/>
        </w:rPr>
        <w:t xml:space="preserve">, because a held-out partition inherits it in the same proportion. And it is </w:t>
      </w:r>
      <w:r>
        <w:rPr>
          <w:rFonts w:ascii="Times New Roman" w:hAnsi="Times New Roman"/>
          <w:b/>
          <w:sz w:val="20"/>
        </w:rPr>
        <w:t>silent in the reporting record</w:t>
      </w:r>
      <w:r>
        <w:rPr>
          <w:rFonts w:ascii="Times New Roman" w:hAnsi="Times New Roman"/>
          <w:sz w:val="20"/>
        </w:rPr>
        <w:t>, since acquisition method is rarely documented.</w:t>
      </w:r>
    </w:p>
    <w:p>
      <w:pPr>
        <w:spacing w:after="0" w:before="0" w:line="240" w:lineRule="exact"/>
        <w:ind w:firstLine="202"/>
        <w:jc w:val="both"/>
      </w:pPr>
      <w:r>
        <w:rPr>
          <w:rFonts w:ascii="Times New Roman" w:hAnsi="Times New Roman"/>
          <w:sz w:val="20"/>
        </w:rPr>
        <w:t>The same scarcity is plausible in other authenticity tasks — counterfeit consumer goods, generated media, forensic document and signature forgery — wherever an abundant authentic class is paired with an inauthentic one that must be manufactured, seized or harvested separately. We read the case study as an instance of how such datasets can come to be assembled, while being clear that the direct evidence for the mechanism rests on it.</w:t>
      </w:r>
    </w:p>
    <w:p>
      <w:pPr>
        <w:spacing w:after="0" w:before="0" w:line="240" w:lineRule="exact"/>
        <w:ind w:firstLine="202"/>
        <w:jc w:val="both"/>
      </w:pPr>
      <w:r>
        <w:rPr>
          <w:rFonts w:ascii="Times New Roman" w:hAnsi="Times New Roman"/>
          <w:b/>
          <w:sz w:val="20"/>
        </w:rPr>
        <w:t>Two independent observations support that reading without establishing its generality.</w:t>
      </w:r>
      <w:r>
        <w:rPr>
          <w:rFonts w:ascii="Times New Roman" w:hAnsi="Times New Roman"/>
          <w:sz w:val="20"/>
        </w:rPr>
        <w:t xml:space="preserve"> Running the audit of Section III-E on seven public archives across four application areas, we find the same total confound — container format alone reproducing the label — arising in a </w:t>
      </w:r>
      <w:r>
        <w:rPr>
          <w:rFonts w:ascii="Times New Roman" w:hAnsi="Times New Roman"/>
          <w:b/>
          <w:sz w:val="20"/>
        </w:rPr>
        <w:t>generated-image</w:t>
      </w:r>
      <w:r>
        <w:rPr>
          <w:rFonts w:ascii="Times New Roman" w:hAnsi="Times New Roman"/>
          <w:sz w:val="20"/>
        </w:rPr>
        <w:t xml:space="preserve"> dataset built by different people for a different task, while a signature corpus whose two classes were written on one paper and digitized by one procedure scores at chance on the same axis (Table 3). Independently, Grommelt </w:t>
      </w:r>
      <w:r>
        <w:rPr>
          <w:rFonts w:ascii="Times New Roman" w:hAnsi="Times New Roman"/>
          <w:i/>
          <w:sz w:val="20"/>
        </w:rPr>
        <w:t>et al.</w:t>
      </w:r>
      <w:r>
        <w:rPr>
          <w:rFonts w:ascii="Times New Roman" w:hAnsi="Times New Roman"/>
          <w:sz w:val="20"/>
        </w:rPr>
        <w:t xml:space="preserve"> [30] report the mechanism in generated-image detection from the other direction: real images are harvested as lossy JPEGs at modest resolution while generated images are written as lossless PNGs at native size, which on GenImage makes format, compression and size predictive of the label, partly reduces detectors to JPEG detectors, and shifts cross-generator performance by more than 11 points once those factors are equalized.</w:t>
      </w:r>
    </w:p>
    <w:p>
      <w:pPr>
        <w:spacing w:after="0" w:before="0" w:line="240" w:lineRule="exact"/>
        <w:ind w:firstLine="202"/>
        <w:jc w:val="both"/>
      </w:pPr>
      <w:r>
        <w:rPr>
          <w:rFonts w:ascii="Times New Roman" w:hAnsi="Times New Roman"/>
          <w:sz w:val="20"/>
        </w:rPr>
        <w:t xml:space="preserve">We separate three levels of evidence and hold to them throughout. </w:t>
      </w:r>
      <w:r>
        <w:rPr>
          <w:rFonts w:ascii="Times New Roman" w:hAnsi="Times New Roman"/>
          <w:b/>
          <w:sz w:val="20"/>
        </w:rPr>
        <w:t>Demonstrated</w:t>
      </w:r>
      <w:r>
        <w:rPr>
          <w:rFonts w:ascii="Times New Roman" w:hAnsi="Times New Roman"/>
          <w:sz w:val="20"/>
        </w:rPr>
        <w:t xml:space="preserve">: the case-study dataset is completely provenance-confounded (Section IV-A). </w:t>
      </w:r>
      <w:r>
        <w:rPr>
          <w:rFonts w:ascii="Times New Roman" w:hAnsi="Times New Roman"/>
          <w:b/>
          <w:sz w:val="20"/>
        </w:rPr>
        <w:t>Supported</w:t>
      </w:r>
      <w:r>
        <w:rPr>
          <w:rFonts w:ascii="Times New Roman" w:hAnsi="Times New Roman"/>
          <w:sz w:val="20"/>
        </w:rPr>
        <w:t xml:space="preserve">: the mechanism arises outside this dataset and application area, on the two observations just given. </w:t>
      </w:r>
      <w:r>
        <w:rPr>
          <w:rFonts w:ascii="Times New Roman" w:hAnsi="Times New Roman"/>
          <w:b/>
          <w:sz w:val="20"/>
        </w:rPr>
        <w:t>Not established</w:t>
      </w:r>
      <w:r>
        <w:rPr>
          <w:rFonts w:ascii="Times New Roman" w:hAnsi="Times New Roman"/>
          <w:sz w:val="20"/>
        </w:rPr>
        <w:t>: how frequently it occurs; the seven archives were chosen for accessibility and have no sampling frame, so they show that the audit discriminates across domains and cannot estimate a rate. Table 8 records every claim against these three levels, and Section V-B states what would count against the mechanism.</w:t>
      </w:r>
    </w:p>
    <w:p>
      <w:pPr>
        <w:keepNext/>
        <w:spacing w:before="160" w:after="60" w:line="240" w:lineRule="exact"/>
        <w:jc w:val="left"/>
      </w:pPr>
      <w:r>
        <w:rPr>
          <w:rFonts w:ascii="Arial" w:hAnsi="Arial"/>
          <w:b/>
          <w:i/>
          <w:color w:val="000000"/>
          <w:sz w:val="18"/>
        </w:rPr>
        <w:t>B. CONTRIBUTIONS AND SCOPE</w:t>
      </w:r>
    </w:p>
    <w:p>
      <w:pPr>
        <w:spacing w:after="0" w:before="0" w:line="240" w:lineRule="exact"/>
        <w:ind w:firstLine="202"/>
        <w:jc w:val="both"/>
      </w:pPr>
      <w:r>
        <w:rPr>
          <w:rFonts w:ascii="Times New Roman" w:hAnsi="Times New Roman"/>
          <w:sz w:val="20"/>
        </w:rPr>
        <w:t xml:space="preserve">The study began as a methodological exercise. The Kaggle </w:t>
      </w:r>
      <w:r>
        <w:rPr>
          <w:rFonts w:ascii="Times New Roman" w:hAnsi="Times New Roman"/>
          <w:i/>
          <w:sz w:val="20"/>
        </w:rPr>
        <w:t>Fake vs Real Medicine</w:t>
      </w:r>
      <w:r>
        <w:rPr>
          <w:rFonts w:ascii="Times New Roman" w:hAnsi="Times New Roman"/>
          <w:sz w:val="20"/>
        </w:rPr>
        <w:t xml:space="preserve"> set is small (661 images), publicly downloadable, and typical of what this area works with: no data card, no stated acquisition protocol. Under a protocol fixed in advance we set out to establish how much of a reported accuracy survives methodological correction: identical models under a naive and a near-duplicate-grouped split, four model families from a 97-parameter linear baseline to a 4-million-parameter pretrained backbone, and an external source verified independent rather than assumed so.</w:t>
      </w:r>
    </w:p>
    <w:p>
      <w:pPr>
        <w:spacing w:after="0" w:before="0" w:line="240" w:lineRule="exact"/>
        <w:ind w:firstLine="202"/>
        <w:jc w:val="both"/>
      </w:pPr>
      <w:r>
        <w:rPr>
          <w:rFonts w:ascii="Times New Roman" w:hAnsi="Times New Roman"/>
          <w:sz w:val="20"/>
        </w:rPr>
        <w:t xml:space="preserve">The result was not the one the design anticipated. Correcting the split changed in-distribution accuracy by at most 6.8 points; external validation changed the picture. On 150 authentic photographs from an independent source, two of four models classified </w:t>
      </w:r>
      <w:r>
        <w:rPr>
          <w:rFonts w:ascii="Times New Roman" w:hAnsi="Times New Roman"/>
          <w:i/>
          <w:sz w:val="20"/>
        </w:rPr>
        <w:t>zero</w:t>
      </w:r>
      <w:r>
        <w:rPr>
          <w:rFonts w:ascii="Times New Roman" w:hAnsi="Times New Roman"/>
          <w:sz w:val="20"/>
        </w:rPr>
        <w:t xml:space="preserve"> correctly and the model with the highest in-distribution accuracy nine. Looking for an explanation led to the dataset itself and to the result above: its two classes were not merely photographed differently but </w:t>
      </w:r>
      <w:r>
        <w:rPr>
          <w:rFonts w:ascii="Times New Roman" w:hAnsi="Times New Roman"/>
          <w:i/>
          <w:sz w:val="20"/>
        </w:rPr>
        <w:t>acquired</w:t>
      </w:r>
      <w:r>
        <w:rPr>
          <w:rFonts w:ascii="Times New Roman" w:hAnsi="Times New Roman"/>
          <w:sz w:val="20"/>
        </w:rPr>
        <w:t xml:space="preserve"> differently (</w:t>
      </w:r>
      <w:r>
        <w:rPr>
          <w:rFonts w:ascii="Consolas" w:hAnsi="Consolas"/>
          <w:sz w:val="18"/>
        </w:rPr>
        <w:t>Screenshot*.png</w:t>
      </w:r>
      <w:r>
        <w:rPr>
          <w:rFonts w:ascii="Times New Roman" w:hAnsi="Times New Roman"/>
          <w:sz w:val="20"/>
        </w:rPr>
        <w:t xml:space="preserve"> against </w:t>
      </w:r>
      <w:r>
        <w:rPr>
          <w:rFonts w:ascii="Consolas" w:hAnsi="Consolas"/>
          <w:sz w:val="18"/>
        </w:rPr>
        <w:t>images*.jpg</w:t>
      </w:r>
      <w:r>
        <w:rPr>
          <w:rFonts w:ascii="Times New Roman" w:hAnsi="Times New Roman"/>
          <w:sz w:val="20"/>
        </w:rPr>
        <w:t>), and any model, including a 97-parameter linear classifier on a color histogram, has unobstructed access to that difference.</w:t>
      </w:r>
    </w:p>
    <w:p>
      <w:pPr>
        <w:spacing w:after="0" w:before="0" w:line="240" w:lineRule="exact"/>
        <w:ind w:firstLine="202"/>
        <w:jc w:val="both"/>
      </w:pPr>
      <w:r>
        <w:rPr>
          <w:rFonts w:ascii="Times New Roman" w:hAnsi="Times New Roman"/>
          <w:sz w:val="20"/>
        </w:rPr>
        <w:t>The contributions of this paper are as follows, in descending order of weight.</w:t>
      </w:r>
    </w:p>
    <w:p>
      <w:pPr>
        <w:pStyle w:val="ListBullet"/>
        <w:spacing w:after="40" w:line="240" w:lineRule="exact"/>
      </w:pPr>
      <w:r>
        <w:rPr>
          <w:rFonts w:ascii="Times New Roman" w:hAnsi="Times New Roman"/>
          <w:b/>
          <w:sz w:val="20"/>
        </w:rPr>
        <w:t>A pre-training provenance audit, formalized and operationalized</w:t>
      </w:r>
      <w:r>
        <w:rPr>
          <w:rFonts w:ascii="Times New Roman" w:hAnsi="Times New Roman"/>
          <w:sz w:val="20"/>
        </w:rPr>
        <w:t xml:space="preserve"> (Section III-E). It fits the classifier a study intends to use to acquisition metadata alone, needs no external data, annotation, training run or pixel decoding, and returns </w:t>
      </w:r>
      <w:r>
        <w:rPr>
          <w:rFonts w:ascii="Times New Roman" w:hAnsi="Times New Roman"/>
          <w:b/>
          <w:sz w:val="20"/>
        </w:rPr>
        <w:t>1.000</w:t>
      </w:r>
      <w:r>
        <w:rPr>
          <w:rFonts w:ascii="Times New Roman" w:hAnsi="Times New Roman"/>
          <w:sz w:val="20"/>
        </w:rPr>
        <w:t xml:space="preserve"> here from header fields alone. We specify the partition it runs on, the division of variables into those the object cannot influence and those that mix acquisition with content, and how the score is read: a high score establishes that a provenance shortcut is </w:t>
      </w:r>
      <w:r>
        <w:rPr>
          <w:rFonts w:ascii="Times New Roman" w:hAnsi="Times New Roman"/>
          <w:i/>
          <w:sz w:val="20"/>
        </w:rPr>
        <w:t>available</w:t>
      </w:r>
      <w:r>
        <w:rPr>
          <w:rFonts w:ascii="Times New Roman" w:hAnsi="Times New Roman"/>
          <w:sz w:val="20"/>
        </w:rPr>
        <w:t>, not that any model took it. We also report where it fails — a publisher who normalized an archive before release erased the traces it reads, so that archive scores 0.717 while being confounded at least as severely — and where it false-alarms (Table 3).</w:t>
      </w:r>
    </w:p>
    <w:p>
      <w:pPr>
        <w:pStyle w:val="ListBullet"/>
        <w:spacing w:after="40" w:line="240" w:lineRule="exact"/>
      </w:pPr>
      <w:r>
        <w:rPr>
          <w:rFonts w:ascii="Times New Roman" w:hAnsi="Times New Roman"/>
          <w:b/>
          <w:sz w:val="20"/>
        </w:rPr>
        <w:t>A case-study finding: the dataset carries a deterministic class–acquisition confound that invalidates in-distribution performance as evidence of authentication ability.</w:t>
      </w:r>
      <w:r>
        <w:rPr>
          <w:rFonts w:ascii="Times New Roman" w:hAnsi="Times New Roman"/>
          <w:sz w:val="20"/>
        </w:rPr>
        <w:t xml:space="preserve"> The dataset's listing does not disclose it and no study located by our search reports it; the archive also ships a degenerate split whose training folder is a superset of both others (Sections III-A, IV-A).</w:t>
      </w:r>
    </w:p>
    <w:p>
      <w:pPr>
        <w:pStyle w:val="ListBullet"/>
        <w:spacing w:after="40" w:line="240" w:lineRule="exact"/>
      </w:pPr>
      <w:r>
        <w:rPr>
          <w:rFonts w:ascii="Times New Roman" w:hAnsi="Times New Roman"/>
          <w:b/>
          <w:sz w:val="20"/>
        </w:rPr>
        <w:t>Evidence that external testing exposes the failure and the leakage correction this literature emphasizes does not.</w:t>
      </w:r>
      <w:r>
        <w:rPr>
          <w:rFonts w:ascii="Times New Roman" w:hAnsi="Times New Roman"/>
          <w:sz w:val="20"/>
        </w:rPr>
        <w:t xml:space="preserve"> Re-partitioning at the near-duplicate-cluster level moves accuracy by at most 6.8 points, and a controlled estimate that holds the test set fixed puts the leakage effect at 0.3 points [−1.9, +2.4]. On an independent balanced set of 46 regulator-confirmed counterfeits against 46 authentic-labeled photographs, with file-level encoding standardized across the classes and scored once against frozen checkpoints, the four models return balanced accuracies of 0.478, 0.478, 0.543 and 0.652, only the last excluding chance, and the 97-parameter baseline is exposed as a degenerate all-counterfeit classifier that an authentic-only evaluation could not have distinguished from a working one. Under a capture-condition shift the same models recover as little as 6.0% of plainly authentic photographs (Sections IV-B–IV-D).</w:t>
      </w:r>
    </w:p>
    <w:p>
      <w:pPr>
        <w:pStyle w:val="ListBullet"/>
        <w:spacing w:after="40" w:line="240" w:lineRule="exact"/>
      </w:pPr>
      <w:r>
        <w:rPr>
          <w:rFonts w:ascii="Times New Roman" w:hAnsi="Times New Roman"/>
          <w:b/>
          <w:sz w:val="20"/>
        </w:rPr>
        <w:t>An exploratory result: removing the acquisition statistics the audit names does not remove every provenance shortcut.</w:t>
      </w:r>
      <w:r>
        <w:rPr>
          <w:rFonts w:ascii="Times New Roman" w:hAnsi="Times New Roman"/>
          <w:sz w:val="20"/>
        </w:rPr>
        <w:t xml:space="preserve"> A label-free normalization recovers most of the lost external specificity for two of three models, and region substitution then shows both corrected backbones depending on the outer region of the frame rather than on the packaging at its center (Section IV-E). We do not offer the normalization for use; its role is to show that a correction is itself dataset construction and is owed the same audit.</w:t>
      </w:r>
    </w:p>
    <w:p>
      <w:pPr>
        <w:spacing w:after="0" w:before="0" w:line="240" w:lineRule="exact"/>
        <w:ind w:firstLine="202"/>
        <w:jc w:val="both"/>
      </w:pPr>
      <w:r>
        <w:rPr>
          <w:rFonts w:ascii="Times New Roman" w:hAnsi="Times New Roman"/>
          <w:sz w:val="20"/>
        </w:rPr>
        <w:t>Three things this study does not establish are stated with equal care. It does not estimate how often provenance confounding occurs — the seven-archive screen of Section IV-A has no sampling frame. It does not measure two-class performance under acquisition shift: the balanced set holds both classes but standardizes file-level acquisition, and the acquisition-shift experiment varies capture but holds one class (Section V-D). And it does not show that any model here can authenticate medicine in the field. We propose no new architecture; no statistically significant difference was detected between the 97-parameter linear model and the 4-million-parameter pretrained network on the internal test partition.</w:t>
      </w:r>
    </w:p>
    <w:p>
      <w:pPr>
        <w:spacing w:after="0" w:before="0" w:line="240" w:lineRule="exact"/>
        <w:ind w:firstLine="202"/>
        <w:jc w:val="both"/>
      </w:pPr>
      <w:r>
        <w:rPr>
          <w:rFonts w:ascii="Times New Roman" w:hAnsi="Times New Roman"/>
          <w:sz w:val="20"/>
        </w:rPr>
        <w:t>The remainder of the paper is organized as follows. Section II reviews pharmaceutical image authentication and the shortcut-learning literature and positions the audit relative to both. Section III describes the data, the leakage-controlled partitions, the four models, the three evaluations and the audit procedure. Section IV reports the audit, the leakage experiment, the balanced external test, the acquisition-shift test and the exploratory analyses. Section V discusses what in-distribution accuracy measures on this dataset, what the audit does and does not settle, practical implications and limitations, and Section VI concludes.</w:t>
      </w:r>
    </w:p>
    <w:p>
      <w:pPr>
        <w:keepNext/>
        <w:spacing w:before="200" w:after="60" w:line="240" w:lineRule="exact"/>
        <w:jc w:val="left"/>
      </w:pPr>
      <w:r>
        <w:rPr>
          <w:rFonts w:ascii="Arial" w:hAnsi="Arial"/>
          <w:b/>
          <w:i w:val="0"/>
          <w:color w:val="00548F"/>
          <w:sz w:val="18"/>
        </w:rPr>
        <w:t>II. RELATED WORK</w:t>
      </w:r>
    </w:p>
    <w:p>
      <w:pPr>
        <w:keepNext/>
        <w:spacing w:before="160" w:after="60" w:line="240" w:lineRule="exact"/>
        <w:jc w:val="left"/>
      </w:pPr>
      <w:r>
        <w:rPr>
          <w:rFonts w:ascii="Arial" w:hAnsi="Arial"/>
          <w:b/>
          <w:i/>
          <w:color w:val="000000"/>
          <w:sz w:val="18"/>
        </w:rPr>
        <w:t>A. PHARMACEUTICAL IMAGE AUTHENTICATION</w:t>
      </w:r>
    </w:p>
    <w:p>
      <w:pPr>
        <w:spacing w:after="0" w:before="0" w:line="240" w:lineRule="exact"/>
        <w:ind w:firstLine="202"/>
        <w:jc w:val="both"/>
      </w:pPr>
      <w:r>
        <w:rPr>
          <w:rFonts w:ascii="Times New Roman" w:hAnsi="Times New Roman"/>
          <w:sz w:val="20"/>
        </w:rPr>
        <w:t xml:space="preserve">Image classification has been applied to pharmaceutical products for both </w:t>
      </w:r>
      <w:r>
        <w:rPr>
          <w:rFonts w:ascii="Times New Roman" w:hAnsi="Times New Roman"/>
          <w:i/>
          <w:sz w:val="20"/>
        </w:rPr>
        <w:t>identification</w:t>
      </w:r>
      <w:r>
        <w:rPr>
          <w:rFonts w:ascii="Times New Roman" w:hAnsi="Times New Roman"/>
          <w:sz w:val="20"/>
        </w:rPr>
        <w:t xml:space="preserve"> (which drug is this?) and </w:t>
      </w:r>
      <w:r>
        <w:rPr>
          <w:rFonts w:ascii="Times New Roman" w:hAnsi="Times New Roman"/>
          <w:i/>
          <w:sz w:val="20"/>
        </w:rPr>
        <w:t>authentication</w:t>
      </w:r>
      <w:r>
        <w:rPr>
          <w:rFonts w:ascii="Times New Roman" w:hAnsi="Times New Roman"/>
          <w:sz w:val="20"/>
        </w:rPr>
        <w:t xml:space="preserve"> (is this drug genuine?). Ramos, Samonte and Manlises [3] proposed a convolutional neural network authentication system directly comparable in task framing to this work; adjacent identification work addresses look-alike medication errors across 250 blister-packaged drug types [4] and pill-image retrieval [5]. That literature establishes that packaging imagery carries usable signal.</w:t>
      </w:r>
    </w:p>
    <w:p>
      <w:pPr>
        <w:spacing w:after="0" w:before="0" w:line="240" w:lineRule="exact"/>
        <w:ind w:firstLine="202"/>
        <w:jc w:val="both"/>
      </w:pPr>
      <w:r>
        <w:rPr>
          <w:rFonts w:ascii="Times New Roman" w:hAnsi="Times New Roman"/>
          <w:sz w:val="20"/>
        </w:rPr>
        <w:t xml:space="preserve">Because this paper's contribution is a dataset audit, the datasets those results rest on are themselves prior work. Table S26 records what each study identified through our targeted literature search trained on, together with whether it reports any check that acquisition conditions are balanced across its two classes; we did not identify such a check in any of the five. The search combined the terms </w:t>
      </w:r>
      <w:r>
        <w:rPr>
          <w:rFonts w:ascii="Times New Roman" w:hAnsi="Times New Roman"/>
          <w:i/>
          <w:sz w:val="20"/>
        </w:rPr>
        <w:t>counterfeit</w:t>
      </w:r>
      <w:r>
        <w:rPr>
          <w:rFonts w:ascii="Times New Roman" w:hAnsi="Times New Roman"/>
          <w:sz w:val="20"/>
        </w:rPr>
        <w:t xml:space="preserve">, </w:t>
      </w:r>
      <w:r>
        <w:rPr>
          <w:rFonts w:ascii="Times New Roman" w:hAnsi="Times New Roman"/>
          <w:i/>
          <w:sz w:val="20"/>
        </w:rPr>
        <w:t>falsified</w:t>
      </w:r>
      <w:r>
        <w:rPr>
          <w:rFonts w:ascii="Times New Roman" w:hAnsi="Times New Roman"/>
          <w:sz w:val="20"/>
        </w:rPr>
        <w:t xml:space="preserve">, </w:t>
      </w:r>
      <w:r>
        <w:rPr>
          <w:rFonts w:ascii="Times New Roman" w:hAnsi="Times New Roman"/>
          <w:i/>
          <w:sz w:val="20"/>
        </w:rPr>
        <w:t>fake</w:t>
      </w:r>
      <w:r>
        <w:rPr>
          <w:rFonts w:ascii="Times New Roman" w:hAnsi="Times New Roman"/>
          <w:sz w:val="20"/>
        </w:rPr>
        <w:t xml:space="preserve"> and </w:t>
      </w:r>
      <w:r>
        <w:rPr>
          <w:rFonts w:ascii="Times New Roman" w:hAnsi="Times New Roman"/>
          <w:i/>
          <w:sz w:val="20"/>
        </w:rPr>
        <w:t>authentication</w:t>
      </w:r>
      <w:r>
        <w:rPr>
          <w:rFonts w:ascii="Times New Roman" w:hAnsi="Times New Roman"/>
          <w:sz w:val="20"/>
        </w:rPr>
        <w:t xml:space="preserve"> with </w:t>
      </w:r>
      <w:r>
        <w:rPr>
          <w:rFonts w:ascii="Times New Roman" w:hAnsi="Times New Roman"/>
          <w:i/>
          <w:sz w:val="20"/>
        </w:rPr>
        <w:t>medicine</w:t>
      </w:r>
      <w:r>
        <w:rPr>
          <w:rFonts w:ascii="Times New Roman" w:hAnsi="Times New Roman"/>
          <w:sz w:val="20"/>
        </w:rPr>
        <w:t xml:space="preserve">, </w:t>
      </w:r>
      <w:r>
        <w:rPr>
          <w:rFonts w:ascii="Times New Roman" w:hAnsi="Times New Roman"/>
          <w:i/>
          <w:sz w:val="20"/>
        </w:rPr>
        <w:t>drug</w:t>
      </w:r>
      <w:r>
        <w:rPr>
          <w:rFonts w:ascii="Times New Roman" w:hAnsi="Times New Roman"/>
          <w:sz w:val="20"/>
        </w:rPr>
        <w:t xml:space="preserve">, </w:t>
      </w:r>
      <w:r>
        <w:rPr>
          <w:rFonts w:ascii="Times New Roman" w:hAnsi="Times New Roman"/>
          <w:i/>
          <w:sz w:val="20"/>
        </w:rPr>
        <w:t>pharmaceutical</w:t>
      </w:r>
      <w:r>
        <w:rPr>
          <w:rFonts w:ascii="Times New Roman" w:hAnsi="Times New Roman"/>
          <w:sz w:val="20"/>
        </w:rPr>
        <w:t xml:space="preserve">, </w:t>
      </w:r>
      <w:r>
        <w:rPr>
          <w:rFonts w:ascii="Times New Roman" w:hAnsi="Times New Roman"/>
          <w:i/>
          <w:sz w:val="20"/>
        </w:rPr>
        <w:t>packaging</w:t>
      </w:r>
      <w:r>
        <w:rPr>
          <w:rFonts w:ascii="Times New Roman" w:hAnsi="Times New Roman"/>
          <w:sz w:val="20"/>
        </w:rPr>
        <w:t xml:space="preserve"> and </w:t>
      </w:r>
      <w:r>
        <w:rPr>
          <w:rFonts w:ascii="Times New Roman" w:hAnsi="Times New Roman"/>
          <w:i/>
          <w:sz w:val="20"/>
        </w:rPr>
        <w:t>blister</w:t>
      </w:r>
      <w:r>
        <w:rPr>
          <w:rFonts w:ascii="Times New Roman" w:hAnsi="Times New Roman"/>
          <w:sz w:val="20"/>
        </w:rPr>
        <w:t xml:space="preserve"> across Google Scholar, IEEE Xplore and Scopus, and followed citations forward and backward from each hit. This was a targeted search rather than a systematic review, so its negative findings mean "not found by this search".</w:t>
      </w:r>
    </w:p>
    <w:p>
      <w:pPr>
        <w:spacing w:after="0" w:before="0" w:line="240" w:lineRule="exact"/>
        <w:ind w:firstLine="202"/>
        <w:jc w:val="both"/>
      </w:pPr>
      <w:r>
        <w:rPr>
          <w:rFonts w:ascii="Times New Roman" w:hAnsi="Times New Roman"/>
          <w:sz w:val="20"/>
        </w:rPr>
        <w:t>Two observations bear on the finding of Section IV-A. First, no two studies in Table S26 evaluate on the same images, and the Kaggle set audited here is not a community benchmark: as of 13 September 2026 its listing records 662 downloads, 3 public notebooks and no discussion, and our search located no peer-reviewed study using it. The claim is correspondingly narrow: not that a widely shared benchmark is broken, but that a dataset assembled the way this sub-field routinely assembles them carries an acquisition confound its users did not detect.</w:t>
      </w:r>
    </w:p>
    <w:p>
      <w:pPr>
        <w:spacing w:after="0" w:before="0" w:line="240" w:lineRule="exact"/>
        <w:ind w:firstLine="202"/>
        <w:jc w:val="both"/>
      </w:pPr>
      <w:r>
        <w:rPr>
          <w:rFonts w:ascii="Times New Roman" w:hAnsi="Times New Roman"/>
          <w:b/>
          <w:sz w:val="20"/>
        </w:rPr>
        <w:t>Second, the most common class-construction procedures make the confound likely.</w:t>
      </w:r>
      <w:r>
        <w:rPr>
          <w:rFonts w:ascii="Times New Roman" w:hAnsi="Times New Roman"/>
          <w:sz w:val="20"/>
        </w:rPr>
        <w:t xml:space="preserve"> In [26] the counterfeit class is produced by digitally editing authentic images and in [27] by a generative model, so both are by construction outputs of two different image pipelines, as here. Where the classes </w:t>
      </w:r>
      <w:r>
        <w:rPr>
          <w:rFonts w:ascii="Times New Roman" w:hAnsi="Times New Roman"/>
          <w:i/>
          <w:sz w:val="20"/>
        </w:rPr>
        <w:t>were</w:t>
      </w:r>
      <w:r>
        <w:rPr>
          <w:rFonts w:ascii="Times New Roman" w:hAnsi="Times New Roman"/>
          <w:sz w:val="20"/>
        </w:rPr>
        <w:t xml:space="preserve"> acquired under a common protocol — [3], on one Raspberry Pi rig — the reported accuracy is the lowest in Table S26 (88.75%). The studies differ in dataset, task framing, architecture and sample size, so this is a direction, not a comparison. Outside pharmaceuticals, Garcia-Cotte </w:t>
      </w:r>
      <w:r>
        <w:rPr>
          <w:rFonts w:ascii="Times New Roman" w:hAnsi="Times New Roman"/>
          <w:i/>
          <w:sz w:val="20"/>
        </w:rPr>
        <w:t>et al.</w:t>
      </w:r>
      <w:r>
        <w:rPr>
          <w:rFonts w:ascii="Times New Roman" w:hAnsi="Times New Roman"/>
          <w:sz w:val="20"/>
        </w:rPr>
        <w:t xml:space="preserve"> [29] report counterfeit detection on branded garments captured "under natural, weakly controlled conditions", stating the acquisition regime as a property of the result — the reporting standard Section V-C argues should become routine here.</w:t>
      </w:r>
    </w:p>
    <w:p>
      <w:pPr>
        <w:keepNext/>
        <w:spacing w:before="160" w:after="60" w:line="240" w:lineRule="exact"/>
        <w:jc w:val="left"/>
      </w:pPr>
      <w:r>
        <w:rPr>
          <w:rFonts w:ascii="Arial" w:hAnsi="Arial"/>
          <w:b/>
          <w:i/>
          <w:color w:val="000000"/>
          <w:sz w:val="18"/>
        </w:rPr>
        <w:t>B. SHORTCUT LEARNING AND DATASET BIAS</w:t>
      </w:r>
    </w:p>
    <w:p>
      <w:pPr>
        <w:spacing w:after="0" w:before="0" w:line="240" w:lineRule="exact"/>
        <w:ind w:firstLine="202"/>
        <w:jc w:val="both"/>
      </w:pPr>
      <w:r>
        <w:rPr>
          <w:rFonts w:ascii="Times New Roman" w:hAnsi="Times New Roman"/>
          <w:sz w:val="20"/>
        </w:rPr>
        <w:t xml:space="preserve">Geirhos </w:t>
      </w:r>
      <w:r>
        <w:rPr>
          <w:rFonts w:ascii="Times New Roman" w:hAnsi="Times New Roman"/>
          <w:i/>
          <w:sz w:val="20"/>
        </w:rPr>
        <w:t>et al.</w:t>
      </w:r>
      <w:r>
        <w:rPr>
          <w:rFonts w:ascii="Times New Roman" w:hAnsi="Times New Roman"/>
          <w:sz w:val="20"/>
        </w:rPr>
        <w:t xml:space="preserve"> [6] formalized </w:t>
      </w:r>
      <w:r>
        <w:rPr>
          <w:rFonts w:ascii="Times New Roman" w:hAnsi="Times New Roman"/>
          <w:i/>
          <w:sz w:val="20"/>
        </w:rPr>
        <w:t>shortcut learning</w:t>
      </w:r>
      <w:r>
        <w:rPr>
          <w:rFonts w:ascii="Times New Roman" w:hAnsi="Times New Roman"/>
          <w:sz w:val="20"/>
        </w:rPr>
        <w:t xml:space="preserve">: networks adopt decision rules exploiting superficial, spuriously predictive correlations, scoring well in-distribution while failing wherever the shortcut is absent. The failure has a documented precedent in medical imaging. Zech </w:t>
      </w:r>
      <w:r>
        <w:rPr>
          <w:rFonts w:ascii="Times New Roman" w:hAnsi="Times New Roman"/>
          <w:i/>
          <w:sz w:val="20"/>
        </w:rPr>
        <w:t>et al.</w:t>
      </w:r>
      <w:r>
        <w:rPr>
          <w:rFonts w:ascii="Times New Roman" w:hAnsi="Times New Roman"/>
          <w:sz w:val="20"/>
        </w:rPr>
        <w:t xml:space="preserve"> [7] showed that pneumonia detectors trained on chest radiographs from three hospital systems could predict which system an image came from, and used that hospital-identity signal — itself correlated with disease prevalence — as a shortcut for the diagnostic label, degrading substantially on an unseen site. Later audits report the same for scanner-, site- and manufacturer-level signal [8], [9], and early COVID-19 radiograph classifiers were shown to rely on dataset-source confounds rather than radiographic signs [10]. DeGrave </w:t>
      </w:r>
      <w:r>
        <w:rPr>
          <w:rFonts w:ascii="Times New Roman" w:hAnsi="Times New Roman"/>
          <w:i/>
          <w:sz w:val="20"/>
        </w:rPr>
        <w:t>et al.</w:t>
      </w:r>
      <w:r>
        <w:rPr>
          <w:rFonts w:ascii="Times New Roman" w:hAnsi="Times New Roman"/>
          <w:sz w:val="20"/>
        </w:rPr>
        <w:t xml:space="preserve"> [31] put the case most sharply: applying explainable-AI methods to published COVID-19 radiograph detectors, they conclude the systems rely on confounding factors rather than pathology, and so "appear accurate, but fail when tested in new hospitals".</w:t>
      </w:r>
    </w:p>
    <w:p>
      <w:pPr>
        <w:keepNext/>
        <w:spacing w:before="160" w:after="60" w:line="240" w:lineRule="exact"/>
        <w:jc w:val="left"/>
      </w:pPr>
      <w:r>
        <w:rPr>
          <w:rFonts w:ascii="Arial" w:hAnsi="Arial"/>
          <w:b/>
          <w:i/>
          <w:color w:val="000000"/>
          <w:sz w:val="18"/>
        </w:rPr>
        <w:t>C. POSITION OF THIS WORK</w:t>
      </w:r>
    </w:p>
    <w:p>
      <w:pPr>
        <w:spacing w:after="0" w:before="0" w:line="240" w:lineRule="exact"/>
        <w:ind w:firstLine="202"/>
        <w:jc w:val="both"/>
      </w:pPr>
      <w:r>
        <w:rPr>
          <w:rFonts w:ascii="Times New Roman" w:hAnsi="Times New Roman"/>
          <w:sz w:val="20"/>
        </w:rPr>
        <w:t xml:space="preserve">The audit's ingredients are not new. Fitting a classifier to metadata to test whether it predicts a label is a familiar kind of dataset-bias check, in the spirit of [32], and the terms nearest to the phenomenon are well established: </w:t>
      </w:r>
      <w:r>
        <w:rPr>
          <w:rFonts w:ascii="Times New Roman" w:hAnsi="Times New Roman"/>
          <w:i/>
          <w:sz w:val="20"/>
        </w:rPr>
        <w:t>shortcut learning</w:t>
      </w:r>
      <w:r>
        <w:rPr>
          <w:rFonts w:ascii="Times New Roman" w:hAnsi="Times New Roman"/>
          <w:sz w:val="20"/>
        </w:rPr>
        <w:t xml:space="preserve"> [6] names what a model does; </w:t>
      </w:r>
      <w:r>
        <w:rPr>
          <w:rFonts w:ascii="Times New Roman" w:hAnsi="Times New Roman"/>
          <w:i/>
          <w:sz w:val="20"/>
        </w:rPr>
        <w:t>dataset bias</w:t>
      </w:r>
      <w:r>
        <w:rPr>
          <w:rFonts w:ascii="Times New Roman" w:hAnsi="Times New Roman"/>
          <w:sz w:val="20"/>
        </w:rPr>
        <w:t xml:space="preserve"> [32] and </w:t>
      </w:r>
      <w:r>
        <w:rPr>
          <w:rFonts w:ascii="Times New Roman" w:hAnsi="Times New Roman"/>
          <w:i/>
          <w:sz w:val="20"/>
        </w:rPr>
        <w:t>spurious correlation</w:t>
      </w:r>
      <w:r>
        <w:rPr>
          <w:rFonts w:ascii="Times New Roman" w:hAnsi="Times New Roman"/>
          <w:sz w:val="20"/>
        </w:rPr>
        <w:t xml:space="preserve"> name a statistical property of a sample; </w:t>
      </w:r>
      <w:r>
        <w:rPr>
          <w:rFonts w:ascii="Times New Roman" w:hAnsi="Times New Roman"/>
          <w:i/>
          <w:sz w:val="20"/>
        </w:rPr>
        <w:t>domain shift</w:t>
      </w:r>
      <w:r>
        <w:rPr>
          <w:rFonts w:ascii="Times New Roman" w:hAnsi="Times New Roman"/>
          <w:sz w:val="20"/>
        </w:rPr>
        <w:t xml:space="preserve"> names a relation between two distributions; </w:t>
      </w:r>
      <w:r>
        <w:rPr>
          <w:rFonts w:ascii="Times New Roman" w:hAnsi="Times New Roman"/>
          <w:i/>
          <w:sz w:val="20"/>
        </w:rPr>
        <w:t>hidden stratification</w:t>
      </w:r>
      <w:r>
        <w:rPr>
          <w:rFonts w:ascii="Times New Roman" w:hAnsi="Times New Roman"/>
          <w:sz w:val="20"/>
        </w:rPr>
        <w:t xml:space="preserve"> [7] names unlabeled subgroup structure inside a class; </w:t>
      </w:r>
      <w:r>
        <w:rPr>
          <w:rFonts w:ascii="Times New Roman" w:hAnsi="Times New Roman"/>
          <w:i/>
          <w:sz w:val="20"/>
        </w:rPr>
        <w:t>source confounding</w:t>
      </w:r>
      <w:r>
        <w:rPr>
          <w:rFonts w:ascii="Times New Roman" w:hAnsi="Times New Roman"/>
          <w:sz w:val="20"/>
        </w:rPr>
        <w:t xml:space="preserve"> names an association between data origin and label; </w:t>
      </w:r>
      <w:r>
        <w:rPr>
          <w:rFonts w:ascii="Times New Roman" w:hAnsi="Times New Roman"/>
          <w:i/>
          <w:sz w:val="20"/>
        </w:rPr>
        <w:t>metadata leakage</w:t>
      </w:r>
      <w:r>
        <w:rPr>
          <w:rFonts w:ascii="Times New Roman" w:hAnsi="Times New Roman"/>
          <w:sz w:val="20"/>
        </w:rPr>
        <w:t xml:space="preserve"> names label-predictive information carried outside the intended input; </w:t>
      </w:r>
      <w:r>
        <w:rPr>
          <w:rFonts w:ascii="Times New Roman" w:hAnsi="Times New Roman"/>
          <w:i/>
          <w:sz w:val="20"/>
        </w:rPr>
        <w:t>near-duplicate leakage</w:t>
      </w:r>
      <w:r>
        <w:rPr>
          <w:rFonts w:ascii="Times New Roman" w:hAnsi="Times New Roman"/>
          <w:sz w:val="20"/>
        </w:rPr>
        <w:t xml:space="preserve"> [11] names a partitioning fault, which motivated this work's two-split design; and </w:t>
      </w:r>
      <w:r>
        <w:rPr>
          <w:rFonts w:ascii="Times New Roman" w:hAnsi="Times New Roman"/>
          <w:i/>
          <w:sz w:val="20"/>
        </w:rPr>
        <w:t>external validation</w:t>
      </w:r>
      <w:r>
        <w:rPr>
          <w:rFonts w:ascii="Times New Roman" w:hAnsi="Times New Roman"/>
          <w:sz w:val="20"/>
        </w:rPr>
        <w:t xml:space="preserve"> names an evaluation practice.</w:t>
      </w:r>
    </w:p>
    <w:p>
      <w:pPr>
        <w:spacing w:after="0" w:before="0" w:line="240" w:lineRule="exact"/>
        <w:ind w:firstLine="202"/>
        <w:jc w:val="both"/>
      </w:pPr>
      <w:r>
        <w:rPr>
          <w:rFonts w:ascii="Times New Roman" w:hAnsi="Times New Roman"/>
          <w:sz w:val="20"/>
        </w:rPr>
        <w:t xml:space="preserve">Class-conditional provenance confounding is a </w:t>
      </w:r>
      <w:r>
        <w:rPr>
          <w:rFonts w:ascii="Times New Roman" w:hAnsi="Times New Roman"/>
          <w:i/>
          <w:sz w:val="20"/>
        </w:rPr>
        <w:t>dataset-construction mechanism</w:t>
      </w:r>
      <w:r>
        <w:rPr>
          <w:rFonts w:ascii="Times New Roman" w:hAnsi="Times New Roman"/>
          <w:sz w:val="20"/>
        </w:rPr>
        <w:t xml:space="preserve"> that can produce several of these at once. We name it separately for one reason: the cause is what makes it detectable in advance. Because one class was unobtainable by the procedure that produced the other, acquisition is correlated with the label </w:t>
      </w:r>
      <w:r>
        <w:rPr>
          <w:rFonts w:ascii="Times New Roman" w:hAnsi="Times New Roman"/>
          <w:i/>
          <w:sz w:val="20"/>
        </w:rPr>
        <w:t>within the training distribution itself</w:t>
      </w:r>
      <w:r>
        <w:rPr>
          <w:rFonts w:ascii="Times New Roman" w:hAnsi="Times New Roman"/>
          <w:sz w:val="20"/>
        </w:rPr>
        <w:t>, before any model is fitted and without reference to any deployment distribution. Three consequences follow that the general terms do not carry. The association can be complete rather than partial — incidental at the three hospital systems of [7], exactly 1.0 across 510 images here. It is predictable from a dataset's construction, so the collections at risk can be named in advance: those whose classes were sourced separately. And it survives leakage-aware validation, since every partition of one pool inherits it in the same proportion.</w:t>
      </w:r>
    </w:p>
    <w:p>
      <w:pPr>
        <w:spacing w:after="0" w:before="0" w:line="240" w:lineRule="exact"/>
        <w:ind w:firstLine="202"/>
        <w:jc w:val="both"/>
      </w:pPr>
      <w:r>
        <w:rPr>
          <w:rFonts w:ascii="Times New Roman" w:hAnsi="Times New Roman"/>
          <w:sz w:val="20"/>
        </w:rPr>
        <w:t xml:space="preserve">What this paper adds is therefore procedural rather than technical: a specification of </w:t>
      </w:r>
      <w:r>
        <w:rPr>
          <w:rFonts w:ascii="Times New Roman" w:hAnsi="Times New Roman"/>
          <w:i/>
          <w:sz w:val="20"/>
        </w:rPr>
        <w:t>when</w:t>
      </w:r>
      <w:r>
        <w:rPr>
          <w:rFonts w:ascii="Times New Roman" w:hAnsi="Times New Roman"/>
          <w:sz w:val="20"/>
        </w:rPr>
        <w:t xml:space="preserve"> the check runs (before training), </w:t>
      </w:r>
      <w:r>
        <w:rPr>
          <w:rFonts w:ascii="Times New Roman" w:hAnsi="Times New Roman"/>
          <w:i/>
          <w:sz w:val="20"/>
        </w:rPr>
        <w:t>on what</w:t>
      </w:r>
      <w:r>
        <w:rPr>
          <w:rFonts w:ascii="Times New Roman" w:hAnsi="Times New Roman"/>
          <w:sz w:val="20"/>
        </w:rPr>
        <w:t xml:space="preserve"> (the study's own leakage-free partition, so the audit inherits the grouping the models do), </w:t>
      </w:r>
      <w:r>
        <w:rPr>
          <w:rFonts w:ascii="Times New Roman" w:hAnsi="Times New Roman"/>
          <w:i/>
          <w:sz w:val="20"/>
        </w:rPr>
        <w:t>on which variables</w:t>
      </w:r>
      <w:r>
        <w:rPr>
          <w:rFonts w:ascii="Times New Roman" w:hAnsi="Times New Roman"/>
          <w:sz w:val="20"/>
        </w:rPr>
        <w:t xml:space="preserve"> (the </w:t>
      </w:r>
      <w:r>
        <w:rPr>
          <w:rFonts w:ascii="Times New Roman" w:hAnsi="Times New Roman"/>
          <w:i/>
          <w:sz w:val="20"/>
        </w:rPr>
        <w:t>A_(pure)</w:t>
      </w:r>
      <w:r>
        <w:rPr>
          <w:rFonts w:ascii="Times New Roman" w:hAnsi="Times New Roman"/>
          <w:sz w:val="20"/>
        </w:rPr>
        <w:t xml:space="preserve"> / </w:t>
      </w:r>
      <w:r>
        <w:rPr>
          <w:rFonts w:ascii="Times New Roman" w:hAnsi="Times New Roman"/>
          <w:i/>
          <w:sz w:val="20"/>
        </w:rPr>
        <w:t>A_(mix)</w:t>
      </w:r>
      <w:r>
        <w:rPr>
          <w:rFonts w:ascii="Times New Roman" w:hAnsi="Times New Roman"/>
          <w:sz w:val="20"/>
        </w:rPr>
        <w:t xml:space="preserve"> division of Section I-A, which governs how a score is read), and </w:t>
      </w:r>
      <w:r>
        <w:rPr>
          <w:rFonts w:ascii="Times New Roman" w:hAnsi="Times New Roman"/>
          <w:i/>
          <w:sz w:val="20"/>
        </w:rPr>
        <w:t>how far to trust it</w:t>
      </w:r>
      <w:r>
        <w:rPr>
          <w:rFonts w:ascii="Times New Roman" w:hAnsi="Times New Roman"/>
          <w:sz w:val="20"/>
        </w:rPr>
        <w:t xml:space="preserve"> (its false-negative and false-positive modes, Section IV-A) — followed through to show that removing one provenance signal can expose another. We did not identify prior work applying such a check to counterfeit-medicine image authentication or reporting it as a pre-training step rather than a post-hoc explanation. The closest published analogue outside medicine is [30], described in Section I-A. Domain-generalization surveys [23] situate the normalization of Section III-F closer to hand-designed covariate-shift alignment than to representation learning, and the synthetic-corruption proxy of Section S-I-B follows the logic of ImageNet-C [12], measuring robustness to a documented perturbation style rather than label-defined class recall.</w:t>
      </w:r>
    </w:p>
    <w:p>
      <w:pPr>
        <w:keepNext/>
        <w:spacing w:before="200" w:after="60" w:line="240" w:lineRule="exact"/>
        <w:jc w:val="left"/>
      </w:pPr>
      <w:r>
        <w:rPr>
          <w:rFonts w:ascii="Arial" w:hAnsi="Arial"/>
          <w:b/>
          <w:i w:val="0"/>
          <w:color w:val="00548F"/>
          <w:sz w:val="18"/>
        </w:rPr>
        <w:t>III. MATERIALS AND METHODS</w:t>
      </w:r>
    </w:p>
    <w:p>
      <w:pPr>
        <w:spacing w:after="0" w:before="0" w:line="240" w:lineRule="exact"/>
        <w:ind w:firstLine="202"/>
        <w:jc w:val="both"/>
      </w:pPr>
      <w:r>
        <w:rPr>
          <w:rFonts w:ascii="Times New Roman" w:hAnsi="Times New Roman"/>
          <w:sz w:val="20"/>
        </w:rPr>
        <w:t xml:space="preserve">The pipeline is deterministic (fixed seed 42 throughout) and idempotent: re-running under the committed environment and fixed seeds reproduces the reported outputs, and three consecutive re-runs of the most expensive model produced byte-identical training curves and metric files (Section S-I-G). Fig. S1 diagrams the provenance, splitting and evaluation design; Section S-I-C records the software environment, including why </w:t>
      </w:r>
      <w:r>
        <w:rPr>
          <w:rFonts w:ascii="Consolas" w:hAnsi="Consolas"/>
          <w:sz w:val="18"/>
        </w:rPr>
        <w:t>torch.use_deterministic_algorithms</w:t>
      </w:r>
      <w:r>
        <w:rPr>
          <w:rFonts w:ascii="Times New Roman" w:hAnsi="Times New Roman"/>
          <w:sz w:val="20"/>
        </w:rPr>
        <w:t xml:space="preserve"> is left off, and Section S-V the commands that reproduce each table.</w:t>
      </w:r>
    </w:p>
    <w:p>
      <w:pPr>
        <w:keepNext/>
        <w:spacing w:before="160" w:after="60" w:line="240" w:lineRule="exact"/>
        <w:jc w:val="left"/>
      </w:pPr>
      <w:r>
        <w:rPr>
          <w:rFonts w:ascii="Arial" w:hAnsi="Arial"/>
          <w:b/>
          <w:i/>
          <w:color w:val="000000"/>
          <w:sz w:val="18"/>
        </w:rPr>
        <w:t>A. DATASET</w:t>
      </w:r>
    </w:p>
    <w:p>
      <w:pPr>
        <w:spacing w:after="0" w:before="0" w:line="240" w:lineRule="exact"/>
        <w:ind w:firstLine="202"/>
        <w:jc w:val="both"/>
      </w:pPr>
      <w:r>
        <w:rPr>
          <w:rFonts w:ascii="Times New Roman" w:hAnsi="Times New Roman"/>
          <w:sz w:val="20"/>
        </w:rPr>
        <w:t xml:space="preserve">Three public sources were inventoried: the Kaggle </w:t>
      </w:r>
      <w:r>
        <w:rPr>
          <w:rFonts w:ascii="Times New Roman" w:hAnsi="Times New Roman"/>
          <w:i/>
          <w:sz w:val="20"/>
        </w:rPr>
        <w:t>Fake vs Real Medicine</w:t>
      </w:r>
      <w:r>
        <w:rPr>
          <w:rFonts w:ascii="Times New Roman" w:hAnsi="Times New Roman"/>
          <w:sz w:val="20"/>
        </w:rPr>
        <w:t xml:space="preserve"> set [19], 661 unique files re-listed across a bundled split, license stated as "Unknown"; Roboflow </w:t>
      </w:r>
      <w:r>
        <w:rPr>
          <w:rFonts w:ascii="Times New Roman" w:hAnsi="Times New Roman"/>
          <w:i/>
          <w:sz w:val="20"/>
        </w:rPr>
        <w:t>Counterfeit_med_detection</w:t>
      </w:r>
      <w:r>
        <w:rPr>
          <w:rFonts w:ascii="Times New Roman" w:hAnsi="Times New Roman"/>
          <w:sz w:val="20"/>
        </w:rPr>
        <w:t xml:space="preserve"> v4 [21], 4,260 files under CC BY 4.0, including the publisher's own 3× rotation and exposure augmentation; and the Mendeley </w:t>
      </w:r>
      <w:r>
        <w:rPr>
          <w:rFonts w:ascii="Times New Roman" w:hAnsi="Times New Roman"/>
          <w:i/>
          <w:sz w:val="20"/>
        </w:rPr>
        <w:t>Mobile-Captured Pharmaceutical Medication Packages</w:t>
      </w:r>
      <w:r>
        <w:rPr>
          <w:rFonts w:ascii="Times New Roman" w:hAnsi="Times New Roman"/>
          <w:sz w:val="20"/>
        </w:rPr>
        <w:t xml:space="preserve"> archive [20], 3,900 files across six devices under CC BY 4.0. Table S1 gives the full inventory.</w:t>
      </w:r>
    </w:p>
    <w:p>
      <w:pPr>
        <w:spacing w:after="0" w:before="0" w:line="240" w:lineRule="exact"/>
        <w:ind w:firstLine="202"/>
        <w:jc w:val="both"/>
      </w:pPr>
      <w:r>
        <w:rPr>
          <w:rFonts w:ascii="Times New Roman" w:hAnsi="Times New Roman"/>
          <w:sz w:val="20"/>
        </w:rPr>
        <w:t xml:space="preserve">Two properties of the primary source, both verifiable in seconds by anyone holding the archive, should be recorded before any result is read. </w:t>
      </w:r>
      <w:r>
        <w:rPr>
          <w:rFonts w:ascii="Times New Roman" w:hAnsi="Times New Roman"/>
          <w:b/>
          <w:sz w:val="20"/>
        </w:rPr>
        <w:t>Provenance:</w:t>
      </w:r>
      <w:r>
        <w:rPr>
          <w:rFonts w:ascii="Times New Roman" w:hAnsi="Times New Roman"/>
          <w:sz w:val="20"/>
        </w:rPr>
        <w:t xml:space="preserve"> it is a single-uploader Kaggle contribution, last updated 13 October 2025, distributed with its license field set to "Unknown". Counterfeit-labeled files are named </w:t>
      </w:r>
      <w:r>
        <w:rPr>
          <w:rFonts w:ascii="Consolas" w:hAnsi="Consolas"/>
          <w:sz w:val="18"/>
        </w:rPr>
        <w:t>Screenshot YYYY-MM-DD HHMMSS.png</w:t>
      </w:r>
      <w:r>
        <w:rPr>
          <w:rFonts w:ascii="Times New Roman" w:hAnsi="Times New Roman"/>
          <w:sz w:val="20"/>
        </w:rPr>
        <w:t xml:space="preserve">, with embedded timestamps falling in a small number of capture sessions; authentic-labeled files are named </w:t>
      </w:r>
      <w:r>
        <w:rPr>
          <w:rFonts w:ascii="Consolas" w:hAnsi="Consolas"/>
          <w:sz w:val="18"/>
        </w:rPr>
        <w:t>imagesNN.jpg</w:t>
      </w:r>
      <w:r>
        <w:rPr>
          <w:rFonts w:ascii="Times New Roman" w:hAnsi="Times New Roman"/>
          <w:sz w:val="20"/>
        </w:rPr>
        <w:t>. There is no data card, no collection protocol and no per-image provenance, none of which is unusual for a dataset of this kind, which is the point of Section II-A.</w:t>
      </w:r>
    </w:p>
    <w:p>
      <w:pPr>
        <w:spacing w:after="0" w:before="0" w:line="240" w:lineRule="exact"/>
        <w:ind w:firstLine="202"/>
        <w:jc w:val="both"/>
      </w:pPr>
      <w:r>
        <w:rPr>
          <w:rFonts w:ascii="Times New Roman" w:hAnsi="Times New Roman"/>
          <w:b/>
          <w:sz w:val="20"/>
        </w:rPr>
        <w:t>The bundled split is not a split.</w:t>
      </w:r>
      <w:r>
        <w:rPr>
          <w:rFonts w:ascii="Times New Roman" w:hAnsi="Times New Roman"/>
          <w:sz w:val="20"/>
        </w:rPr>
        <w:t xml:space="preserve"> Alongside the class folders the archive ships </w:t>
      </w:r>
      <w:r>
        <w:rPr>
          <w:rFonts w:ascii="Consolas" w:hAnsi="Consolas"/>
          <w:sz w:val="18"/>
        </w:rPr>
        <w:t>train/</w:t>
      </w:r>
      <w:r>
        <w:rPr>
          <w:rFonts w:ascii="Times New Roman" w:hAnsi="Times New Roman"/>
          <w:sz w:val="20"/>
        </w:rPr>
        <w:t xml:space="preserve">, </w:t>
      </w:r>
      <w:r>
        <w:rPr>
          <w:rFonts w:ascii="Consolas" w:hAnsi="Consolas"/>
          <w:sz w:val="18"/>
        </w:rPr>
        <w:t>val/</w:t>
      </w:r>
      <w:r>
        <w:rPr>
          <w:rFonts w:ascii="Times New Roman" w:hAnsi="Times New Roman"/>
          <w:sz w:val="20"/>
        </w:rPr>
        <w:t xml:space="preserve"> and </w:t>
      </w:r>
      <w:r>
        <w:rPr>
          <w:rFonts w:ascii="Consolas" w:hAnsi="Consolas"/>
          <w:sz w:val="18"/>
        </w:rPr>
        <w:t>test/</w:t>
      </w:r>
      <w:r>
        <w:rPr>
          <w:rFonts w:ascii="Times New Roman" w:hAnsi="Times New Roman"/>
          <w:sz w:val="20"/>
        </w:rPr>
        <w:t>, and counting unique filenames, the training folder lists all 661 while validation (453) and test (449) are proper subsets of it, with 286 filenames common to all three. A study adopting this partition trains on 100% of the data it then reports test accuracy on. We discarded it and built our own (Section III-B).</w:t>
      </w:r>
    </w:p>
    <w:p>
      <w:pPr>
        <w:spacing w:after="0" w:before="0" w:line="240" w:lineRule="exact"/>
        <w:ind w:firstLine="202"/>
        <w:jc w:val="both"/>
      </w:pPr>
      <w:r>
        <w:rPr>
          <w:rFonts w:ascii="Times New Roman" w:hAnsi="Times New Roman"/>
          <w:b/>
          <w:sz w:val="20"/>
        </w:rPr>
        <w:t>Why the second source was excluded.</w:t>
      </w:r>
      <w:r>
        <w:rPr>
          <w:rFonts w:ascii="Times New Roman" w:hAnsi="Times New Roman"/>
          <w:sz w:val="20"/>
        </w:rPr>
        <w:t xml:space="preserve"> The Roboflow source appeared to be a second independent authentic/counterfeit dataset, and therefore a candidate both for pooling and for cross-dataset validation. Inspection showed it is neither. Of its counterfeit-labeled images, 57/57 unique source images are institutional advisory graphics carrying a regulator's logo, a banner headline and the ground-truth label rendered as literal text inside the image, while 263/263 of its plain product photographs are authentic-labeled: a model trained on it as shipped would learn to distinguish advisory collages from product photography. After excluding those, 9 more found by manual inspection and 52 rows carrying simultaneous </w:t>
      </w:r>
      <w:r>
        <w:rPr>
          <w:rFonts w:ascii="Consolas" w:hAnsi="Consolas"/>
          <w:sz w:val="18"/>
        </w:rPr>
        <w:t>authentic=1</w:t>
      </w:r>
      <w:r>
        <w:rPr>
          <w:rFonts w:ascii="Times New Roman" w:hAnsi="Times New Roman"/>
          <w:sz w:val="20"/>
        </w:rPr>
        <w:t xml:space="preserve"> and </w:t>
      </w:r>
      <w:r>
        <w:rPr>
          <w:rFonts w:ascii="Consolas" w:hAnsi="Consolas"/>
          <w:sz w:val="18"/>
        </w:rPr>
        <w:t>counterfeit=1</w:t>
      </w:r>
      <w:r>
        <w:rPr>
          <w:rFonts w:ascii="Times New Roman" w:hAnsi="Times New Roman"/>
          <w:sz w:val="20"/>
        </w:rPr>
        <w:t xml:space="preserve"> annotations, the source contributes </w:t>
      </w:r>
      <w:r>
        <w:rPr>
          <w:rFonts w:ascii="Times New Roman" w:hAnsi="Times New Roman"/>
          <w:b/>
          <w:sz w:val="20"/>
        </w:rPr>
        <w:t>2</w:t>
      </w:r>
      <w:r>
        <w:rPr>
          <w:rFonts w:ascii="Times New Roman" w:hAnsi="Times New Roman"/>
          <w:sz w:val="20"/>
        </w:rPr>
        <w:t xml:space="preserve"> usable counterfeit images against 2,695 authentic. Prior work attributes its unsuitability to class imbalance; the deeper problem is a modality confound, which metadata alone does not detect (Section S-I-T).</w:t>
      </w:r>
    </w:p>
    <w:p>
      <w:pPr>
        <w:spacing w:after="0" w:before="0" w:line="240" w:lineRule="exact"/>
        <w:ind w:firstLine="202"/>
        <w:jc w:val="both"/>
      </w:pPr>
      <w:r>
        <w:rPr>
          <w:rFonts w:ascii="Times New Roman" w:hAnsi="Times New Roman"/>
          <w:b/>
          <w:sz w:val="20"/>
        </w:rPr>
        <w:t>Why the two sources are not independent.</w:t>
      </w:r>
      <w:r>
        <w:rPr>
          <w:rFonts w:ascii="Times New Roman" w:hAnsi="Times New Roman"/>
          <w:sz w:val="20"/>
        </w:rPr>
        <w:t xml:space="preserve"> Perceptual-hash clustering found </w:t>
      </w:r>
      <w:r>
        <w:rPr>
          <w:rFonts w:ascii="Times New Roman" w:hAnsi="Times New Roman"/>
          <w:b/>
          <w:sz w:val="20"/>
        </w:rPr>
        <w:t>202 clusters containing images from both sources</w:t>
      </w:r>
      <w:r>
        <w:rPr>
          <w:rFonts w:ascii="Times New Roman" w:hAnsi="Times New Roman"/>
          <w:sz w:val="20"/>
        </w:rPr>
        <w:t xml:space="preserve">, covering 2,665 of 4,027 retained Roboflow images and 256 of 605 Kaggle images, so </w:t>
      </w:r>
      <w:r>
        <w:rPr>
          <w:rFonts w:ascii="Times New Roman" w:hAnsi="Times New Roman"/>
          <w:b/>
          <w:sz w:val="20"/>
        </w:rPr>
        <w:t>42.3% of the Kaggle pool has a near-duplicate in the Roboflow source</w:t>
      </w:r>
      <w:r>
        <w:rPr>
          <w:rFonts w:ascii="Times New Roman" w:hAnsi="Times New Roman"/>
          <w:sz w:val="20"/>
        </w:rPr>
        <w:t>, sometimes differing only by a 90° rotation. This was confirmed visually on matched pairs, not inferred from hash distance alone. Neither source documents provenance, so which derives from which is unknown; what matters is that any study treating them as independent sources for cross-dataset testing would be leaking training data into "external" evaluation.</w:t>
      </w:r>
    </w:p>
    <w:p>
      <w:pPr>
        <w:spacing w:after="0" w:before="0" w:line="240" w:lineRule="exact"/>
        <w:ind w:firstLine="202"/>
        <w:jc w:val="both"/>
      </w:pPr>
      <w:r>
        <w:rPr>
          <w:rFonts w:ascii="Times New Roman" w:hAnsi="Times New Roman"/>
          <w:b/>
          <w:sz w:val="20"/>
        </w:rPr>
        <w:t>The modeling pool.</w:t>
      </w:r>
      <w:r>
        <w:rPr>
          <w:rFonts w:ascii="Times New Roman" w:hAnsi="Times New Roman"/>
          <w:sz w:val="20"/>
        </w:rPr>
        <w:t xml:space="preserve"> Given the two preceding paragraphs, </w:t>
      </w:r>
      <w:r>
        <w:rPr>
          <w:rFonts w:ascii="Times New Roman" w:hAnsi="Times New Roman"/>
          <w:b/>
          <w:sz w:val="20"/>
        </w:rPr>
        <w:t>Splits A and B are built from the Kaggle pool alone</w:t>
      </w:r>
      <w:r>
        <w:rPr>
          <w:rFonts w:ascii="Times New Roman" w:hAnsi="Times New Roman"/>
          <w:sz w:val="20"/>
        </w:rPr>
        <w:t xml:space="preserve">, which makes the split protocol the single manipulated variable. After exclusion and de-duplication the pool contains </w:t>
      </w:r>
      <w:r>
        <w:rPr>
          <w:rFonts w:ascii="Times New Roman" w:hAnsi="Times New Roman"/>
          <w:b/>
          <w:sz w:val="20"/>
        </w:rPr>
        <w:t>510 images in 480 product-identity groups</w:t>
      </w:r>
      <w:r>
        <w:rPr>
          <w:rFonts w:ascii="Times New Roman" w:hAnsi="Times New Roman"/>
          <w:sz w:val="20"/>
        </w:rPr>
        <w:t>, 272 authentic and 238 counterfeit. Exclusions are rule-based and documented in code, in three families: contradictory annotations (52 Roboflow rows), advisory-bulletin graphics (180 Roboflow files), and 56 human-identified Kaggle files (Sections S-I-A, S-IV). Each carries a machine-readable reason, so any downstream count traces to the rule that produced it.</w:t>
      </w:r>
    </w:p>
    <w:p>
      <w:pPr>
        <w:spacing w:after="0" w:before="0" w:line="240" w:lineRule="exact"/>
        <w:ind w:firstLine="202"/>
        <w:jc w:val="both"/>
      </w:pPr>
      <w:r>
        <w:rPr>
          <w:rFonts w:ascii="Times New Roman" w:hAnsi="Times New Roman"/>
          <w:b/>
          <w:sz w:val="20"/>
        </w:rPr>
        <w:t>De-duplication and product identity.</w:t>
      </w:r>
      <w:r>
        <w:rPr>
          <w:rFonts w:ascii="Times New Roman" w:hAnsi="Times New Roman"/>
          <w:sz w:val="20"/>
        </w:rPr>
        <w:t xml:space="preserve"> Neither source carries ground-truth product-identity labels, so near-duplicate photo clustering is used as an operational proxy. A 64-bit perceptual hash [25] is computed at all four cardinal orientations per image and the numeric minimum taken as a rotation-canonical hash:</w:t>
      </w:r>
    </w:p>
    <w:p>
      <w:pPr>
        <w:tabs>
          <w:tab w:pos="4835" w:val="right"/>
        </w:tabs>
        <w:spacing w:before="80" w:after="80"/>
        <w:jc w:val="center"/>
      </w:pPr>
      <w:r>
        <w:rPr>
          <w:rFonts w:ascii="Times New Roman" w:hAnsi="Times New Roman"/>
          <w:i/>
          <w:sz w:val="20"/>
        </w:rPr>
        <w:t>h(x) = min_(θ ∈ {0°, 90°, 180°, 270°}) pHash(R_θ(x))</w:t>
      </w:r>
      <w:r>
        <w:rPr>
          <w:rFonts w:ascii="Times New Roman" w:hAnsi="Times New Roman"/>
          <w:sz w:val="20"/>
        </w:rPr>
        <w:tab/>
        <w:t>(1)</w:t>
      </w:r>
    </w:p>
    <w:p>
      <w:pPr>
        <w:spacing w:after="0" w:before="0" w:line="240" w:lineRule="exact"/>
        <w:ind w:firstLine="202"/>
        <w:jc w:val="both"/>
      </w:pPr>
      <w:r>
        <w:rPr>
          <w:rFonts w:ascii="Times New Roman" w:hAnsi="Times New Roman"/>
          <w:sz w:val="20"/>
        </w:rPr>
        <w:t xml:space="preserve">Rotation invariance is necessary rather than decorative: the Roboflow source documents 90°-rotation augmentation, and a plain pHash treats a rotated copy as a different image. Pairs at Hamming distance 0 are treated as true duplicates and one copy removed; pairs at distance 1–8 are retained but assigned to the same </w:t>
      </w:r>
      <w:r>
        <w:rPr>
          <w:rFonts w:ascii="Consolas" w:hAnsi="Consolas"/>
          <w:sz w:val="18"/>
        </w:rPr>
        <w:t>product_identity</w:t>
      </w:r>
      <w:r>
        <w:rPr>
          <w:rFonts w:ascii="Times New Roman" w:hAnsi="Times New Roman"/>
          <w:sz w:val="20"/>
        </w:rPr>
        <w:t xml:space="preserve"> cluster. The threshold of 8 is conventional rather than derived, and Section S-I-Y sweeps it: no cluster mixes the two class labels up to distance 10, and nothing this paper concludes from the split comparison turns on the choice. Two dissimilar photographs of one package would not be grouped at any threshold, so we call the resulting design a </w:t>
      </w:r>
      <w:r>
        <w:rPr>
          <w:rFonts w:ascii="Times New Roman" w:hAnsi="Times New Roman"/>
          <w:b/>
          <w:sz w:val="20"/>
        </w:rPr>
        <w:t>near-duplicate-grouped</w:t>
      </w:r>
      <w:r>
        <w:rPr>
          <w:rFonts w:ascii="Times New Roman" w:hAnsi="Times New Roman"/>
          <w:sz w:val="20"/>
        </w:rPr>
        <w:t xml:space="preserve"> split throughout and reserve "product identity" for the field name in the code. The method is not robust to mirroring, a gap kept low-risk by the no-flip augmentation policy of Section III-C but not exhaustively verified.</w:t>
      </w:r>
    </w:p>
    <w:p>
      <w:pPr>
        <w:keepNext/>
        <w:spacing w:before="160" w:after="60" w:line="240" w:lineRule="exact"/>
        <w:jc w:val="left"/>
      </w:pPr>
      <w:r>
        <w:rPr>
          <w:rFonts w:ascii="Arial" w:hAnsi="Arial"/>
          <w:b/>
          <w:i/>
          <w:color w:val="000000"/>
          <w:sz w:val="18"/>
        </w:rPr>
        <w:t>B. LEAKAGE-CONTROLLED PARTITIONS</w:t>
      </w:r>
    </w:p>
    <w:p>
      <w:pPr>
        <w:spacing w:after="0" w:before="0" w:line="240" w:lineRule="exact"/>
        <w:ind w:firstLine="202"/>
        <w:jc w:val="both"/>
      </w:pPr>
      <w:r>
        <w:rPr>
          <w:rFonts w:ascii="Times New Roman" w:hAnsi="Times New Roman"/>
          <w:sz w:val="20"/>
        </w:rPr>
        <w:t>Two partitions of the modeling pool are built, evaluated in parallel so that the leakage effect is measured rather than assumed:</w:t>
      </w:r>
    </w:p>
    <w:p>
      <w:pPr>
        <w:pStyle w:val="ListBullet"/>
        <w:spacing w:after="40" w:line="240" w:lineRule="exact"/>
      </w:pPr>
      <w:r>
        <w:rPr>
          <w:rFonts w:ascii="Times New Roman" w:hAnsi="Times New Roman"/>
          <w:b/>
          <w:sz w:val="20"/>
        </w:rPr>
        <w:t>Split A (naive)</w:t>
      </w:r>
      <w:r>
        <w:rPr>
          <w:rFonts w:ascii="Times New Roman" w:hAnsi="Times New Roman"/>
          <w:sz w:val="20"/>
        </w:rPr>
        <w:t xml:space="preserve"> — random 70:15:15, class-stratified, at the </w:t>
      </w:r>
      <w:r>
        <w:rPr>
          <w:rFonts w:ascii="Times New Roman" w:hAnsi="Times New Roman"/>
          <w:b/>
          <w:sz w:val="20"/>
        </w:rPr>
        <w:t>image</w:t>
      </w:r>
      <w:r>
        <w:rPr>
          <w:rFonts w:ascii="Times New Roman" w:hAnsi="Times New Roman"/>
          <w:sz w:val="20"/>
        </w:rPr>
        <w:t xml:space="preserve"> level. This is the protocol in general use on data of this kind, and the only one available to a study that adopts a dataset's shipped partition without inspecting it; none of the studies in Table S26 reports a grouped or identity-aware split.</w:t>
      </w:r>
    </w:p>
    <w:p>
      <w:pPr>
        <w:pStyle w:val="ListBullet"/>
        <w:spacing w:after="40" w:line="240" w:lineRule="exact"/>
      </w:pPr>
      <w:r>
        <w:rPr>
          <w:rFonts w:ascii="Times New Roman" w:hAnsi="Times New Roman"/>
          <w:b/>
          <w:sz w:val="20"/>
        </w:rPr>
        <w:t>Split B (near-duplicate-grouped)</w:t>
      </w:r>
      <w:r>
        <w:rPr>
          <w:rFonts w:ascii="Times New Roman" w:hAnsi="Times New Roman"/>
          <w:sz w:val="20"/>
        </w:rPr>
        <w:t xml:space="preserve"> — 70:15:15, class-stratified, at the </w:t>
      </w:r>
      <w:r>
        <w:rPr>
          <w:rFonts w:ascii="Times New Roman" w:hAnsi="Times New Roman"/>
          <w:b/>
          <w:sz w:val="20"/>
        </w:rPr>
        <w:t>near-duplicate cluster</w:t>
      </w:r>
      <w:r>
        <w:rPr>
          <w:rFonts w:ascii="Times New Roman" w:hAnsi="Times New Roman"/>
          <w:sz w:val="20"/>
        </w:rPr>
        <w:t xml:space="preserve"> level, so no near-duplicate photograph of the same product can appear in more than one partition. The training partition additionally carries a </w:t>
      </w:r>
      <w:r>
        <w:rPr>
          <w:rFonts w:ascii="Consolas" w:hAnsi="Consolas"/>
          <w:sz w:val="18"/>
        </w:rPr>
        <w:t>cv_fold</w:t>
      </w:r>
      <w:r>
        <w:rPr>
          <w:rFonts w:ascii="Times New Roman" w:hAnsi="Times New Roman"/>
          <w:sz w:val="20"/>
        </w:rPr>
        <w:t xml:space="preserve"> index from </w:t>
      </w:r>
      <w:r>
        <w:rPr>
          <w:rFonts w:ascii="Consolas" w:hAnsi="Consolas"/>
          <w:sz w:val="18"/>
        </w:rPr>
        <w:t>StratifiedGroupKFold</w:t>
      </w:r>
      <w:r>
        <w:rPr>
          <w:rFonts w:ascii="Times New Roman" w:hAnsi="Times New Roman"/>
          <w:sz w:val="20"/>
        </w:rPr>
        <w:t>, so 5-fold cross-validation never places the same product in two folds.</w:t>
      </w:r>
    </w:p>
    <w:p>
      <w:pPr>
        <w:spacing w:after="0" w:before="0" w:line="240" w:lineRule="exact"/>
        <w:ind w:firstLine="202"/>
        <w:jc w:val="both"/>
      </w:pPr>
      <w:r>
        <w:rPr>
          <w:rFonts w:ascii="Times New Roman" w:hAnsi="Times New Roman"/>
          <w:sz w:val="20"/>
        </w:rPr>
        <w:t xml:space="preserve">An assertion in the pipeline verifies zero product-identity overlap between every pair of Split B partitions on every run; it passes. Comparing the two assignments directly, </w:t>
      </w:r>
      <w:r>
        <w:rPr>
          <w:rFonts w:ascii="Times New Roman" w:hAnsi="Times New Roman"/>
          <w:b/>
          <w:sz w:val="20"/>
        </w:rPr>
        <w:t>9 of 480 product-identity groups (1.9%) have members in more than one partition under Split A</w:t>
      </w:r>
      <w:r>
        <w:rPr>
          <w:rFonts w:ascii="Times New Roman" w:hAnsi="Times New Roman"/>
          <w:sz w:val="20"/>
        </w:rPr>
        <w:t xml:space="preserve"> — the literal, countable leakage that Split B removes — and 230 of 510 images (45.1%) are assigned to a different partition under A than under B. Split A holds 357/77/76 images and Split B 357/79/74 over 336/72/72 product groups; Table S2 gives every partition's class balance.</w:t>
      </w:r>
    </w:p>
    <w:p>
      <w:pPr>
        <w:spacing w:after="0" w:before="0" w:line="240" w:lineRule="exact"/>
        <w:ind w:firstLine="202"/>
        <w:jc w:val="both"/>
      </w:pPr>
      <w:r>
        <w:rPr>
          <w:rFonts w:ascii="Times New Roman" w:hAnsi="Times New Roman"/>
          <w:sz w:val="20"/>
        </w:rPr>
        <w:t xml:space="preserve">"Leakage-free" throughout means free of </w:t>
      </w:r>
      <w:r>
        <w:rPr>
          <w:rFonts w:ascii="Times New Roman" w:hAnsi="Times New Roman"/>
          <w:b/>
          <w:sz w:val="20"/>
        </w:rPr>
        <w:t>product-identity</w:t>
      </w:r>
      <w:r>
        <w:rPr>
          <w:rFonts w:ascii="Times New Roman" w:hAnsi="Times New Roman"/>
          <w:sz w:val="20"/>
        </w:rPr>
        <w:t xml:space="preserve"> leakage. It makes no claim about acquisition: because every counterfeit-labeled image was produced by one capture pipeline and every authentic-labeled image by another, </w:t>
      </w:r>
      <w:r>
        <w:rPr>
          <w:rFonts w:ascii="Times New Roman" w:hAnsi="Times New Roman"/>
          <w:i/>
          <w:sz w:val="20"/>
        </w:rPr>
        <w:t>no</w:t>
      </w:r>
      <w:r>
        <w:rPr>
          <w:rFonts w:ascii="Times New Roman" w:hAnsi="Times New Roman"/>
          <w:sz w:val="20"/>
        </w:rPr>
        <w:t xml:space="preserve"> partition of this pool can place a capture process on one side of a fold, and grouped cross-validation inherits the confound at full strength.</w:t>
      </w:r>
    </w:p>
    <w:p>
      <w:pPr>
        <w:spacing w:after="0" w:before="0" w:line="240" w:lineRule="exact"/>
        <w:ind w:firstLine="202"/>
        <w:jc w:val="both"/>
      </w:pPr>
      <w:r>
        <w:rPr>
          <w:rFonts w:ascii="Times New Roman" w:hAnsi="Times New Roman"/>
          <w:sz w:val="20"/>
        </w:rPr>
        <w:t xml:space="preserve">The test partitions are small (74–76 images), so every point estimate in Section IV carries a 95% uncertainty interval, and comparisons are read against those intervals rather than against point differences. Each table names which of the two interval constructions it reports, a percentile bootstrap or a Wilson score interval. Three kinds of uncertainty are kept apart, because several readings turn on which is being quoted. </w:t>
      </w:r>
      <w:r>
        <w:rPr>
          <w:rFonts w:ascii="Times New Roman" w:hAnsi="Times New Roman"/>
          <w:b/>
          <w:sz w:val="20"/>
        </w:rPr>
        <w:t>Sampling uncertainty</w:t>
      </w:r>
      <w:r>
        <w:rPr>
          <w:rFonts w:ascii="Times New Roman" w:hAnsi="Times New Roman"/>
          <w:sz w:val="20"/>
        </w:rPr>
        <w:t xml:space="preserve"> is what a finite evaluation set supports for one trained model, and is what every bracketed interval describes unless a table says otherwise. </w:t>
      </w:r>
      <w:r>
        <w:rPr>
          <w:rFonts w:ascii="Times New Roman" w:hAnsi="Times New Roman"/>
          <w:b/>
          <w:sz w:val="20"/>
        </w:rPr>
        <w:t>Training-run variability</w:t>
      </w:r>
      <w:r>
        <w:rPr>
          <w:rFonts w:ascii="Times New Roman" w:hAnsi="Times New Roman"/>
          <w:sz w:val="20"/>
        </w:rPr>
        <w:t xml:space="preserve"> is what a different initialization would have produced, assessed across five seeds (Table 6). </w:t>
      </w:r>
      <w:r>
        <w:rPr>
          <w:rFonts w:ascii="Times New Roman" w:hAnsi="Times New Roman"/>
          <w:b/>
          <w:sz w:val="20"/>
        </w:rPr>
        <w:t>Distribution-shift uncertainty</w:t>
      </w:r>
      <w:r>
        <w:rPr>
          <w:rFonts w:ascii="Times New Roman" w:hAnsi="Times New Roman"/>
          <w:sz w:val="20"/>
        </w:rPr>
        <w:t xml:space="preserve"> is addressed by neither; only evaluation on data we did not collect speaks to it.</w:t>
      </w:r>
    </w:p>
    <w:p>
      <w:pPr>
        <w:keepNext/>
        <w:spacing w:before="160" w:after="60" w:line="240" w:lineRule="exact"/>
        <w:jc w:val="left"/>
      </w:pPr>
      <w:r>
        <w:rPr>
          <w:rFonts w:ascii="Arial" w:hAnsi="Arial"/>
          <w:b/>
          <w:i/>
          <w:color w:val="000000"/>
          <w:sz w:val="18"/>
        </w:rPr>
        <w:t>C. MODELS</w:t>
      </w:r>
    </w:p>
    <w:p>
      <w:pPr>
        <w:spacing w:after="0" w:before="0" w:line="240" w:lineRule="exact"/>
        <w:ind w:firstLine="202"/>
        <w:jc w:val="both"/>
      </w:pPr>
      <w:r>
        <w:rPr>
          <w:rFonts w:ascii="Times New Roman" w:hAnsi="Times New Roman"/>
          <w:sz w:val="20"/>
        </w:rPr>
        <w:t>Four model families are evaluated (Fig. S2), deliberately spread across capacity scales so that "does capacity explain the reported accuracy?" is answerable.</w:t>
      </w:r>
    </w:p>
    <w:p>
      <w:pPr>
        <w:spacing w:after="0" w:before="0" w:line="240" w:lineRule="exact"/>
        <w:ind w:firstLine="202"/>
        <w:jc w:val="both"/>
      </w:pPr>
      <w:r>
        <w:rPr>
          <w:rFonts w:ascii="Times New Roman" w:hAnsi="Times New Roman"/>
          <w:b/>
          <w:sz w:val="20"/>
        </w:rPr>
        <w:t>M1 — Color histogram + logistic regression (97 learned parameters).</w:t>
      </w:r>
      <w:r>
        <w:rPr>
          <w:rFonts w:ascii="Times New Roman" w:hAnsi="Times New Roman"/>
          <w:sz w:val="20"/>
        </w:rPr>
        <w:t xml:space="preserve"> Each image is resized to 224×224 and a 32-bin-per-channel red-green-blue (RGB) intensity histogram computed, giving a 96-dimensional feature vector:</w:t>
      </w:r>
    </w:p>
    <w:p>
      <w:pPr>
        <w:tabs>
          <w:tab w:pos="4835" w:val="right"/>
        </w:tabs>
        <w:spacing w:before="80" w:after="80"/>
        <w:jc w:val="center"/>
      </w:pPr>
      <w:r>
        <w:rPr>
          <w:rFonts w:ascii="Times New Roman" w:hAnsi="Times New Roman"/>
          <w:i/>
          <w:sz w:val="20"/>
        </w:rPr>
        <w:t>φ(x) = [ h_R(x)  ‖  h_G(x)  ‖  h_B(x) ] ∈ ℝ⁹⁶,   h_(c,b)(x) = (1)/(HW)Σ_(i,j) 1[ x_(ij)^((c)) ∈ B_b ]</w:t>
      </w:r>
      <w:r>
        <w:rPr>
          <w:rFonts w:ascii="Times New Roman" w:hAnsi="Times New Roman"/>
          <w:sz w:val="20"/>
        </w:rPr>
        <w:tab/>
        <w:t>(2)</w:t>
      </w:r>
    </w:p>
    <w:p>
      <w:pPr>
        <w:spacing w:after="0" w:before="0" w:line="240" w:lineRule="exact"/>
        <w:ind w:firstLine="202"/>
        <w:jc w:val="both"/>
      </w:pPr>
      <w:r>
        <w:rPr>
          <w:rFonts w:ascii="Times New Roman" w:hAnsi="Times New Roman"/>
          <w:sz w:val="20"/>
        </w:rPr>
        <w:t xml:space="preserve">with the 32 bins </w:t>
      </w:r>
      <w:r>
        <w:rPr>
          <w:rFonts w:ascii="Times New Roman" w:hAnsi="Times New Roman"/>
          <w:i/>
          <w:sz w:val="20"/>
        </w:rPr>
        <w:t>B_b</w:t>
      </w:r>
      <w:r>
        <w:rPr>
          <w:rFonts w:ascii="Times New Roman" w:hAnsi="Times New Roman"/>
          <w:sz w:val="20"/>
        </w:rPr>
        <w:t xml:space="preserve"> uniformly partitioning [0, 256). A logistic regression is fitted on </w:t>
      </w:r>
      <w:r>
        <w:rPr>
          <w:rFonts w:ascii="Times New Roman" w:hAnsi="Times New Roman"/>
          <w:i/>
          <w:sz w:val="20"/>
        </w:rPr>
        <w:t>φ(x)</w:t>
      </w:r>
      <w:r>
        <w:rPr>
          <w:rFonts w:ascii="Times New Roman" w:hAnsi="Times New Roman"/>
          <w:sz w:val="20"/>
        </w:rPr>
        <w:t>:</w:t>
      </w:r>
    </w:p>
    <w:p>
      <w:pPr>
        <w:tabs>
          <w:tab w:pos="4835" w:val="right"/>
        </w:tabs>
        <w:spacing w:before="80" w:after="80"/>
        <w:jc w:val="center"/>
      </w:pPr>
      <w:r>
        <w:rPr>
          <w:rFonts w:ascii="Times New Roman" w:hAnsi="Times New Roman"/>
          <w:i/>
          <w:sz w:val="20"/>
        </w:rPr>
        <w:t>P(y = 1  |  x) = σ(w^ᵀ φ(x) + b),   σ(z) = (1)/(1 + e^(-z))</w:t>
      </w:r>
      <w:r>
        <w:rPr>
          <w:rFonts w:ascii="Times New Roman" w:hAnsi="Times New Roman"/>
          <w:sz w:val="20"/>
        </w:rPr>
        <w:tab/>
        <w:t>(3)</w:t>
      </w:r>
    </w:p>
    <w:p>
      <w:pPr>
        <w:spacing w:after="0" w:before="0" w:line="240" w:lineRule="exact"/>
        <w:ind w:firstLine="202"/>
        <w:jc w:val="both"/>
      </w:pPr>
      <w:r>
        <w:rPr>
          <w:rFonts w:ascii="Times New Roman" w:hAnsi="Times New Roman"/>
          <w:sz w:val="20"/>
        </w:rPr>
        <w:t xml:space="preserve">with </w:t>
      </w:r>
      <w:r>
        <w:rPr>
          <w:rFonts w:ascii="Consolas" w:hAnsi="Consolas"/>
          <w:sz w:val="18"/>
        </w:rPr>
        <w:t>class_weight="balanced"</w:t>
      </w:r>
      <w:r>
        <w:rPr>
          <w:rFonts w:ascii="Times New Roman" w:hAnsi="Times New Roman"/>
          <w:sz w:val="20"/>
        </w:rPr>
        <w:t xml:space="preserve"> and L2 regularization at scikit-learn's default strength. This model answers one question: how much of the reported accuracy is available to a classifier that cannot see spatial structure at all?</w:t>
      </w:r>
    </w:p>
    <w:p>
      <w:pPr>
        <w:spacing w:after="0" w:before="0" w:line="240" w:lineRule="exact"/>
        <w:ind w:firstLine="202"/>
        <w:jc w:val="both"/>
      </w:pPr>
      <w:r>
        <w:rPr>
          <w:rFonts w:ascii="Times New Roman" w:hAnsi="Times New Roman"/>
          <w:b/>
          <w:sz w:val="20"/>
        </w:rPr>
        <w:t>M2 — Small CNN with a global-average-pooling (GAP) head (23,938 trainable parameters).</w:t>
      </w:r>
      <w:r>
        <w:rPr>
          <w:rFonts w:ascii="Times New Roman" w:hAnsi="Times New Roman"/>
          <w:sz w:val="20"/>
        </w:rPr>
        <w:t xml:space="preserve"> Three convolutional blocks with a conventional channel progression (16 → 32 → 64; each block Conv3×3 → BatchNorm → ReLU → MaxPool2×2), with a GAP head rather than the flatten-then-dense head small-dataset CNN work commonly uses:</w:t>
      </w:r>
    </w:p>
    <w:p>
      <w:pPr>
        <w:tabs>
          <w:tab w:pos="4835" w:val="right"/>
        </w:tabs>
        <w:spacing w:before="80" w:after="80"/>
        <w:jc w:val="center"/>
      </w:pPr>
      <w:r>
        <w:rPr>
          <w:rFonts w:ascii="Times New Roman" w:hAnsi="Times New Roman"/>
          <w:i/>
          <w:sz w:val="20"/>
        </w:rPr>
        <w:t>gₖ = (1)/(H'W')Σ_(i=1)^(H')Σ_(j=1)^(W') a_(ijk),   ŷ = softmax(W_(f) drop_(0.5)(g) + b_(f))</w:t>
      </w:r>
      <w:r>
        <w:rPr>
          <w:rFonts w:ascii="Times New Roman" w:hAnsi="Times New Roman"/>
          <w:sz w:val="20"/>
        </w:rPr>
        <w:tab/>
        <w:t>(4)</w:t>
      </w:r>
    </w:p>
    <w:p>
      <w:pPr>
        <w:spacing w:after="0" w:before="0" w:line="240" w:lineRule="exact"/>
        <w:ind w:firstLine="202"/>
        <w:jc w:val="both"/>
      </w:pPr>
      <w:r>
        <w:rPr>
          <w:rFonts w:ascii="Times New Roman" w:hAnsi="Times New Roman"/>
          <w:sz w:val="20"/>
        </w:rPr>
        <w:t>The head is the point of this model: flattening the trunk's 28 × 28 × 64 output into a 128-unit dense layer would cost roughly 6.4 M parameters on 357 training images, where GAP costs 130 and preserves the trunk exactly (Section S-I-Q).</w:t>
      </w:r>
    </w:p>
    <w:p>
      <w:pPr>
        <w:spacing w:after="0" w:before="0" w:line="240" w:lineRule="exact"/>
        <w:ind w:firstLine="202"/>
        <w:jc w:val="both"/>
      </w:pPr>
      <w:r>
        <w:rPr>
          <w:rFonts w:ascii="Times New Roman" w:hAnsi="Times New Roman"/>
          <w:b/>
          <w:sz w:val="20"/>
        </w:rPr>
        <w:t>M3 — MobileNetV3-Small, frozen (1,154 trainable / 927,008 frozen).</w:t>
      </w:r>
      <w:r>
        <w:rPr>
          <w:rFonts w:ascii="Times New Roman" w:hAnsi="Times New Roman"/>
          <w:sz w:val="20"/>
        </w:rPr>
        <w:t xml:space="preserve"> The ImageNet-pretrained feature extractor [13] is frozen; a </w:t>
      </w:r>
      <w:r>
        <w:rPr>
          <w:rFonts w:ascii="Consolas" w:hAnsi="Consolas"/>
          <w:sz w:val="18"/>
        </w:rPr>
        <w:t>Dropout(0.3) → Linear(576, 2)</w:t>
      </w:r>
      <w:r>
        <w:rPr>
          <w:rFonts w:ascii="Times New Roman" w:hAnsi="Times New Roman"/>
          <w:sz w:val="20"/>
        </w:rPr>
        <w:t xml:space="preserve"> head is trained on its globally pooled 576-dimensional output. </w:t>
      </w:r>
      <w:r>
        <w:rPr>
          <w:rFonts w:ascii="Times New Roman" w:hAnsi="Times New Roman"/>
          <w:b/>
          <w:sz w:val="20"/>
        </w:rPr>
        <w:t>M4 — EfficientNet-B0, frozen (2,562 trainable / 4,007,548 frozen).</w:t>
      </w:r>
      <w:r>
        <w:rPr>
          <w:rFonts w:ascii="Times New Roman" w:hAnsi="Times New Roman"/>
          <w:sz w:val="20"/>
        </w:rPr>
        <w:t xml:space="preserve"> As M3, with the EfficientNet-B0 extractor [14] and a </w:t>
      </w:r>
      <w:r>
        <w:rPr>
          <w:rFonts w:ascii="Consolas" w:hAnsi="Consolas"/>
          <w:sz w:val="18"/>
        </w:rPr>
        <w:t>Dropout(0.3) → Linear(1280, 2)</w:t>
      </w:r>
      <w:r>
        <w:rPr>
          <w:rFonts w:ascii="Times New Roman" w:hAnsi="Times New Roman"/>
          <w:sz w:val="20"/>
        </w:rPr>
        <w:t xml:space="preserve"> head.</w:t>
      </w:r>
    </w:p>
    <w:p>
      <w:pPr>
        <w:spacing w:after="0" w:before="0" w:line="240" w:lineRule="exact"/>
        <w:ind w:firstLine="202"/>
        <w:jc w:val="both"/>
      </w:pPr>
      <w:r>
        <w:rPr>
          <w:rFonts w:ascii="Times New Roman" w:hAnsi="Times New Roman"/>
          <w:sz w:val="20"/>
        </w:rPr>
        <w:t xml:space="preserve">Both transfer models are therefore </w:t>
      </w:r>
      <w:r>
        <w:rPr>
          <w:rFonts w:ascii="Times New Roman" w:hAnsi="Times New Roman"/>
          <w:b/>
          <w:sz w:val="20"/>
        </w:rPr>
        <w:t>linear probes on a fixed representation</w:t>
      </w:r>
      <w:r>
        <w:rPr>
          <w:rFonts w:ascii="Times New Roman" w:hAnsi="Times New Roman"/>
          <w:sz w:val="20"/>
        </w:rPr>
        <w:t xml:space="preserve">, which is what this study's question calls for: the question is what a change in the </w:t>
      </w:r>
      <w:r>
        <w:rPr>
          <w:rFonts w:ascii="Times New Roman" w:hAnsi="Times New Roman"/>
          <w:i/>
          <w:sz w:val="20"/>
        </w:rPr>
        <w:t>input distribution</w:t>
      </w:r>
      <w:r>
        <w:rPr>
          <w:rFonts w:ascii="Times New Roman" w:hAnsi="Times New Roman"/>
          <w:sz w:val="20"/>
        </w:rPr>
        <w:t xml:space="preserve"> does, and a probe holds the representation constant while the input changes, so any movement is attributable to the input alone. A fine-tuned network confounds the two, because the representation drifts in response to the same shift whose effect is being measured; freezing is what makes the comparison between the internal test and the external conditions an intervention on the input rather than on the model. It also measures the shortcut as it is available to a practitioner using an off-the-shelf backbone, keeps M3 and M4 balanced at one trained linear layer each, and holds the compute budget within CPU-only hardware.</w:t>
      </w:r>
    </w:p>
    <w:p>
      <w:pPr>
        <w:spacing w:after="0" w:before="0" w:line="240" w:lineRule="exact"/>
        <w:ind w:firstLine="202"/>
        <w:jc w:val="both"/>
      </w:pPr>
      <w:r>
        <w:rPr>
          <w:rFonts w:ascii="Times New Roman" w:hAnsi="Times New Roman"/>
          <w:sz w:val="20"/>
        </w:rPr>
        <w:t xml:space="preserve">A probe cannot say what end-to-end fine-tuning would learn. Adaptable features might discover packaging texture that a frozen ImageNet trunk does not encode, or might specialize onto residual acquisition artifacts more aggressively; because the acquisition signal in this pool is separable at zero training loss (Section IV-A), a cross-entropy objective has no gradient pressure to look past it, so capacity alone is no reason to expect the first. </w:t>
      </w:r>
      <w:r>
        <w:rPr>
          <w:rFonts w:ascii="Times New Roman" w:hAnsi="Times New Roman"/>
          <w:b/>
          <w:sz w:val="20"/>
        </w:rPr>
        <w:t>The frozen-backbone results bound neither outcome</w:t>
      </w:r>
      <w:r>
        <w:rPr>
          <w:rFonts w:ascii="Times New Roman" w:hAnsi="Times New Roman"/>
          <w:sz w:val="20"/>
        </w:rPr>
        <w:t xml:space="preserve"> (Section V-D).</w:t>
      </w:r>
    </w:p>
    <w:p>
      <w:pPr>
        <w:spacing w:after="0" w:before="0" w:line="240" w:lineRule="exact"/>
        <w:ind w:firstLine="202"/>
        <w:jc w:val="both"/>
      </w:pPr>
      <w:r>
        <w:rPr>
          <w:rFonts w:ascii="Times New Roman" w:hAnsi="Times New Roman"/>
          <w:sz w:val="20"/>
        </w:rPr>
        <w:t xml:space="preserve">Training-partition augmentation for M2–M4 is rotation ±12°, brightness and contrast jitter (±0.25), mild </w:t>
      </w:r>
      <w:r>
        <w:rPr>
          <w:rFonts w:ascii="Consolas" w:hAnsi="Consolas"/>
          <w:sz w:val="18"/>
        </w:rPr>
        <w:t>RandomResizedCrop</w:t>
      </w:r>
      <w:r>
        <w:rPr>
          <w:rFonts w:ascii="Times New Roman" w:hAnsi="Times New Roman"/>
          <w:sz w:val="20"/>
        </w:rPr>
        <w:t xml:space="preserve"> (scale 0.85–1.0), and slight Gaussian blur (kernel 3, σ ∈ [0.1, 0.8]). </w:t>
      </w:r>
      <w:r>
        <w:rPr>
          <w:rFonts w:ascii="Times New Roman" w:hAnsi="Times New Roman"/>
          <w:b/>
          <w:sz w:val="20"/>
        </w:rPr>
        <w:t>No horizontal or vertical flip</w:t>
      </w:r>
      <w:r>
        <w:rPr>
          <w:rFonts w:ascii="Times New Roman" w:hAnsi="Times New Roman"/>
          <w:sz w:val="20"/>
        </w:rPr>
        <w:t xml:space="preserve"> is used, because mirroring produces printed packaging text that cannot occur in deployment. M1 is excluded from augmentation by design: rotation and cropping are near-invariances of a color histogram, while brightness and contrast jitter would perturb the only feature this model observes, acting as label noise rather than as the spatial-filter regularizer they are for a CNN.</w:t>
      </w:r>
    </w:p>
    <w:p>
      <w:pPr>
        <w:spacing w:after="0" w:before="0" w:line="240" w:lineRule="exact"/>
        <w:ind w:firstLine="202"/>
        <w:jc w:val="both"/>
      </w:pPr>
      <w:r>
        <w:rPr>
          <w:rFonts w:ascii="Times New Roman" w:hAnsi="Times New Roman"/>
          <w:sz w:val="20"/>
        </w:rPr>
        <w:t xml:space="preserve">Table S2 gives every training setting in one place, and nothing in it varies by split, condition or experiment: Adam at 1 × 10⁻³ for M2–M4, selected from {1 × 10⁻³, 3 × 10⁻⁴, 1 × 10⁻⁴} on Split A train/val alone; batch 32; class-weighted cross-entropy; a 50-epoch cap with early stopping on validation loss at patience 4 and minimum improvement 1 × 10⁻³; best-validation-loss state persisted as a checkpoint; a 0.5 decision threshold; and seed 42 fixed before every run, fold and augmented extraction pass, with sensitivity at 42–46 (Table 6). M1 is fitted by </w:t>
      </w:r>
      <w:r>
        <w:rPr>
          <w:rFonts w:ascii="Consolas" w:hAnsi="Consolas"/>
          <w:sz w:val="18"/>
        </w:rPr>
        <w:t>LogisticRegression(max_iter=2000, class_weight="balanced")</w:t>
      </w:r>
      <w:r>
        <w:rPr>
          <w:rFonts w:ascii="Times New Roman" w:hAnsi="Times New Roman"/>
          <w:sz w:val="20"/>
        </w:rPr>
        <w:t xml:space="preserve"> with neither augmentation nor the normalization operator. All runs are CPU-only.</w:t>
      </w:r>
    </w:p>
    <w:p>
      <w:pPr>
        <w:keepNext/>
        <w:spacing w:before="160" w:after="60" w:line="240" w:lineRule="exact"/>
        <w:jc w:val="left"/>
      </w:pPr>
      <w:r>
        <w:rPr>
          <w:rFonts w:ascii="Arial" w:hAnsi="Arial"/>
          <w:b/>
          <w:i/>
          <w:color w:val="000000"/>
          <w:sz w:val="18"/>
        </w:rPr>
        <w:t>D. EXTERNAL EVALUATION</w:t>
      </w:r>
    </w:p>
    <w:p>
      <w:pPr>
        <w:spacing w:after="0" w:before="0" w:line="240" w:lineRule="exact"/>
        <w:ind w:firstLine="202"/>
        <w:jc w:val="both"/>
      </w:pPr>
      <w:r>
        <w:rPr>
          <w:rFonts w:ascii="Times New Roman" w:hAnsi="Times New Roman"/>
          <w:sz w:val="20"/>
        </w:rPr>
        <w:t xml:space="preserve">Throughout, authentic = 0 and </w:t>
      </w:r>
      <w:r>
        <w:rPr>
          <w:rFonts w:ascii="Times New Roman" w:hAnsi="Times New Roman"/>
          <w:b/>
          <w:sz w:val="20"/>
        </w:rPr>
        <w:t>counterfeit is the positive class</w:t>
      </w:r>
      <w:r>
        <w:rPr>
          <w:rFonts w:ascii="Times New Roman" w:hAnsi="Times New Roman"/>
          <w:sz w:val="20"/>
        </w:rPr>
        <w:t xml:space="preserve">, so precision, recall, F1 score and the areas under the receiver operating characteristic and precision–recall curves are reported with respect to counterfeit detection — the deployment framing, in which the costly error is calling a falsified product genuine. Because a reader in a clinical setting may take "positive" to mean </w:t>
      </w:r>
      <w:r>
        <w:rPr>
          <w:rFonts w:ascii="Times New Roman" w:hAnsi="Times New Roman"/>
          <w:i/>
          <w:sz w:val="20"/>
        </w:rPr>
        <w:t>genuine</w:t>
      </w:r>
      <w:r>
        <w:rPr>
          <w:rFonts w:ascii="Times New Roman" w:hAnsi="Times New Roman"/>
          <w:sz w:val="20"/>
        </w:rPr>
        <w:t>, the convention is set out in full here and every later use follows it.</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5032"/>
        <w:gridCol w:w="5032"/>
      </w:tblGrid>
      <w:tr>
        <w:tc>
          <w:tcPr>
            <w:tcW w:type="dxa" w:w="5032"/>
            <w:shd w:val="clear" w:color="auto" w:fill="DCE6EF"/>
          </w:tcPr>
          <w:p>
            <w:pPr>
              <w:spacing w:after="20" w:before="20"/>
              <w:jc w:val="left"/>
            </w:pPr>
            <w:r>
              <w:rPr>
                <w:b/>
              </w:rPr>
            </w:r>
            <w:r>
              <w:rPr>
                <w:rFonts w:ascii="Arial" w:hAnsi="Arial"/>
                <w:b/>
                <w:sz w:val="14"/>
              </w:rPr>
              <w:t>Term</w:t>
            </w:r>
          </w:p>
        </w:tc>
        <w:tc>
          <w:tcPr>
            <w:tcW w:type="dxa" w:w="5032"/>
            <w:shd w:val="clear" w:color="auto" w:fill="DCE6EF"/>
          </w:tcPr>
          <w:p>
            <w:pPr>
              <w:spacing w:after="20" w:before="20"/>
              <w:jc w:val="center"/>
            </w:pPr>
            <w:r>
              <w:rPr>
                <w:b/>
              </w:rPr>
            </w:r>
            <w:r>
              <w:rPr>
                <w:rFonts w:ascii="Arial" w:hAnsi="Arial"/>
                <w:b/>
                <w:sz w:val="14"/>
              </w:rPr>
              <w:t>Meaning in this paper</w:t>
            </w:r>
          </w:p>
        </w:tc>
      </w:tr>
      <w:tr>
        <w:tc>
          <w:tcPr>
            <w:tcW w:type="dxa" w:w="5032"/>
          </w:tcPr>
          <w:p>
            <w:pPr>
              <w:spacing w:after="20" w:before="20"/>
              <w:jc w:val="left"/>
            </w:pPr>
            <w:r/>
            <w:r>
              <w:rPr>
                <w:rFonts w:ascii="Arial" w:hAnsi="Arial"/>
                <w:i/>
                <w:sz w:val="14"/>
              </w:rPr>
              <w:t>y = 0</w:t>
            </w:r>
          </w:p>
        </w:tc>
        <w:tc>
          <w:tcPr>
            <w:tcW w:type="dxa" w:w="5032"/>
          </w:tcPr>
          <w:p>
            <w:pPr>
              <w:spacing w:after="20" w:before="20"/>
              <w:jc w:val="center"/>
            </w:pPr>
            <w:r/>
            <w:r>
              <w:rPr>
                <w:rFonts w:ascii="Arial" w:hAnsi="Arial"/>
                <w:sz w:val="14"/>
              </w:rPr>
              <w:t>Authentic (negative class)</w:t>
            </w:r>
          </w:p>
        </w:tc>
      </w:tr>
      <w:tr>
        <w:tc>
          <w:tcPr>
            <w:tcW w:type="dxa" w:w="5032"/>
          </w:tcPr>
          <w:p>
            <w:pPr>
              <w:spacing w:after="20" w:before="20"/>
              <w:jc w:val="left"/>
            </w:pPr>
            <w:r/>
            <w:r>
              <w:rPr>
                <w:rFonts w:ascii="Arial" w:hAnsi="Arial"/>
                <w:i/>
                <w:sz w:val="14"/>
              </w:rPr>
              <w:t>y = 1</w:t>
            </w:r>
          </w:p>
        </w:tc>
        <w:tc>
          <w:tcPr>
            <w:tcW w:type="dxa" w:w="5032"/>
          </w:tcPr>
          <w:p>
            <w:pPr>
              <w:spacing w:after="20" w:before="20"/>
              <w:jc w:val="center"/>
            </w:pPr>
            <w:r/>
            <w:r>
              <w:rPr>
                <w:rFonts w:ascii="Arial" w:hAnsi="Arial"/>
                <w:sz w:val="14"/>
              </w:rPr>
              <w:t>Counterfeit (positive class)</w:t>
            </w:r>
          </w:p>
        </w:tc>
      </w:tr>
      <w:tr>
        <w:tc>
          <w:tcPr>
            <w:tcW w:type="dxa" w:w="5032"/>
          </w:tcPr>
          <w:p>
            <w:pPr>
              <w:spacing w:after="20" w:before="20"/>
              <w:jc w:val="left"/>
            </w:pPr>
            <w:r/>
            <w:r>
              <w:rPr>
                <w:rFonts w:ascii="Arial" w:hAnsi="Arial"/>
                <w:sz w:val="14"/>
              </w:rPr>
              <w:t>Sensitivity, recall</w:t>
            </w:r>
          </w:p>
        </w:tc>
        <w:tc>
          <w:tcPr>
            <w:tcW w:type="dxa" w:w="5032"/>
          </w:tcPr>
          <w:p>
            <w:pPr>
              <w:spacing w:after="20" w:before="20"/>
              <w:jc w:val="center"/>
            </w:pPr>
            <w:r/>
            <w:r>
              <w:rPr>
                <w:rFonts w:ascii="Arial" w:hAnsi="Arial"/>
                <w:sz w:val="14"/>
              </w:rPr>
              <w:t>Counterfeit correctly classified as counterfeit</w:t>
            </w:r>
          </w:p>
        </w:tc>
      </w:tr>
      <w:tr>
        <w:tc>
          <w:tcPr>
            <w:tcW w:type="dxa" w:w="5032"/>
          </w:tcPr>
          <w:p>
            <w:pPr>
              <w:spacing w:after="20" w:before="20"/>
              <w:jc w:val="left"/>
            </w:pPr>
            <w:r/>
            <w:r>
              <w:rPr>
                <w:rFonts w:ascii="Arial" w:hAnsi="Arial"/>
                <w:b/>
                <w:sz w:val="14"/>
              </w:rPr>
              <w:t>Specificity</w:t>
            </w:r>
          </w:p>
        </w:tc>
        <w:tc>
          <w:tcPr>
            <w:tcW w:type="dxa" w:w="5032"/>
          </w:tcPr>
          <w:p>
            <w:pPr>
              <w:spacing w:after="20" w:before="20"/>
              <w:jc w:val="center"/>
            </w:pPr>
            <w:r/>
            <w:r>
              <w:rPr>
                <w:rFonts w:ascii="Arial" w:hAnsi="Arial"/>
                <w:sz w:val="14"/>
              </w:rPr>
              <w:t>Authentic correctly classified as authentic</w:t>
            </w:r>
          </w:p>
        </w:tc>
      </w:tr>
      <w:tr>
        <w:tc>
          <w:tcPr>
            <w:tcW w:type="dxa" w:w="5032"/>
          </w:tcPr>
          <w:p>
            <w:pPr>
              <w:spacing w:after="20" w:before="20"/>
              <w:jc w:val="left"/>
            </w:pPr>
            <w:r/>
            <w:r>
              <w:rPr>
                <w:rFonts w:ascii="Arial" w:hAnsi="Arial"/>
                <w:sz w:val="14"/>
              </w:rPr>
              <w:t>Accuracy</w:t>
            </w:r>
          </w:p>
        </w:tc>
        <w:tc>
          <w:tcPr>
            <w:tcW w:type="dxa" w:w="5032"/>
          </w:tcPr>
          <w:p>
            <w:pPr>
              <w:spacing w:after="20" w:before="20"/>
              <w:jc w:val="center"/>
            </w:pPr>
            <w:r/>
            <w:r>
              <w:rPr>
                <w:rFonts w:ascii="Arial" w:hAnsi="Arial"/>
                <w:sz w:val="14"/>
              </w:rPr>
              <w:t xml:space="preserve">Fraction correct over a </w:t>
            </w:r>
            <w:r>
              <w:rPr>
                <w:rFonts w:ascii="Arial" w:hAnsi="Arial"/>
                <w:b/>
                <w:sz w:val="14"/>
              </w:rPr>
              <w:t>mixed-class</w:t>
            </w:r>
            <w:r>
              <w:rPr>
                <w:rFonts w:ascii="Arial" w:hAnsi="Arial"/>
                <w:sz w:val="14"/>
              </w:rPr>
              <w:t xml:space="preserve"> set: the internal grouped test, and the balanced external test</w:t>
            </w:r>
          </w:p>
        </w:tc>
      </w:tr>
      <w:tr>
        <w:tc>
          <w:tcPr>
            <w:tcW w:type="dxa" w:w="5032"/>
          </w:tcPr>
          <w:p>
            <w:pPr>
              <w:spacing w:after="20" w:before="20"/>
              <w:jc w:val="left"/>
            </w:pPr>
            <w:r/>
            <w:r>
              <w:rPr>
                <w:rFonts w:ascii="Arial" w:hAnsi="Arial"/>
                <w:sz w:val="14"/>
              </w:rPr>
              <w:t>External specificity</w:t>
            </w:r>
          </w:p>
        </w:tc>
        <w:tc>
          <w:tcPr>
            <w:tcW w:type="dxa" w:w="5032"/>
          </w:tcPr>
          <w:p>
            <w:pPr>
              <w:spacing w:after="20" w:before="20"/>
              <w:jc w:val="center"/>
            </w:pPr>
            <w:r/>
            <w:r>
              <w:rPr>
                <w:rFonts w:ascii="Arial" w:hAnsi="Arial"/>
                <w:sz w:val="14"/>
              </w:rPr>
              <w:t xml:space="preserve">Specificity on an </w:t>
            </w:r>
            <w:r>
              <w:rPr>
                <w:rFonts w:ascii="Arial" w:hAnsi="Arial"/>
                <w:b/>
                <w:sz w:val="14"/>
              </w:rPr>
              <w:t>authentic-only</w:t>
            </w:r>
            <w:r>
              <w:rPr>
                <w:rFonts w:ascii="Arial" w:hAnsi="Arial"/>
                <w:sz w:val="14"/>
              </w:rPr>
              <w:t xml:space="preserve"> set; the only quantity such a set can measure</w:t>
            </w:r>
          </w:p>
        </w:tc>
      </w:tr>
      <w:tr>
        <w:tc>
          <w:tcPr>
            <w:tcW w:type="dxa" w:w="5032"/>
          </w:tcPr>
          <w:p>
            <w:pPr>
              <w:spacing w:after="20" w:before="20"/>
              <w:jc w:val="left"/>
            </w:pPr>
            <w:r/>
            <w:r>
              <w:rPr>
                <w:rFonts w:ascii="Arial" w:hAnsi="Arial"/>
                <w:sz w:val="14"/>
              </w:rPr>
              <w:t>External counterfeit recall</w:t>
            </w:r>
          </w:p>
        </w:tc>
        <w:tc>
          <w:tcPr>
            <w:tcW w:type="dxa" w:w="5032"/>
          </w:tcPr>
          <w:p>
            <w:pPr>
              <w:spacing w:after="20" w:before="20"/>
              <w:jc w:val="center"/>
            </w:pPr>
            <w:r/>
            <w:r>
              <w:rPr>
                <w:rFonts w:ascii="Arial" w:hAnsi="Arial"/>
                <w:sz w:val="14"/>
              </w:rPr>
              <w:t xml:space="preserve">Recall on a </w:t>
            </w:r>
            <w:r>
              <w:rPr>
                <w:rFonts w:ascii="Arial" w:hAnsi="Arial"/>
                <w:b/>
                <w:sz w:val="14"/>
              </w:rPr>
              <w:t>counterfeit-only</w:t>
            </w:r>
            <w:r>
              <w:rPr>
                <w:rFonts w:ascii="Arial" w:hAnsi="Arial"/>
                <w:sz w:val="14"/>
              </w:rPr>
              <w:t xml:space="preserve"> source; the only quantity such a source can measure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Three evaluations, named for what they measure.</w:t>
      </w:r>
      <w:r>
        <w:rPr>
          <w:rFonts w:ascii="Times New Roman" w:hAnsi="Times New Roman"/>
          <w:sz w:val="20"/>
        </w:rPr>
        <w:t xml:space="preserve"> The study runs one internal and two external evaluations, and this paper names them by what they are rather than by a letter: the </w:t>
      </w:r>
      <w:r>
        <w:rPr>
          <w:rFonts w:ascii="Times New Roman" w:hAnsi="Times New Roman"/>
          <w:b/>
          <w:sz w:val="20"/>
        </w:rPr>
        <w:t>internal grouped test</w:t>
      </w:r>
      <w:r>
        <w:rPr>
          <w:rFonts w:ascii="Times New Roman" w:hAnsi="Times New Roman"/>
          <w:sz w:val="20"/>
        </w:rPr>
        <w:t xml:space="preserve"> (Split B's held-out partition, Section III-B), the </w:t>
      </w:r>
      <w:r>
        <w:rPr>
          <w:rFonts w:ascii="Times New Roman" w:hAnsi="Times New Roman"/>
          <w:b/>
          <w:sz w:val="20"/>
        </w:rPr>
        <w:t>balanced external test</w:t>
      </w:r>
      <w:r>
        <w:rPr>
          <w:rFonts w:ascii="Times New Roman" w:hAnsi="Times New Roman"/>
          <w:sz w:val="20"/>
        </w:rPr>
        <w:t xml:space="preserve">, and the </w:t>
      </w:r>
      <w:r>
        <w:rPr>
          <w:rFonts w:ascii="Times New Roman" w:hAnsi="Times New Roman"/>
          <w:b/>
          <w:sz w:val="20"/>
        </w:rPr>
        <w:t>external acquisition-shift test</w:t>
      </w:r>
      <w:r>
        <w:rPr>
          <w:rFonts w:ascii="Times New Roman" w:hAnsi="Times New Roman"/>
          <w:sz w:val="20"/>
        </w:rPr>
        <w:t>. The technical split labels are kept in this section, in the reproduction appendix and in the supplement, where a reader rebuilding the pipeline needs them. The three evaluations differ in what they hold, what they vary and how their labels are established, and those differences govern what each can show:</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2516"/>
        <w:gridCol w:w="2516"/>
        <w:gridCol w:w="2516"/>
        <w:gridCol w:w="2516"/>
      </w:tblGrid>
      <w:tr>
        <w:tc>
          <w:tcPr>
            <w:tcW w:type="dxa" w:w="2516"/>
            <w:shd w:val="clear" w:color="auto" w:fill="DCE6EF"/>
          </w:tcPr>
          <w:p>
            <w:pPr>
              <w:spacing w:after="20" w:before="20"/>
              <w:jc w:val="left"/>
            </w:pPr>
            <w:r>
              <w:rPr>
                <w:b/>
              </w:rPr>
            </w:r>
          </w:p>
        </w:tc>
        <w:tc>
          <w:tcPr>
            <w:tcW w:type="dxa" w:w="2516"/>
            <w:shd w:val="clear" w:color="auto" w:fill="DCE6EF"/>
          </w:tcPr>
          <w:p>
            <w:pPr>
              <w:spacing w:after="20" w:before="20"/>
              <w:jc w:val="center"/>
            </w:pPr>
            <w:r>
              <w:rPr>
                <w:b/>
              </w:rPr>
            </w:r>
            <w:r>
              <w:rPr>
                <w:rFonts w:ascii="Arial" w:hAnsi="Arial"/>
                <w:b/>
                <w:sz w:val="14"/>
              </w:rPr>
              <w:t>Internal grouped test</w:t>
            </w:r>
          </w:p>
        </w:tc>
        <w:tc>
          <w:tcPr>
            <w:tcW w:type="dxa" w:w="2516"/>
            <w:shd w:val="clear" w:color="auto" w:fill="DCE6EF"/>
          </w:tcPr>
          <w:p>
            <w:pPr>
              <w:spacing w:after="20" w:before="20"/>
              <w:jc w:val="center"/>
            </w:pPr>
            <w:r>
              <w:rPr>
                <w:b/>
              </w:rPr>
            </w:r>
            <w:r>
              <w:rPr>
                <w:rFonts w:ascii="Arial" w:hAnsi="Arial"/>
                <w:b/>
                <w:sz w:val="14"/>
              </w:rPr>
              <w:t>Balanced external test</w:t>
            </w:r>
          </w:p>
        </w:tc>
        <w:tc>
          <w:tcPr>
            <w:tcW w:type="dxa" w:w="2516"/>
            <w:shd w:val="clear" w:color="auto" w:fill="DCE6EF"/>
          </w:tcPr>
          <w:p>
            <w:pPr>
              <w:spacing w:after="20" w:before="20"/>
              <w:jc w:val="center"/>
            </w:pPr>
            <w:r>
              <w:rPr>
                <w:b/>
              </w:rPr>
            </w:r>
            <w:r>
              <w:rPr>
                <w:rFonts w:ascii="Arial" w:hAnsi="Arial"/>
                <w:b/>
                <w:sz w:val="14"/>
              </w:rPr>
              <w:t>Acquisition-shift test</w:t>
            </w:r>
          </w:p>
        </w:tc>
      </w:tr>
      <w:tr>
        <w:tc>
          <w:tcPr>
            <w:tcW w:type="dxa" w:w="2516"/>
          </w:tcPr>
          <w:p>
            <w:pPr>
              <w:spacing w:after="20" w:before="20"/>
              <w:jc w:val="left"/>
            </w:pPr>
            <w:r/>
            <w:r>
              <w:rPr>
                <w:rFonts w:ascii="Arial" w:hAnsi="Arial"/>
                <w:sz w:val="14"/>
              </w:rPr>
              <w:t>Classes held</w:t>
            </w:r>
          </w:p>
        </w:tc>
        <w:tc>
          <w:tcPr>
            <w:tcW w:type="dxa" w:w="2516"/>
          </w:tcPr>
          <w:p>
            <w:pPr>
              <w:spacing w:after="20" w:before="20"/>
              <w:jc w:val="center"/>
            </w:pPr>
            <w:r/>
            <w:r>
              <w:rPr>
                <w:rFonts w:ascii="Arial" w:hAnsi="Arial"/>
                <w:sz w:val="14"/>
              </w:rPr>
              <w:t>both (35 counterfeit, 39 authentic)</w:t>
            </w:r>
          </w:p>
        </w:tc>
        <w:tc>
          <w:tcPr>
            <w:tcW w:type="dxa" w:w="2516"/>
          </w:tcPr>
          <w:p>
            <w:pPr>
              <w:spacing w:after="20" w:before="20"/>
              <w:jc w:val="center"/>
            </w:pPr>
            <w:r/>
            <w:r>
              <w:rPr>
                <w:rFonts w:ascii="Arial" w:hAnsi="Arial"/>
                <w:sz w:val="14"/>
              </w:rPr>
              <w:t>both (46 and 46)</w:t>
            </w:r>
          </w:p>
        </w:tc>
        <w:tc>
          <w:tcPr>
            <w:tcW w:type="dxa" w:w="2516"/>
          </w:tcPr>
          <w:p>
            <w:pPr>
              <w:spacing w:after="20" w:before="20"/>
              <w:jc w:val="center"/>
            </w:pPr>
            <w:r/>
            <w:r>
              <w:rPr>
                <w:rFonts w:ascii="Arial" w:hAnsi="Arial"/>
                <w:sz w:val="14"/>
              </w:rPr>
              <w:t>authentic only (150; 149)</w:t>
            </w:r>
          </w:p>
        </w:tc>
      </w:tr>
      <w:tr>
        <w:tc>
          <w:tcPr>
            <w:tcW w:type="dxa" w:w="2516"/>
          </w:tcPr>
          <w:p>
            <w:pPr>
              <w:spacing w:after="20" w:before="20"/>
              <w:jc w:val="left"/>
            </w:pPr>
            <w:r/>
            <w:r>
              <w:rPr>
                <w:rFonts w:ascii="Arial" w:hAnsi="Arial"/>
                <w:sz w:val="14"/>
              </w:rPr>
              <w:t>What shifts from training</w:t>
            </w:r>
          </w:p>
        </w:tc>
        <w:tc>
          <w:tcPr>
            <w:tcW w:type="dxa" w:w="2516"/>
          </w:tcPr>
          <w:p>
            <w:pPr>
              <w:spacing w:after="20" w:before="20"/>
              <w:jc w:val="center"/>
            </w:pPr>
            <w:r/>
            <w:r>
              <w:rPr>
                <w:rFonts w:ascii="Arial" w:hAnsi="Arial"/>
                <w:sz w:val="14"/>
              </w:rPr>
              <w:t>nothing</w:t>
            </w:r>
          </w:p>
        </w:tc>
        <w:tc>
          <w:tcPr>
            <w:tcW w:type="dxa" w:w="2516"/>
          </w:tcPr>
          <w:p>
            <w:pPr>
              <w:spacing w:after="20" w:before="20"/>
              <w:jc w:val="center"/>
            </w:pPr>
            <w:r/>
            <w:r>
              <w:rPr>
                <w:rFonts w:ascii="Arial" w:hAnsi="Arial"/>
                <w:sz w:val="14"/>
              </w:rPr>
              <w:t>source: two archives unrelated to the pool</w:t>
            </w:r>
          </w:p>
        </w:tc>
        <w:tc>
          <w:tcPr>
            <w:tcW w:type="dxa" w:w="2516"/>
          </w:tcPr>
          <w:p>
            <w:pPr>
              <w:spacing w:after="20" w:before="20"/>
              <w:jc w:val="center"/>
            </w:pPr>
            <w:r/>
            <w:r>
              <w:rPr>
                <w:rFonts w:ascii="Arial" w:hAnsi="Arial"/>
                <w:sz w:val="14"/>
              </w:rPr>
              <w:t>capture: device, lighting, backdrop, country</w:t>
            </w:r>
          </w:p>
        </w:tc>
      </w:tr>
      <w:tr>
        <w:tc>
          <w:tcPr>
            <w:tcW w:type="dxa" w:w="2516"/>
          </w:tcPr>
          <w:p>
            <w:pPr>
              <w:spacing w:after="20" w:before="20"/>
              <w:jc w:val="left"/>
            </w:pPr>
            <w:r/>
            <w:r>
              <w:rPr>
                <w:rFonts w:ascii="Arial" w:hAnsi="Arial"/>
                <w:sz w:val="14"/>
              </w:rPr>
              <w:t>What is standardized</w:t>
            </w:r>
          </w:p>
        </w:tc>
        <w:tc>
          <w:tcPr>
            <w:tcW w:type="dxa" w:w="2516"/>
          </w:tcPr>
          <w:p>
            <w:pPr>
              <w:spacing w:after="20" w:before="20"/>
              <w:jc w:val="center"/>
            </w:pPr>
            <w:r/>
            <w:r>
              <w:rPr>
                <w:rFonts w:ascii="Arial" w:hAnsi="Arial"/>
                <w:sz w:val="14"/>
              </w:rPr>
              <w:t>—</w:t>
            </w:r>
          </w:p>
        </w:tc>
        <w:tc>
          <w:tcPr>
            <w:tcW w:type="dxa" w:w="2516"/>
          </w:tcPr>
          <w:p>
            <w:pPr>
              <w:spacing w:after="20" w:before="20"/>
              <w:jc w:val="center"/>
            </w:pPr>
            <w:r/>
            <w:r>
              <w:rPr>
                <w:rFonts w:ascii="Arial" w:hAnsi="Arial"/>
                <w:sz w:val="14"/>
              </w:rPr>
              <w:t>file-level acquisition (format, encoder, resolution), by construction</w:t>
            </w:r>
          </w:p>
        </w:tc>
        <w:tc>
          <w:tcPr>
            <w:tcW w:type="dxa" w:w="2516"/>
          </w:tcPr>
          <w:p>
            <w:pPr>
              <w:spacing w:after="20" w:before="20"/>
              <w:jc w:val="center"/>
            </w:pPr>
            <w:r/>
            <w:r>
              <w:rPr>
                <w:rFonts w:ascii="Arial" w:hAnsi="Arial"/>
                <w:sz w:val="14"/>
              </w:rPr>
              <w:t>—</w:t>
            </w:r>
          </w:p>
        </w:tc>
      </w:tr>
      <w:tr>
        <w:tc>
          <w:tcPr>
            <w:tcW w:type="dxa" w:w="2516"/>
          </w:tcPr>
          <w:p>
            <w:pPr>
              <w:spacing w:after="20" w:before="20"/>
              <w:jc w:val="left"/>
            </w:pPr>
            <w:r/>
            <w:r>
              <w:rPr>
                <w:rFonts w:ascii="Arial" w:hAnsi="Arial"/>
                <w:sz w:val="14"/>
              </w:rPr>
              <w:t>How labels are established</w:t>
            </w:r>
          </w:p>
        </w:tc>
        <w:tc>
          <w:tcPr>
            <w:tcW w:type="dxa" w:w="2516"/>
          </w:tcPr>
          <w:p>
            <w:pPr>
              <w:spacing w:after="20" w:before="20"/>
              <w:jc w:val="center"/>
            </w:pPr>
            <w:r/>
            <w:r>
              <w:rPr>
                <w:rFonts w:ascii="Arial" w:hAnsi="Arial"/>
                <w:sz w:val="14"/>
              </w:rPr>
              <w:t>dataset's own labels, provenance-confounded</w:t>
            </w:r>
          </w:p>
        </w:tc>
        <w:tc>
          <w:tcPr>
            <w:tcW w:type="dxa" w:w="2516"/>
          </w:tcPr>
          <w:p>
            <w:pPr>
              <w:spacing w:after="20" w:before="20"/>
              <w:jc w:val="center"/>
            </w:pPr>
            <w:r/>
            <w:r>
              <w:rPr>
                <w:rFonts w:ascii="Arial" w:hAnsi="Arial"/>
                <w:sz w:val="14"/>
              </w:rPr>
              <w:t>counterfeit: regulator-confirmed; authentic: labeled, not verified</w:t>
            </w:r>
          </w:p>
        </w:tc>
        <w:tc>
          <w:tcPr>
            <w:tcW w:type="dxa" w:w="2516"/>
          </w:tcPr>
          <w:p>
            <w:pPr>
              <w:spacing w:after="20" w:before="20"/>
              <w:jc w:val="center"/>
            </w:pPr>
            <w:r/>
            <w:r>
              <w:rPr>
                <w:rFonts w:ascii="Arial" w:hAnsi="Arial"/>
                <w:sz w:val="14"/>
              </w:rPr>
              <w:t>archive's own labels, authentic only</w:t>
            </w:r>
          </w:p>
        </w:tc>
      </w:tr>
      <w:tr>
        <w:tc>
          <w:tcPr>
            <w:tcW w:type="dxa" w:w="2516"/>
          </w:tcPr>
          <w:p>
            <w:pPr>
              <w:spacing w:after="20" w:before="20"/>
              <w:jc w:val="left"/>
            </w:pPr>
            <w:r/>
            <w:r>
              <w:rPr>
                <w:rFonts w:ascii="Arial" w:hAnsi="Arial"/>
                <w:sz w:val="14"/>
              </w:rPr>
              <w:t>Quantity it can measure</w:t>
            </w:r>
          </w:p>
        </w:tc>
        <w:tc>
          <w:tcPr>
            <w:tcW w:type="dxa" w:w="2516"/>
          </w:tcPr>
          <w:p>
            <w:pPr>
              <w:spacing w:after="20" w:before="20"/>
              <w:jc w:val="center"/>
            </w:pPr>
            <w:r/>
            <w:r>
              <w:rPr>
                <w:rFonts w:ascii="Arial" w:hAnsi="Arial"/>
                <w:sz w:val="14"/>
              </w:rPr>
              <w:t>accuracy</w:t>
            </w:r>
          </w:p>
        </w:tc>
        <w:tc>
          <w:tcPr>
            <w:tcW w:type="dxa" w:w="2516"/>
          </w:tcPr>
          <w:p>
            <w:pPr>
              <w:spacing w:after="20" w:before="20"/>
              <w:jc w:val="center"/>
            </w:pPr>
            <w:r/>
            <w:r>
              <w:rPr>
                <w:rFonts w:ascii="Arial" w:hAnsi="Arial"/>
                <w:sz w:val="14"/>
              </w:rPr>
              <w:t>accuracy, balanced accuracy, recall, specificity, F1, ROC-AUC</w:t>
            </w:r>
          </w:p>
        </w:tc>
        <w:tc>
          <w:tcPr>
            <w:tcW w:type="dxa" w:w="2516"/>
          </w:tcPr>
          <w:p>
            <w:pPr>
              <w:spacing w:after="20" w:before="20"/>
              <w:jc w:val="center"/>
            </w:pPr>
            <w:r/>
            <w:r>
              <w:rPr>
                <w:rFonts w:ascii="Arial" w:hAnsi="Arial"/>
                <w:sz w:val="14"/>
              </w:rPr>
              <w:t>specificity only</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The balanced external test and the acquisition-shift test are therefore not two versions of one experiment. One holds both classes and standardizes acquisition; the other varies acquisition and holds one class. Neither measures two-class performance under acquisition shift (Section V-D).</w:t>
      </w:r>
    </w:p>
    <w:p>
      <w:pPr>
        <w:spacing w:after="0" w:before="0" w:line="240" w:lineRule="exact"/>
        <w:ind w:firstLine="202"/>
        <w:jc w:val="both"/>
      </w:pPr>
      <w:r>
        <w:rPr>
          <w:rFonts w:ascii="Times New Roman" w:hAnsi="Times New Roman"/>
          <w:b/>
          <w:sz w:val="20"/>
        </w:rPr>
        <w:t>The one-sided rule.</w:t>
      </w:r>
      <w:r>
        <w:rPr>
          <w:rFonts w:ascii="Times New Roman" w:hAnsi="Times New Roman"/>
          <w:sz w:val="20"/>
        </w:rPr>
        <w:t xml:space="preserve"> An external set holding one class can estimate one thing. The two acquisition-shift conditions hold authentic images only and the regulatory source holds counterfeit images only, so </w:t>
      </w:r>
      <w:r>
        <w:rPr>
          <w:rFonts w:ascii="Times New Roman" w:hAnsi="Times New Roman"/>
          <w:b/>
          <w:sz w:val="20"/>
        </w:rPr>
        <w:t>nothing computed on any of them alone is an accuracy</w:t>
      </w:r>
      <w:r>
        <w:rPr>
          <w:rFonts w:ascii="Times New Roman" w:hAnsi="Times New Roman"/>
          <w:sz w:val="20"/>
        </w:rPr>
        <w:t xml:space="preserve">: the first two yield a specificity and the third a recall. A one-sided figure cannot separate a model applying a decision rule from one that has merely moved its operating point — a classifier calling every image counterfeit scores 0.000 specificity and 1.000 recall, and Section IV-C shows that this describes one of our four models. We therefore write "external specificity" wherever an authentic-only set is reported and reserve </w:t>
      </w:r>
      <w:r>
        <w:rPr>
          <w:rFonts w:ascii="Times New Roman" w:hAnsi="Times New Roman"/>
          <w:i/>
          <w:sz w:val="20"/>
        </w:rPr>
        <w:t>accuracy</w:t>
      </w:r>
      <w:r>
        <w:rPr>
          <w:rFonts w:ascii="Times New Roman" w:hAnsi="Times New Roman"/>
          <w:sz w:val="20"/>
        </w:rPr>
        <w:t xml:space="preserve"> for mixed-class sets. The balanced external test exists to escape this limit.</w:t>
      </w:r>
    </w:p>
    <w:p>
      <w:pPr>
        <w:keepNext/>
        <w:spacing w:before="160" w:after="60" w:line="240" w:lineRule="exact"/>
        <w:jc w:val="left"/>
      </w:pPr>
      <w:r>
        <w:rPr>
          <w:rFonts w:ascii="Arial" w:hAnsi="Arial"/>
          <w:b w:val="0"/>
          <w:i w:val="0"/>
          <w:color w:val="000000"/>
          <w:sz w:val="18"/>
        </w:rPr>
        <w:t>1) The balanced external test</w:t>
      </w:r>
    </w:p>
    <w:p>
      <w:pPr>
        <w:spacing w:after="0" w:before="0" w:line="240" w:lineRule="exact"/>
        <w:ind w:firstLine="202"/>
        <w:jc w:val="both"/>
      </w:pPr>
      <w:r>
        <w:rPr>
          <w:rFonts w:ascii="Times New Roman" w:hAnsi="Times New Roman"/>
          <w:b/>
          <w:sz w:val="20"/>
        </w:rPr>
        <w:t>What it holds.</w:t>
      </w:r>
      <w:r>
        <w:rPr>
          <w:rFonts w:ascii="Times New Roman" w:hAnsi="Times New Roman"/>
          <w:sz w:val="20"/>
        </w:rPr>
        <w:t xml:space="preserve"> 92 photographs, </w:t>
      </w:r>
      <w:r>
        <w:rPr>
          <w:rFonts w:ascii="Times New Roman" w:hAnsi="Times New Roman"/>
          <w:b/>
          <w:sz w:val="20"/>
        </w:rPr>
        <w:t>46 counterfeit and 46 authentic</w:t>
      </w:r>
      <w:r>
        <w:rPr>
          <w:rFonts w:ascii="Times New Roman" w:hAnsi="Times New Roman"/>
          <w:sz w:val="20"/>
        </w:rPr>
        <w:t>, from two independent sources, evaluated once against frozen checkpoints. It is the only evaluation in this study on which accuracy, balanced accuracy, precision, F1 and ROC-AUC are defined, and the only one whose confusion matrix means anything.</w:t>
      </w:r>
    </w:p>
    <w:p>
      <w:pPr>
        <w:spacing w:after="0" w:before="0" w:line="240" w:lineRule="exact"/>
        <w:ind w:firstLine="202"/>
        <w:jc w:val="both"/>
      </w:pPr>
      <w:r>
        <w:rPr>
          <w:rFonts w:ascii="Times New Roman" w:hAnsi="Times New Roman"/>
          <w:b/>
          <w:sz w:val="20"/>
        </w:rPr>
        <w:t>The counterfeit class</w:t>
      </w:r>
      <w:r>
        <w:rPr>
          <w:rFonts w:ascii="Times New Roman" w:hAnsi="Times New Roman"/>
          <w:sz w:val="20"/>
        </w:rPr>
        <w:t xml:space="preserve"> is one photograph from each of </w:t>
      </w:r>
      <w:r>
        <w:rPr>
          <w:rFonts w:ascii="Times New Roman" w:hAnsi="Times New Roman"/>
          <w:b/>
          <w:sz w:val="20"/>
        </w:rPr>
        <w:t>46 FDA and WHO medical-product alerts</w:t>
      </w:r>
      <w:r>
        <w:rPr>
          <w:rFonts w:ascii="Times New Roman" w:hAnsi="Times New Roman"/>
          <w:sz w:val="20"/>
        </w:rPr>
        <w:t xml:space="preserve"> confirming a falsified product (technically, Split E). Candidates come from a rights-audited manifest of alert imagery and from a harvest of both archives, including rasters extracted from the alert PDFs WHO has published in place of inline images since about 2022. Several frames per alert photograph one seizure of one product, so the alert rather than the frame is the unit of independence; taking one frame per alert — the within-case median-brightness frame, a rule that consults no model — makes each of the 46 an independent case and removes the need for clustered intervals. Independence was verified against every image in the project's raw tree: </w:t>
      </w:r>
      <w:r>
        <w:rPr>
          <w:rFonts w:ascii="Times New Roman" w:hAnsi="Times New Roman"/>
          <w:b/>
          <w:sz w:val="20"/>
        </w:rPr>
        <w:t>0 of 202 candidates matched anything within the near-duplicate threshold</w:t>
      </w:r>
      <w:r>
        <w:rPr>
          <w:rFonts w:ascii="Times New Roman" w:hAnsi="Times New Roman"/>
          <w:sz w:val="20"/>
        </w:rPr>
        <w:t xml:space="preserve"> (Section S-VIII).</w:t>
      </w:r>
    </w:p>
    <w:p>
      <w:pPr>
        <w:spacing w:after="0" w:before="0" w:line="240" w:lineRule="exact"/>
        <w:ind w:firstLine="202"/>
        <w:jc w:val="both"/>
      </w:pPr>
      <w:r>
        <w:rPr>
          <w:rFonts w:ascii="Times New Roman" w:hAnsi="Times New Roman"/>
          <w:b/>
          <w:sz w:val="20"/>
        </w:rPr>
        <w:t>The authentic class could not come from any source already in this study, and saying why is the design.</w:t>
      </w:r>
      <w:r>
        <w:rPr>
          <w:rFonts w:ascii="Times New Roman" w:hAnsi="Times New Roman"/>
          <w:sz w:val="20"/>
        </w:rPr>
        <w:t xml:space="preserve"> The regulatory archives supply one: of nine authentic-labeled candidates, eight are flat vector carton artwork against field photographs for every falsified one — a </w:t>
      </w:r>
      <w:r>
        <w:rPr>
          <w:rFonts w:ascii="Times New Roman" w:hAnsi="Times New Roman"/>
          <w:b/>
          <w:sz w:val="20"/>
        </w:rPr>
        <w:t>+0.233 mean-brightness gap</w:t>
      </w:r>
      <w:r>
        <w:rPr>
          <w:rFonts w:ascii="Times New Roman" w:hAnsi="Times New Roman"/>
          <w:sz w:val="20"/>
        </w:rPr>
        <w:t xml:space="preserve"> that is a property of how the images were produced and not of the products. A regulator publishes photographs of what it seized and manufacturer artwork of what the genuine article should look like, so that asymmetry is structural rather than an accident of one harvest. The acquisition-shift conditions supply the other: pairing their photographs with the regulatory ones would open a brightness gap of </w:t>
      </w:r>
      <w:r>
        <w:rPr>
          <w:rFonts w:ascii="Times New Roman" w:hAnsi="Times New Roman"/>
          <w:b/>
          <w:sz w:val="20"/>
        </w:rPr>
        <w:t>+0.396</w:t>
      </w:r>
      <w:r>
        <w:rPr>
          <w:rFonts w:ascii="Times New Roman" w:hAnsi="Times New Roman"/>
          <w:sz w:val="20"/>
        </w:rPr>
        <w:t xml:space="preserve"> and set a 2448 px median short side against 439 px — </w:t>
      </w:r>
      <w:r>
        <w:rPr>
          <w:rFonts w:ascii="Times New Roman" w:hAnsi="Times New Roman"/>
          <w:i/>
          <w:sz w:val="20"/>
        </w:rPr>
        <w:t>larger</w:t>
      </w:r>
      <w:r>
        <w:rPr>
          <w:rFonts w:ascii="Times New Roman" w:hAnsi="Times New Roman"/>
          <w:sz w:val="20"/>
        </w:rPr>
        <w:t xml:space="preserve"> than the gap that disqualified the artwork. Either route would have reproduced the confound this paper exists to expose inside the paper's own external validation.</w:t>
      </w:r>
    </w:p>
    <w:p>
      <w:pPr>
        <w:spacing w:after="0" w:before="0" w:line="240" w:lineRule="exact"/>
        <w:ind w:firstLine="202"/>
        <w:jc w:val="both"/>
      </w:pPr>
      <w:r>
        <w:rPr>
          <w:rFonts w:ascii="Times New Roman" w:hAnsi="Times New Roman"/>
          <w:b/>
          <w:sz w:val="20"/>
        </w:rPr>
        <w:t>So the authentic class was sourced independently</w:t>
      </w:r>
      <w:r>
        <w:rPr>
          <w:rFonts w:ascii="Times New Roman" w:hAnsi="Times New Roman"/>
          <w:sz w:val="20"/>
        </w:rPr>
        <w:t xml:space="preserve">, from Wikimedia Commons — a third-party photographic archive with no relation to any source here, carrying per-file license and authorship — and product-matched to the 46 alerts, whose titles name their products. Of 3,568 candidates, 788 survive a pre-download filter on title and native resolution and 672 were fetched; automated screens on flatness, brightness and duplication leave 449; a rotation-canonical pHash check against all 7,283 images under </w:t>
      </w:r>
      <w:r>
        <w:rPr>
          <w:rFonts w:ascii="Consolas" w:hAnsi="Consolas"/>
          <w:sz w:val="18"/>
        </w:rPr>
        <w:t>data/raw</w:t>
      </w:r>
      <w:r>
        <w:rPr>
          <w:rFonts w:ascii="Times New Roman" w:hAnsi="Times New Roman"/>
          <w:sz w:val="20"/>
        </w:rPr>
        <w:t xml:space="preserve"> returns </w:t>
      </w:r>
      <w:r>
        <w:rPr>
          <w:rFonts w:ascii="Times New Roman" w:hAnsi="Times New Roman"/>
          <w:b/>
          <w:sz w:val="20"/>
        </w:rPr>
        <w:t>0 matches within the threshold</w:t>
      </w:r>
      <w:r>
        <w:rPr>
          <w:rFonts w:ascii="Times New Roman" w:hAnsi="Times New Roman"/>
          <w:sz w:val="20"/>
        </w:rPr>
        <w:t xml:space="preserve">, closest approach Hamming 10 — the same closest approach Split C and the regulatory candidates each recorded — and removing 11 within-set near-duplicates leaves 438. A recorded subject-matter review (Section S-IX) then accepts </w:t>
      </w:r>
      <w:r>
        <w:rPr>
          <w:rFonts w:ascii="Times New Roman" w:hAnsi="Times New Roman"/>
          <w:b/>
          <w:sz w:val="20"/>
        </w:rPr>
        <w:t>174</w:t>
      </w:r>
      <w:r>
        <w:rPr>
          <w:rFonts w:ascii="Times New Roman" w:hAnsi="Times New Roman"/>
          <w:sz w:val="20"/>
        </w:rPr>
        <w:t xml:space="preserve">: Commons, searched by drug name, returns a great deal that is not a photograph of a medicine package, and 99 candidates show no medical product at all, 69 make a person the subject, 38 are drawings or renderings, 28 are museum objects and 25 show a loose dose form with no packaging. The final 46 are chosen from the 174 by nearest-neighbour brightness matching to the 46 counterfeit frames, at most one per product search term while the terms last, which spreads them over </w:t>
      </w:r>
      <w:r>
        <w:rPr>
          <w:rFonts w:ascii="Times New Roman" w:hAnsi="Times New Roman"/>
          <w:b/>
          <w:sz w:val="20"/>
        </w:rPr>
        <w:t>29 distinct products</w:t>
      </w:r>
      <w:r>
        <w:rPr>
          <w:rFonts w:ascii="Times New Roman" w:hAnsi="Times New Roman"/>
          <w:sz w:val="20"/>
        </w:rPr>
        <w:t>.</w:t>
      </w:r>
    </w:p>
    <w:p>
      <w:pPr>
        <w:spacing w:after="0" w:before="0" w:line="240" w:lineRule="exact"/>
        <w:ind w:firstLine="202"/>
        <w:jc w:val="both"/>
      </w:pPr>
      <w:r>
        <w:rPr>
          <w:rFonts w:ascii="Times New Roman" w:hAnsi="Times New Roman"/>
          <w:b/>
          <w:sz w:val="20"/>
        </w:rPr>
        <w:t>What "authentic" means on this side of the set, stated exactly.</w:t>
      </w:r>
      <w:r>
        <w:rPr>
          <w:rFonts w:ascii="Times New Roman" w:hAnsi="Times New Roman"/>
          <w:sz w:val="20"/>
        </w:rPr>
        <w:t xml:space="preserve"> The two classes are not established on the same footing, and the difference is not one the construction can remove. The counterfeit class is </w:t>
      </w:r>
      <w:r>
        <w:rPr>
          <w:rFonts w:ascii="Times New Roman" w:hAnsi="Times New Roman"/>
          <w:b/>
          <w:sz w:val="20"/>
        </w:rPr>
        <w:t>regulator-confirmed</w:t>
      </w:r>
      <w:r>
        <w:rPr>
          <w:rFonts w:ascii="Times New Roman" w:hAnsi="Times New Roman"/>
          <w:sz w:val="20"/>
        </w:rPr>
        <w:t xml:space="preserve">: each frame accompanies an FDA or WHO alert asserting that the product photographed is falsified. The authentic class is not. It consists of photographs depicting manufacturer-consistent retail packaging, identified through the predefined subject-matter screen above, with no independent verification that the physical product photographed was genuine — a photograph of a carton labeled </w:t>
      </w:r>
      <w:r>
        <w:rPr>
          <w:rFonts w:ascii="Times New Roman" w:hAnsi="Times New Roman"/>
          <w:i/>
          <w:sz w:val="20"/>
        </w:rPr>
        <w:t>Drug X</w:t>
      </w:r>
      <w:r>
        <w:rPr>
          <w:rFonts w:ascii="Times New Roman" w:hAnsi="Times New Roman"/>
          <w:sz w:val="20"/>
        </w:rPr>
        <w:t xml:space="preserve"> does not establish that the contents were made by the manufacturer named on it. We therefore call it the </w:t>
      </w:r>
      <w:r>
        <w:rPr>
          <w:rFonts w:ascii="Times New Roman" w:hAnsi="Times New Roman"/>
          <w:b/>
          <w:sz w:val="20"/>
        </w:rPr>
        <w:t>authentic-labeled reference class</w:t>
      </w:r>
      <w:r>
        <w:rPr>
          <w:rFonts w:ascii="Times New Roman" w:hAnsi="Times New Roman"/>
          <w:sz w:val="20"/>
        </w:rPr>
        <w:t xml:space="preserve"> and treat it as such: it is the best negative class available for a two-class external test, not a verified one. This is the principal limitation of Table 4. A mislabeled image on that side would move the specificity column directly, the direction of any resulting bias is not known, and Section V-D states the consequence for every claim that rests on the balanced set.</w:t>
      </w:r>
    </w:p>
    <w:p>
      <w:pPr>
        <w:spacing w:after="0" w:before="0" w:line="240" w:lineRule="exact"/>
        <w:ind w:firstLine="202"/>
        <w:jc w:val="both"/>
      </w:pPr>
      <w:r>
        <w:rPr>
          <w:rFonts w:ascii="Times New Roman" w:hAnsi="Times New Roman"/>
          <w:b/>
          <w:sz w:val="20"/>
        </w:rPr>
        <w:t>Both classes then pass through one identical ingestion pipeline</w:t>
      </w:r>
      <w:r>
        <w:rPr>
          <w:rFonts w:ascii="Times New Roman" w:hAnsi="Times New Roman"/>
          <w:sz w:val="20"/>
        </w:rPr>
        <w:t xml:space="preserve">: RGB, short side resampled to 448 px, re-encoded at one JPEG quality with metadata stripped. Container format, encoder, encoder settings and stored short side are therefore standardized across the two classes </w:t>
      </w:r>
      <w:r>
        <w:rPr>
          <w:rFonts w:ascii="Times New Roman" w:hAnsi="Times New Roman"/>
          <w:b/>
          <w:sz w:val="20"/>
        </w:rPr>
        <w:t>by construction</w:t>
      </w:r>
      <w:r>
        <w:rPr>
          <w:rFonts w:ascii="Times New Roman" w:hAnsi="Times New Roman"/>
          <w:sz w:val="20"/>
        </w:rPr>
        <w:t xml:space="preserve"> — in the notation of Section I-A, the acquisition attributes of </w:t>
      </w:r>
      <w:r>
        <w:rPr>
          <w:rFonts w:ascii="Times New Roman" w:hAnsi="Times New Roman"/>
          <w:i/>
          <w:sz w:val="20"/>
        </w:rPr>
        <w:t>A_(pure)</w:t>
      </w:r>
      <w:r>
        <w:rPr>
          <w:rFonts w:ascii="Times New Roman" w:hAnsi="Times New Roman"/>
          <w:sz w:val="20"/>
        </w:rPr>
        <w:t xml:space="preserve"> are held constant by design rather than measured, and the size and resolution components of </w:t>
      </w:r>
      <w:r>
        <w:rPr>
          <w:rFonts w:ascii="Times New Roman" w:hAnsi="Times New Roman"/>
          <w:i/>
          <w:sz w:val="20"/>
        </w:rPr>
        <w:t>A_(mix)</w:t>
      </w:r>
      <w:r>
        <w:rPr>
          <w:rFonts w:ascii="Times New Roman" w:hAnsi="Times New Roman"/>
          <w:sz w:val="20"/>
        </w:rPr>
        <w:t xml:space="preserve"> go with them. This is dataset construction, not model preprocessing: it is applied identically to both classes before any model sees anything, and the models' own 224 px resize is untouched. One consequence follows: because the counterfeit frames are re-encoded, recall on this set is </w:t>
      </w:r>
      <w:r>
        <w:rPr>
          <w:rFonts w:ascii="Times New Roman" w:hAnsi="Times New Roman"/>
          <w:b/>
          <w:sz w:val="20"/>
        </w:rPr>
        <w:t>not</w:t>
      </w:r>
      <w:r>
        <w:rPr>
          <w:rFonts w:ascii="Times New Roman" w:hAnsi="Times New Roman"/>
          <w:sz w:val="20"/>
        </w:rPr>
        <w:t xml:space="preserve"> numerically comparable to the recall the same images produce in their native encodings (Section S-IX).</w:t>
      </w:r>
    </w:p>
    <w:p>
      <w:pPr>
        <w:spacing w:after="0" w:before="0" w:line="240" w:lineRule="exact"/>
        <w:ind w:firstLine="202"/>
        <w:jc w:val="both"/>
      </w:pPr>
      <w:r>
        <w:rPr>
          <w:rFonts w:ascii="Times New Roman" w:hAnsi="Times New Roman"/>
          <w:b/>
          <w:sz w:val="20"/>
        </w:rPr>
        <w:t>The set was then audited by this paper's own procedure and locked.</w:t>
      </w:r>
      <w:r>
        <w:rPr>
          <w:rFonts w:ascii="Times New Roman" w:hAnsi="Times New Roman"/>
          <w:sz w:val="20"/>
        </w:rPr>
        <w:t xml:space="preserve"> Running Section III-E on the finished 92 returns a balanced accuracy of </w:t>
      </w:r>
      <w:r>
        <w:rPr>
          <w:rFonts w:ascii="Times New Roman" w:hAnsi="Times New Roman"/>
          <w:b/>
          <w:sz w:val="20"/>
        </w:rPr>
        <w:t>0.598</w:t>
      </w:r>
      <w:r>
        <w:rPr>
          <w:rFonts w:ascii="Times New Roman" w:hAnsi="Times New Roman"/>
          <w:sz w:val="20"/>
        </w:rPr>
        <w:t xml:space="preserve"> on encoded file size, </w:t>
      </w:r>
      <w:r>
        <w:rPr>
          <w:rFonts w:ascii="Times New Roman" w:hAnsi="Times New Roman"/>
          <w:b/>
          <w:sz w:val="20"/>
        </w:rPr>
        <w:t>0.435</w:t>
      </w:r>
      <w:r>
        <w:rPr>
          <w:rFonts w:ascii="Times New Roman" w:hAnsi="Times New Roman"/>
          <w:sz w:val="20"/>
        </w:rPr>
        <w:t xml:space="preserve"> on aspect ratio, </w:t>
      </w:r>
      <w:r>
        <w:rPr>
          <w:rFonts w:ascii="Times New Roman" w:hAnsi="Times New Roman"/>
          <w:b/>
          <w:sz w:val="20"/>
        </w:rPr>
        <w:t>0.413</w:t>
      </w:r>
      <w:r>
        <w:rPr>
          <w:rFonts w:ascii="Times New Roman" w:hAnsi="Times New Roman"/>
          <w:sz w:val="20"/>
        </w:rPr>
        <w:t xml:space="preserve"> on mean brightness and </w:t>
      </w:r>
      <w:r>
        <w:rPr>
          <w:rFonts w:ascii="Times New Roman" w:hAnsi="Times New Roman"/>
          <w:b/>
          <w:sz w:val="20"/>
        </w:rPr>
        <w:t>0.620</w:t>
      </w:r>
      <w:r>
        <w:rPr>
          <w:rFonts w:ascii="Times New Roman" w:hAnsi="Times New Roman"/>
          <w:sz w:val="20"/>
        </w:rPr>
        <w:t xml:space="preserve"> on all three jointly, against 0.500 chance and against the case-study pool's 1.000; the between-class brightness gap is </w:t>
      </w:r>
      <w:r>
        <w:rPr>
          <w:rFonts w:ascii="Times New Roman" w:hAnsi="Times New Roman"/>
          <w:b/>
          <w:sz w:val="20"/>
        </w:rPr>
        <w:t>+0.005</w:t>
      </w:r>
      <w:r>
        <w:rPr>
          <w:rFonts w:ascii="Times New Roman" w:hAnsi="Times New Roman"/>
          <w:sz w:val="20"/>
        </w:rPr>
        <w:t xml:space="preserve">, against the +0.233 that disqualified the artwork. The set is not confound-free — 0.620 is above chance, and Section V-D says what that permits — but it is far from the pool this paper is about. </w:t>
      </w:r>
      <w:r>
        <w:rPr>
          <w:rFonts w:ascii="Times New Roman" w:hAnsi="Times New Roman"/>
          <w:b/>
          <w:sz w:val="20"/>
        </w:rPr>
        <w:t>The evaluation protocol was frozen before the set existed</w:t>
      </w:r>
      <w:r>
        <w:rPr>
          <w:rFonts w:ascii="Times New Roman" w:hAnsi="Times New Roman"/>
          <w:sz w:val="20"/>
        </w:rPr>
        <w:t>: training, preprocessing, normalization and the 0.5 decision threshold were settled beforehand, the models are loaded from the same persisted Split B checkpoints that produced every other table rather than retrained, and the set was scored once.</w:t>
      </w:r>
    </w:p>
    <w:p>
      <w:pPr>
        <w:keepNext/>
        <w:spacing w:before="160" w:after="60" w:line="240" w:lineRule="exact"/>
        <w:jc w:val="left"/>
      </w:pPr>
      <w:r>
        <w:rPr>
          <w:rFonts w:ascii="Arial" w:hAnsi="Arial"/>
          <w:b w:val="0"/>
          <w:i w:val="0"/>
          <w:color w:val="000000"/>
          <w:sz w:val="18"/>
        </w:rPr>
        <w:t>2) The external acquisition-shift test</w:t>
      </w:r>
    </w:p>
    <w:p>
      <w:pPr>
        <w:spacing w:after="0" w:before="0" w:line="240" w:lineRule="exact"/>
        <w:ind w:firstLine="202"/>
        <w:jc w:val="both"/>
      </w:pPr>
      <w:r>
        <w:rPr>
          <w:rFonts w:ascii="Times New Roman" w:hAnsi="Times New Roman"/>
          <w:b/>
          <w:sz w:val="20"/>
        </w:rPr>
        <w:t>Two capture conditions on one set of products.</w:t>
      </w:r>
      <w:r>
        <w:rPr>
          <w:rFonts w:ascii="Times New Roman" w:hAnsi="Times New Roman"/>
          <w:sz w:val="20"/>
        </w:rPr>
        <w:t xml:space="preserve"> This is one experiment in two conditions rather than two external datasets, and it is reported that way because that is what it is. </w:t>
      </w:r>
      <w:r>
        <w:rPr>
          <w:rFonts w:ascii="Times New Roman" w:hAnsi="Times New Roman"/>
          <w:b/>
          <w:sz w:val="20"/>
        </w:rPr>
        <w:t>Condition C</w:t>
      </w:r>
      <w:r>
        <w:rPr>
          <w:rFonts w:ascii="Times New Roman" w:hAnsi="Times New Roman"/>
          <w:sz w:val="20"/>
        </w:rPr>
        <w:t xml:space="preserve"> (Split C) is the Mendeley archive [20]: </w:t>
      </w:r>
      <w:r>
        <w:rPr>
          <w:rFonts w:ascii="Times New Roman" w:hAnsi="Times New Roman"/>
          <w:b/>
          <w:sz w:val="20"/>
        </w:rPr>
        <w:t>150 photographs, one per distinct product</w:t>
      </w:r>
      <w:r>
        <w:rPr>
          <w:rFonts w:ascii="Times New Roman" w:hAnsi="Times New Roman"/>
          <w:sz w:val="20"/>
        </w:rPr>
        <w:t xml:space="preserve">, from a different country, photographers, camera hardware and backdrop protocol than the modeling pool, with independence verified rather than assumed — </w:t>
      </w:r>
      <w:r>
        <w:rPr>
          <w:rFonts w:ascii="Times New Roman" w:hAnsi="Times New Roman"/>
          <w:b/>
          <w:sz w:val="20"/>
        </w:rPr>
        <w:t>0 of 150 images matched anything in the pool</w:t>
      </w:r>
      <w:r>
        <w:rPr>
          <w:rFonts w:ascii="Times New Roman" w:hAnsi="Times New Roman"/>
          <w:sz w:val="20"/>
        </w:rPr>
        <w:t xml:space="preserve"> within the near-duplicate threshold. </w:t>
      </w:r>
      <w:r>
        <w:rPr>
          <w:rFonts w:ascii="Times New Roman" w:hAnsi="Times New Roman"/>
          <w:b/>
          <w:sz w:val="20"/>
        </w:rPr>
        <w:t>Condition D</w:t>
      </w:r>
      <w:r>
        <w:rPr>
          <w:rFonts w:ascii="Times New Roman" w:hAnsi="Times New Roman"/>
          <w:sz w:val="20"/>
        </w:rPr>
        <w:t xml:space="preserve"> (Split D) is the same archive's "iphone 11 pro" subset: </w:t>
      </w:r>
      <w:r>
        <w:rPr>
          <w:rFonts w:ascii="Times New Roman" w:hAnsi="Times New Roman"/>
          <w:b/>
          <w:sz w:val="20"/>
        </w:rPr>
        <w:t>149 unique images covering the same 150 packages</w:t>
      </w:r>
      <w:r>
        <w:rPr>
          <w:rFonts w:ascii="Times New Roman" w:hAnsi="Times New Roman"/>
          <w:sz w:val="20"/>
        </w:rPr>
        <w:t>, photographed on different hardware under a deliberately different lighting protocol. It is a different point on the confounded axis rather than a repeat, at mean brightness 0.389 against condition C's 0.162 and the training pool's 0.668, and it is not pixel-interchangeable with C (Section S-I-Y).</w:t>
      </w:r>
    </w:p>
    <w:p>
      <w:pPr>
        <w:spacing w:after="0" w:before="0" w:line="240" w:lineRule="exact"/>
        <w:ind w:firstLine="202"/>
        <w:jc w:val="both"/>
      </w:pPr>
      <w:r>
        <w:rPr>
          <w:rFonts w:ascii="Times New Roman" w:hAnsi="Times New Roman"/>
          <w:b/>
          <w:sz w:val="20"/>
        </w:rPr>
        <w:t>What the experiment measures.</w:t>
      </w:r>
      <w:r>
        <w:rPr>
          <w:rFonts w:ascii="Times New Roman" w:hAnsi="Times New Roman"/>
          <w:sz w:val="20"/>
        </w:rPr>
        <w:t xml:space="preserve"> Both conditions hold authentic images only, so every figure is a specificity and the experiment measures no counterfeit recall. Because content is held approximately fixed while capture varies, a model that holds its specificity from C to D is shown to be stable across </w:t>
      </w:r>
      <w:r>
        <w:rPr>
          <w:rFonts w:ascii="Times New Roman" w:hAnsi="Times New Roman"/>
          <w:b/>
          <w:sz w:val="20"/>
        </w:rPr>
        <w:t>the device and lighting shift these two conditions represent</w:t>
      </w:r>
      <w:r>
        <w:rPr>
          <w:rFonts w:ascii="Times New Roman" w:hAnsi="Times New Roman"/>
          <w:sz w:val="20"/>
        </w:rPr>
        <w:t xml:space="preserve"> — not across acquisition in general, since the two share one archive, one set of packages and one dark backdrop. The correspondence is at the level of the set rather than the image, so the two are compared as independent proportions and the 299 images are not pooled.</w:t>
      </w:r>
    </w:p>
    <w:p>
      <w:pPr>
        <w:keepNext/>
        <w:spacing w:before="160" w:after="60" w:line="240" w:lineRule="exact"/>
        <w:jc w:val="left"/>
      </w:pPr>
      <w:r>
        <w:rPr>
          <w:rFonts w:ascii="Arial" w:hAnsi="Arial"/>
          <w:b/>
          <w:i/>
          <w:color w:val="000000"/>
          <w:sz w:val="18"/>
        </w:rPr>
        <w:t>E. THE PROVENANCE AUDIT, STATED AS A PROCEDURE</w:t>
      </w:r>
    </w:p>
    <w:p>
      <w:pPr>
        <w:spacing w:after="0" w:before="0" w:line="240" w:lineRule="exact"/>
        <w:ind w:firstLine="202"/>
        <w:jc w:val="both"/>
      </w:pPr>
      <w:r>
        <w:rPr>
          <w:rFonts w:ascii="Times New Roman" w:hAnsi="Times New Roman"/>
          <w:b/>
          <w:sz w:val="20"/>
        </w:rPr>
        <w:t>Before evaluating an image classifier, establish whether the acquisition variables alone can predict the label.</w:t>
      </w:r>
      <w:r>
        <w:rPr>
          <w:rFonts w:ascii="Times New Roman" w:hAnsi="Times New Roman"/>
          <w:sz w:val="20"/>
        </w:rPr>
        <w:t xml:space="preserve"> That is the whole of what this paper offers for adoption, and we state it as a procedure. It needs no external data, no annotation, no training run and no pixel decoding, and here it runs from a file listing in seconds. </w:t>
      </w:r>
      <w:r>
        <w:rPr>
          <w:rFonts w:ascii="Times New Roman" w:hAnsi="Times New Roman"/>
          <w:b/>
          <w:sz w:val="20"/>
        </w:rPr>
        <w:t>Inputs:</w:t>
      </w:r>
      <w:r>
        <w:rPr>
          <w:rFonts w:ascii="Times New Roman" w:hAnsi="Times New Roman"/>
          <w:sz w:val="20"/>
        </w:rPr>
        <w:t xml:space="preserve"> a labeled image dataset, a partition free of whatever leakage the study already controls for, and the classifier family the study intends to use.</w:t>
      </w:r>
    </w:p>
    <w:p>
      <w:pPr>
        <w:pStyle w:val="ListNumber"/>
        <w:spacing w:after="40" w:line="240" w:lineRule="exact"/>
      </w:pPr>
      <w:r>
        <w:rPr>
          <w:rFonts w:ascii="Times New Roman" w:hAnsi="Times New Roman"/>
          <w:b/>
          <w:sz w:val="20"/>
        </w:rPr>
        <w:t>Enumerate the acquisition variables the files carry</w:t>
      </w:r>
      <w:r>
        <w:rPr>
          <w:rFonts w:ascii="Times New Roman" w:hAnsi="Times New Roman"/>
          <w:sz w:val="20"/>
        </w:rPr>
        <w:t xml:space="preserve"> — every attribute obtainable without decoding an image: container format, encoded size, stored dimensions, and the aspect ratio they imply. Filename patterns and embedded timestamps belong here too, reported separately because they are trivially removable and their absence proves nothing.</w:t>
      </w:r>
    </w:p>
    <w:p>
      <w:pPr>
        <w:pStyle w:val="ListNumber"/>
        <w:spacing w:after="40" w:line="240" w:lineRule="exact"/>
      </w:pPr>
      <w:r>
        <w:rPr>
          <w:rFonts w:ascii="Times New Roman" w:hAnsi="Times New Roman"/>
          <w:b/>
          <w:sz w:val="20"/>
        </w:rPr>
        <w:t>Partition exactly as the study will</w:t>
      </w:r>
      <w:r>
        <w:rPr>
          <w:rFonts w:ascii="Times New Roman" w:hAnsi="Times New Roman"/>
          <w:sz w:val="20"/>
        </w:rPr>
        <w:t>, inside its own leakage-free split, so the audit inherits the grouping the models do. A different partition measures a different quantity.</w:t>
      </w:r>
    </w:p>
    <w:p>
      <w:pPr>
        <w:pStyle w:val="ListNumber"/>
        <w:spacing w:after="40" w:line="240" w:lineRule="exact"/>
      </w:pPr>
      <w:r>
        <w:rPr>
          <w:rFonts w:ascii="Times New Roman" w:hAnsi="Times New Roman"/>
          <w:b/>
          <w:sz w:val="20"/>
        </w:rPr>
        <w:t>Fit the intended classifier to those variables alone</w:t>
      </w:r>
      <w:r>
        <w:rPr>
          <w:rFonts w:ascii="Times New Roman" w:hAnsi="Times New Roman"/>
          <w:sz w:val="20"/>
        </w:rPr>
        <w:t>: one fit per variable, then one on all jointly, reporting held-out accuracy with an interval and using balanced accuracy where the classes are imbalanced. Chance is the reference, not zero.</w:t>
      </w:r>
    </w:p>
    <w:p>
      <w:pPr>
        <w:pStyle w:val="ListNumber"/>
        <w:spacing w:after="40" w:line="240" w:lineRule="exact"/>
      </w:pPr>
      <w:r>
        <w:rPr>
          <w:rFonts w:ascii="Times New Roman" w:hAnsi="Times New Roman"/>
          <w:b/>
          <w:sz w:val="20"/>
        </w:rPr>
        <w:t xml:space="preserve">Read </w:t>
      </w:r>
      <w:r>
        <w:rPr>
          <w:rFonts w:ascii="Times New Roman" w:hAnsi="Times New Roman"/>
          <w:b/>
          <w:i/>
          <w:sz w:val="20"/>
        </w:rPr>
        <w:t>A_(pure)</w:t>
      </w:r>
      <w:r>
        <w:rPr>
          <w:rFonts w:ascii="Times New Roman" w:hAnsi="Times New Roman"/>
          <w:b/>
          <w:sz w:val="20"/>
        </w:rPr>
        <w:t xml:space="preserve"> separately from </w:t>
      </w:r>
      <w:r>
        <w:rPr>
          <w:rFonts w:ascii="Times New Roman" w:hAnsi="Times New Roman"/>
          <w:b/>
          <w:i/>
          <w:sz w:val="20"/>
        </w:rPr>
        <w:t>A_(mix)</w:t>
      </w:r>
      <w:r>
        <w:rPr>
          <w:rFonts w:ascii="Times New Roman" w:hAnsi="Times New Roman"/>
          <w:b/>
          <w:sz w:val="20"/>
        </w:rPr>
        <w:t>.</w:t>
      </w:r>
      <w:r>
        <w:rPr>
          <w:rFonts w:ascii="Times New Roman" w:hAnsi="Times New Roman"/>
          <w:sz w:val="20"/>
        </w:rPr>
        <w:t xml:space="preserve"> Container format is never a property of the photographed object, so a high score on it is close to decisive, whereas encoded size, resolution and aspect ratio mix acquisition with content; Section IV-A's negative control separates along exactly this line.</w:t>
      </w:r>
    </w:p>
    <w:p>
      <w:pPr>
        <w:pStyle w:val="ListNumber"/>
        <w:spacing w:after="40" w:line="240" w:lineRule="exact"/>
      </w:pPr>
      <w:r>
        <w:rPr>
          <w:rFonts w:ascii="Times New Roman" w:hAnsi="Times New Roman"/>
          <w:b/>
          <w:sz w:val="20"/>
        </w:rPr>
        <w:t>Report pixel-derived proxies separately if at all</w:t>
      </w:r>
      <w:r>
        <w:rPr>
          <w:rFonts w:ascii="Times New Roman" w:hAnsi="Times New Roman"/>
          <w:sz w:val="20"/>
        </w:rPr>
        <w:t xml:space="preserve"> — statistics such as mean brightness require decoding and are not independent of content, so they belong in their own row, as in Table 2.</w:t>
      </w:r>
    </w:p>
    <w:p>
      <w:pPr>
        <w:pStyle w:val="ListNumber"/>
        <w:spacing w:after="40" w:line="240" w:lineRule="exact"/>
      </w:pPr>
      <w:r>
        <w:rPr>
          <w:rFonts w:ascii="Times New Roman" w:hAnsi="Times New Roman"/>
          <w:b/>
          <w:sz w:val="20"/>
        </w:rPr>
        <w:t>Interpret against what the score licenses, not a threshold.</w:t>
      </w:r>
      <w:r>
        <w:rPr>
          <w:rFonts w:ascii="Times New Roman" w:hAnsi="Times New Roman"/>
          <w:sz w:val="20"/>
        </w:rPr>
        <w:t xml:space="preserve"> It establishes the </w:t>
      </w:r>
      <w:r>
        <w:rPr>
          <w:rFonts w:ascii="Times New Roman" w:hAnsi="Times New Roman"/>
          <w:i/>
          <w:sz w:val="20"/>
        </w:rPr>
        <w:t>availability</w:t>
      </w:r>
      <w:r>
        <w:rPr>
          <w:rFonts w:ascii="Times New Roman" w:hAnsi="Times New Roman"/>
          <w:sz w:val="20"/>
        </w:rPr>
        <w:t xml:space="preserve"> of a provenance shortcut, not that any model took it, and we publish no threshold because five scorable datasets cannot support a false-positive rate.</w:t>
      </w:r>
    </w:p>
    <w:p>
      <w:pPr>
        <w:spacing w:after="0" w:before="0" w:line="240" w:lineRule="exact"/>
        <w:ind w:firstLine="202"/>
        <w:jc w:val="both"/>
      </w:pPr>
      <w:r>
        <w:rPr>
          <w:rFonts w:ascii="Times New Roman" w:hAnsi="Times New Roman"/>
          <w:b/>
          <w:sz w:val="20"/>
        </w:rPr>
        <w:t>Outputs.</w:t>
      </w:r>
      <w:r>
        <w:rPr>
          <w:rFonts w:ascii="Times New Roman" w:hAnsi="Times New Roman"/>
          <w:sz w:val="20"/>
        </w:rPr>
        <w:t xml:space="preserve"> A score at chance says these features found no acquisition asymmetry — not that the dataset is clean, since a publisher who normalized the archive before release destroys the traces without touching the confound. A middling score on the mixed axes is a reason to investigate and may reflect a content difference. A high score on format means acquisition determines the label, and from there no in-distribution accuracy on that dataset can distinguish the intended task from provenance recognition.</w:t>
      </w:r>
    </w:p>
    <w:p>
      <w:pPr>
        <w:spacing w:after="0" w:before="0" w:line="240" w:lineRule="exact"/>
        <w:ind w:firstLine="202"/>
        <w:jc w:val="both"/>
      </w:pPr>
      <w:r>
        <w:rPr>
          <w:rFonts w:ascii="Times New Roman" w:hAnsi="Times New Roman"/>
          <w:b/>
          <w:sz w:val="20"/>
        </w:rPr>
        <w:t>The score does not order datasets by severity.</w:t>
      </w:r>
      <w:r>
        <w:rPr>
          <w:rFonts w:ascii="Times New Roman" w:hAnsi="Times New Roman"/>
          <w:sz w:val="20"/>
        </w:rPr>
        <w:t xml:space="preserve"> It is a lower bound on the predictability of the acquisition variables examined, on the partition used. A low score on files altered after collection does not imply the absence of a confound, and a higher score does not mean a more severe one: the Roboflow archive scores </w:t>
      </w:r>
      <w:r>
        <w:rPr>
          <w:rFonts w:ascii="Times New Roman" w:hAnsi="Times New Roman"/>
          <w:i/>
          <w:sz w:val="20"/>
        </w:rPr>
        <w:t>below</w:t>
      </w:r>
      <w:r>
        <w:rPr>
          <w:rFonts w:ascii="Times New Roman" w:hAnsi="Times New Roman"/>
          <w:sz w:val="20"/>
        </w:rPr>
        <w:t xml:space="preserve"> the signature corpus on the full feature set while being confounded far more severely, the first carrying the ground-truth word inside its pixels and the second captured for both classes by one procedure. The score is a trigger for investigation, and the investigation settles severity.</w:t>
      </w:r>
    </w:p>
    <w:p>
      <w:pPr>
        <w:spacing w:after="0" w:before="0" w:line="240" w:lineRule="exact"/>
        <w:ind w:firstLine="202"/>
        <w:jc w:val="both"/>
      </w:pPr>
      <w:r>
        <w:rPr>
          <w:rFonts w:ascii="Times New Roman" w:hAnsi="Times New Roman"/>
          <w:b/>
          <w:sz w:val="20"/>
        </w:rPr>
        <w:t>Two companion checks the audit does not replace</w:t>
      </w:r>
      <w:r>
        <w:rPr>
          <w:rFonts w:ascii="Times New Roman" w:hAnsi="Times New Roman"/>
          <w:sz w:val="20"/>
        </w:rPr>
        <w:t>, each having caught something it missed on our own data: a content pass over a sample of each class (Section S-I-A), which identified the modality confound of Section III-A, and cross-source near-duplicate hashing, which established that two sources treated as independent were not. Section V-B sets out the taxonomy these three checks jointly cover.</w:t>
      </w:r>
    </w:p>
    <w:p>
      <w:pPr>
        <w:keepNext/>
        <w:spacing w:before="160" w:after="60" w:line="240" w:lineRule="exact"/>
        <w:jc w:val="left"/>
      </w:pPr>
      <w:r>
        <w:rPr>
          <w:rFonts w:ascii="Arial" w:hAnsi="Arial"/>
          <w:b/>
          <w:i/>
          <w:color w:val="000000"/>
          <w:sz w:val="18"/>
        </w:rPr>
        <w:t>F. EXPLORATORY NORMALIZATION</w:t>
      </w:r>
    </w:p>
    <w:p>
      <w:pPr>
        <w:spacing w:after="0" w:before="0" w:line="240" w:lineRule="exact"/>
        <w:ind w:firstLine="202"/>
        <w:jc w:val="both"/>
      </w:pPr>
      <w:r>
        <w:rPr>
          <w:rFonts w:ascii="Times New Roman" w:hAnsi="Times New Roman"/>
          <w:sz w:val="20"/>
        </w:rPr>
        <w:t xml:space="preserve">The audit of Section IV-A names three acquisition statistics on which the pool and condition C separate. To test whether intervening on them changes the external result, three label-free operators are composed in a fixed order. Let </w:t>
      </w:r>
      <w:r>
        <w:rPr>
          <w:rFonts w:ascii="Times New Roman" w:hAnsi="Times New Roman"/>
          <w:i/>
          <w:sz w:val="20"/>
        </w:rPr>
        <w:t>x</w:t>
      </w:r>
      <w:r>
        <w:rPr>
          <w:rFonts w:ascii="Times New Roman" w:hAnsi="Times New Roman"/>
          <w:sz w:val="20"/>
        </w:rPr>
        <w:t xml:space="preserve"> be a decoded RGB image with dimensions </w:t>
      </w:r>
      <w:r>
        <w:rPr>
          <w:rFonts w:ascii="Times New Roman" w:hAnsi="Times New Roman"/>
          <w:i/>
          <w:sz w:val="20"/>
        </w:rPr>
        <w:t>W × H</w:t>
      </w:r>
      <w:r>
        <w:rPr>
          <w:rFonts w:ascii="Times New Roman" w:hAnsi="Times New Roman"/>
          <w:sz w:val="20"/>
        </w:rPr>
        <w:t>.</w:t>
      </w:r>
    </w:p>
    <w:p>
      <w:pPr>
        <w:spacing w:after="0" w:before="0" w:line="240" w:lineRule="exact"/>
        <w:ind w:firstLine="202"/>
        <w:jc w:val="both"/>
      </w:pPr>
      <w:r>
        <w:rPr>
          <w:rFonts w:ascii="Times New Roman" w:hAnsi="Times New Roman"/>
          <w:b/>
          <w:sz w:val="20"/>
        </w:rPr>
        <w:t>Resolution bottleneck.</w:t>
      </w:r>
      <w:r>
        <w:rPr>
          <w:rFonts w:ascii="Times New Roman" w:hAnsi="Times New Roman"/>
          <w:sz w:val="20"/>
        </w:rPr>
        <w:t xml:space="preserve"> Cap the short side at </w:t>
      </w:r>
      <w:r>
        <w:rPr>
          <w:rFonts w:ascii="Times New Roman" w:hAnsi="Times New Roman"/>
          <w:i/>
          <w:sz w:val="20"/>
        </w:rPr>
        <w:t>s = 128</w:t>
      </w:r>
      <w:r>
        <w:rPr>
          <w:rFonts w:ascii="Times New Roman" w:hAnsi="Times New Roman"/>
          <w:sz w:val="20"/>
        </w:rPr>
        <w:t xml:space="preserve"> px, chosen to sit below the 10th percentile of the Kaggle pool's own short-side distribution so the bottleneck binds for nearly every image in both sources:</w:t>
      </w:r>
    </w:p>
    <w:p>
      <w:pPr>
        <w:tabs>
          <w:tab w:pos="4835" w:val="right"/>
        </w:tabs>
        <w:spacing w:before="80" w:after="80"/>
        <w:jc w:val="center"/>
      </w:pPr>
      <w:r>
        <w:rPr>
          <w:rFonts w:ascii="Times New Roman" w:hAnsi="Times New Roman"/>
          <w:i/>
          <w:sz w:val="20"/>
        </w:rPr>
        <w:t>T_(res)(x) = {  x   if  min(W, H) ≤ s  ;   resize(x,  λ W,  λ H),   λ = (s)/(min(W,H))   otherwise  }</w:t>
      </w:r>
      <w:r>
        <w:rPr>
          <w:rFonts w:ascii="Times New Roman" w:hAnsi="Times New Roman"/>
          <w:sz w:val="20"/>
        </w:rPr>
        <w:tab/>
        <w:t>(5)</w:t>
      </w:r>
    </w:p>
    <w:p>
      <w:pPr>
        <w:spacing w:after="0" w:before="0" w:line="240" w:lineRule="exact"/>
        <w:ind w:firstLine="202"/>
        <w:jc w:val="both"/>
      </w:pPr>
      <w:r>
        <w:rPr>
          <w:rFonts w:ascii="Times New Roman" w:hAnsi="Times New Roman"/>
          <w:b/>
          <w:sz w:val="20"/>
        </w:rPr>
        <w:t>Brightness rescale.</w:t>
      </w:r>
      <w:r>
        <w:rPr>
          <w:rFonts w:ascii="Times New Roman" w:hAnsi="Times New Roman"/>
          <w:sz w:val="20"/>
        </w:rPr>
        <w:t xml:space="preserve"> Scale to a fixed target mean </w:t>
      </w:r>
      <w:r>
        <w:rPr>
          <w:rFonts w:ascii="Times New Roman" w:hAnsi="Times New Roman"/>
          <w:i/>
          <w:sz w:val="20"/>
        </w:rPr>
        <w:t>μ^* = 0.5</w:t>
      </w:r>
      <w:r>
        <w:rPr>
          <w:rFonts w:ascii="Times New Roman" w:hAnsi="Times New Roman"/>
          <w:sz w:val="20"/>
        </w:rPr>
        <w:t xml:space="preserve"> and clip:</w:t>
      </w:r>
    </w:p>
    <w:p>
      <w:pPr>
        <w:tabs>
          <w:tab w:pos="4835" w:val="right"/>
        </w:tabs>
        <w:spacing w:before="80" w:after="80"/>
        <w:jc w:val="center"/>
      </w:pPr>
      <w:r>
        <w:rPr>
          <w:rFonts w:ascii="Times New Roman" w:hAnsi="Times New Roman"/>
          <w:i/>
          <w:sz w:val="20"/>
        </w:rPr>
        <w:t>T_(bright)(x) = clip( x · (μ^*)/(x̄),  0,  1 ),   x̄ = (1)/(3HW)Σ_(c,i,j) x^((c))_(ij)</w:t>
      </w:r>
      <w:r>
        <w:rPr>
          <w:rFonts w:ascii="Times New Roman" w:hAnsi="Times New Roman"/>
          <w:sz w:val="20"/>
        </w:rPr>
        <w:tab/>
        <w:t>(6)</w:t>
      </w:r>
    </w:p>
    <w:p>
      <w:pPr>
        <w:spacing w:after="0" w:before="0" w:line="240" w:lineRule="exact"/>
        <w:ind w:firstLine="202"/>
        <w:jc w:val="both"/>
      </w:pPr>
      <w:r>
        <w:rPr>
          <w:rFonts w:ascii="Times New Roman" w:hAnsi="Times New Roman"/>
          <w:b/>
          <w:sz w:val="20"/>
        </w:rPr>
        <w:t>Compression bottleneck.</w:t>
      </w:r>
      <w:r>
        <w:rPr>
          <w:rFonts w:ascii="Times New Roman" w:hAnsi="Times New Roman"/>
          <w:sz w:val="20"/>
        </w:rPr>
        <w:t xml:space="preserve"> Re-encode through JPEG compression at fixed quality </w:t>
      </w:r>
      <w:r>
        <w:rPr>
          <w:rFonts w:ascii="Times New Roman" w:hAnsi="Times New Roman"/>
          <w:i/>
          <w:sz w:val="20"/>
        </w:rPr>
        <w:t>q = 40</w:t>
      </w:r>
      <w:r>
        <w:rPr>
          <w:rFonts w:ascii="Times New Roman" w:hAnsi="Times New Roman"/>
          <w:sz w:val="20"/>
        </w:rPr>
        <w:t xml:space="preserve"> and decode back, imposing a common quantization-artifact floor:</w:t>
      </w:r>
    </w:p>
    <w:p>
      <w:pPr>
        <w:tabs>
          <w:tab w:pos="4835" w:val="right"/>
        </w:tabs>
        <w:spacing w:before="80" w:after="80"/>
        <w:jc w:val="center"/>
      </w:pPr>
      <w:r>
        <w:rPr>
          <w:rFonts w:ascii="Times New Roman" w:hAnsi="Times New Roman"/>
          <w:i/>
          <w:sz w:val="20"/>
        </w:rPr>
        <w:t>T_(comp)(x) = decode_(JPEG)(encode_(JPEG)(x,  q))</w:t>
      </w:r>
      <w:r>
        <w:rPr>
          <w:rFonts w:ascii="Times New Roman" w:hAnsi="Times New Roman"/>
          <w:sz w:val="20"/>
        </w:rPr>
        <w:tab/>
        <w:t>(7)</w:t>
      </w:r>
    </w:p>
    <w:p>
      <w:pPr>
        <w:spacing w:after="0" w:before="0" w:line="240" w:lineRule="exact"/>
        <w:ind w:firstLine="202"/>
        <w:jc w:val="both"/>
      </w:pPr>
      <w:r>
        <w:rPr>
          <w:rFonts w:ascii="Times New Roman" w:hAnsi="Times New Roman"/>
          <w:sz w:val="20"/>
        </w:rPr>
        <w:t>The composed operator is</w:t>
      </w:r>
    </w:p>
    <w:p>
      <w:pPr>
        <w:tabs>
          <w:tab w:pos="4835" w:val="right"/>
        </w:tabs>
        <w:spacing w:before="80" w:after="80"/>
        <w:jc w:val="center"/>
      </w:pPr>
      <w:r>
        <w:rPr>
          <w:rFonts w:ascii="Times New Roman" w:hAnsi="Times New Roman"/>
          <w:i/>
          <w:sz w:val="20"/>
        </w:rPr>
        <w:t>T(x) = T_(comp) ∘ T_(bright) ∘ T_(res) (x)</w:t>
      </w:r>
      <w:r>
        <w:rPr>
          <w:rFonts w:ascii="Times New Roman" w:hAnsi="Times New Roman"/>
          <w:sz w:val="20"/>
        </w:rPr>
        <w:tab/>
        <w:t>(8)</w:t>
      </w:r>
    </w:p>
    <w:p>
      <w:pPr>
        <w:spacing w:after="0" w:before="0" w:line="240" w:lineRule="exact"/>
        <w:ind w:firstLine="202"/>
        <w:jc w:val="both"/>
      </w:pPr>
      <w:r>
        <w:rPr>
          <w:rFonts w:ascii="Times New Roman" w:hAnsi="Times New Roman"/>
          <w:sz w:val="20"/>
        </w:rPr>
        <w:t xml:space="preserve">applied inside the dataset class, before augmentation and before the network's input transform, identically for training, validation, in-distribution test and external partitions. Three properties matter. </w:t>
      </w:r>
      <w:r>
        <w:rPr>
          <w:rFonts w:ascii="Times New Roman" w:hAnsi="Times New Roman"/>
          <w:i/>
          <w:sz w:val="20"/>
        </w:rPr>
        <w:t>T</w:t>
      </w:r>
      <w:r>
        <w:rPr>
          <w:rFonts w:ascii="Times New Roman" w:hAnsi="Times New Roman"/>
          <w:sz w:val="20"/>
        </w:rPr>
        <w:t xml:space="preserve"> is </w:t>
      </w:r>
      <w:r>
        <w:rPr>
          <w:rFonts w:ascii="Times New Roman" w:hAnsi="Times New Roman"/>
          <w:b/>
          <w:sz w:val="20"/>
        </w:rPr>
        <w:t>label-free</w:t>
      </w:r>
      <w:r>
        <w:rPr>
          <w:rFonts w:ascii="Times New Roman" w:hAnsi="Times New Roman"/>
          <w:sz w:val="20"/>
        </w:rPr>
        <w:t xml:space="preserve"> — nothing in (5)–(7) references </w:t>
      </w:r>
      <w:r>
        <w:rPr>
          <w:rFonts w:ascii="Times New Roman" w:hAnsi="Times New Roman"/>
          <w:i/>
          <w:sz w:val="20"/>
        </w:rPr>
        <w:t>y</w:t>
      </w:r>
      <w:r>
        <w:rPr>
          <w:rFonts w:ascii="Times New Roman" w:hAnsi="Times New Roman"/>
          <w:sz w:val="20"/>
        </w:rPr>
        <w:t xml:space="preserve"> — so applying it to the external set is not an oracle. It is </w:t>
      </w:r>
      <w:r>
        <w:rPr>
          <w:rFonts w:ascii="Times New Roman" w:hAnsi="Times New Roman"/>
          <w:b/>
          <w:sz w:val="20"/>
        </w:rPr>
        <w:t>deterministic and applicable identically during training and inference</w:t>
      </w:r>
      <w:r>
        <w:rPr>
          <w:rFonts w:ascii="Times New Roman" w:hAnsi="Times New Roman"/>
          <w:sz w:val="20"/>
        </w:rPr>
        <w:t xml:space="preserve">: a fixed preprocessing function, not a train-time-only trick. And it is </w:t>
      </w:r>
      <w:r>
        <w:rPr>
          <w:rFonts w:ascii="Times New Roman" w:hAnsi="Times New Roman"/>
          <w:b/>
          <w:sz w:val="20"/>
        </w:rPr>
        <w:t>destructive</w:t>
      </w:r>
      <w:r>
        <w:rPr>
          <w:rFonts w:ascii="Times New Roman" w:hAnsi="Times New Roman"/>
          <w:sz w:val="20"/>
        </w:rPr>
        <w:t xml:space="preserve"> by design, removing information a model might legitimately use, which is why its effect must be measured per architecture rather than assumed. M1 bypasses the operator, an exclusion that is empirical: normalization collapses its in-distribution accuracy toward chance while recovering nothing externally (Section S-I-O).</w:t>
      </w:r>
    </w:p>
    <w:p>
      <w:pPr>
        <w:spacing w:after="0" w:before="0" w:line="240" w:lineRule="exact"/>
        <w:ind w:firstLine="202"/>
        <w:jc w:val="both"/>
      </w:pPr>
      <w:r>
        <w:rPr>
          <w:rFonts w:ascii="Times New Roman" w:hAnsi="Times New Roman"/>
          <w:b/>
          <w:sz w:val="20"/>
        </w:rPr>
        <w:t>This experiment is exploratory, and it is an instrument rather than a proposal.</w:t>
      </w:r>
      <w:r>
        <w:rPr>
          <w:rFonts w:ascii="Times New Roman" w:hAnsi="Times New Roman"/>
          <w:sz w:val="20"/>
        </w:rPr>
        <w:t xml:space="preserve"> The three axes were selected </w:t>
      </w:r>
      <w:r>
        <w:rPr>
          <w:rFonts w:ascii="Times New Roman" w:hAnsi="Times New Roman"/>
          <w:i/>
          <w:sz w:val="20"/>
        </w:rPr>
        <w:t>after</w:t>
      </w:r>
      <w:r>
        <w:rPr>
          <w:rFonts w:ascii="Times New Roman" w:hAnsi="Times New Roman"/>
          <w:sz w:val="20"/>
        </w:rPr>
        <w:t xml:space="preserve"> Table 1 showed those statistics separating the training pool from condition C, so for this experiment alone condition C is target-informed development data rather than an untouched external set. The order in (8) was the order the operators were written in, fixed before any was evaluated, with no theoretical argument behind it. We therefore treat (8) as one pre-specified experimental operator, not as a proposed or optimized algorithm; its purpose is to test whether intervening on the audited statistics changes the external result, and what the corrected models then rely on. Section S-I-S re-derives the same axes from the training partition alone under a threshold declared in advance, and Section S-VII runs the operator that rule nominates end to end.</w:t>
      </w:r>
    </w:p>
    <w:p>
      <w:pPr>
        <w:keepNext/>
        <w:spacing w:before="160" w:after="60" w:line="240" w:lineRule="exact"/>
        <w:jc w:val="left"/>
      </w:pPr>
      <w:r>
        <w:rPr>
          <w:rFonts w:ascii="Arial" w:hAnsi="Arial"/>
          <w:b/>
          <w:i/>
          <w:color w:val="000000"/>
          <w:sz w:val="18"/>
        </w:rPr>
        <w:t>G. PROBING WHAT A CORRECTED MODEL USES</w:t>
      </w:r>
    </w:p>
    <w:p>
      <w:pPr>
        <w:spacing w:after="0" w:before="0" w:line="240" w:lineRule="exact"/>
        <w:ind w:firstLine="202"/>
        <w:jc w:val="both"/>
      </w:pPr>
      <w:r>
        <w:rPr>
          <w:rFonts w:ascii="Times New Roman" w:hAnsi="Times New Roman"/>
          <w:sz w:val="20"/>
        </w:rPr>
        <w:t>Two annotation-free probes and one attribution method are applied to the corrected models; Section S-I-J reports all three in full.</w:t>
      </w:r>
    </w:p>
    <w:p>
      <w:pPr>
        <w:spacing w:after="0" w:before="0" w:line="240" w:lineRule="exact"/>
        <w:ind w:firstLine="202"/>
        <w:jc w:val="both"/>
      </w:pPr>
      <w:r>
        <w:rPr>
          <w:rFonts w:ascii="Times New Roman" w:hAnsi="Times New Roman"/>
          <w:b/>
          <w:sz w:val="20"/>
        </w:rPr>
        <w:t>Region substitution</w:t>
      </w:r>
      <w:r>
        <w:rPr>
          <w:rFonts w:ascii="Times New Roman" w:hAnsi="Times New Roman"/>
          <w:sz w:val="20"/>
        </w:rPr>
        <w:t xml:space="preserve"> is the primary probe and the only one that intervenes on the input. One region of each external image's production-pipeline input is overwritten before the forward pass: a center square covering half the frame, or its complement. The two are area-matched to within half a point, which is what makes the comparison readable, since substituting a region is itself a distribution shift and only the asymmetry between the two directions is interpretable. Two fills are used because they fail differently: the ImageNet channel mean, flat, and Gaussian noise, high-entropy. The intact condition reproduces each model's specificity of record before anything is reported.</w:t>
      </w:r>
    </w:p>
    <w:p>
      <w:pPr>
        <w:spacing w:after="0" w:before="0" w:line="240" w:lineRule="exact"/>
        <w:ind w:firstLine="202"/>
        <w:jc w:val="both"/>
      </w:pPr>
      <w:r>
        <w:rPr>
          <w:rFonts w:ascii="Times New Roman" w:hAnsi="Times New Roman"/>
          <w:b/>
          <w:sz w:val="20"/>
        </w:rPr>
        <w:t>Occlusion sensitivity</w:t>
      </w:r>
      <w:r>
        <w:rPr>
          <w:rFonts w:ascii="Times New Roman" w:hAnsi="Times New Roman"/>
          <w:sz w:val="20"/>
        </w:rPr>
        <w:t xml:space="preserve"> is annotation-free and runs over every external image, producing the fraction of decision-relevant mass falling in a border ring against a 0.642 uniform reference. A qualitative </w:t>
      </w:r>
      <w:r>
        <w:rPr>
          <w:rFonts w:ascii="Times New Roman" w:hAnsi="Times New Roman"/>
          <w:b/>
          <w:sz w:val="20"/>
        </w:rPr>
        <w:t>Grad-CAM</w:t>
      </w:r>
      <w:r>
        <w:rPr>
          <w:rFonts w:ascii="Times New Roman" w:hAnsi="Times New Roman"/>
          <w:sz w:val="20"/>
        </w:rPr>
        <w:t xml:space="preserve"> [15] categorization — 62 maps placed in one of three categories by a single annotator, with no inter-rater agreement — was also performed; it is not a reproducible measurement, no claim rests on it, and it is reported in Section S-I-J only. We call these </w:t>
      </w:r>
      <w:r>
        <w:rPr>
          <w:rFonts w:ascii="Times New Roman" w:hAnsi="Times New Roman"/>
          <w:i/>
          <w:sz w:val="20"/>
        </w:rPr>
        <w:t>attribution</w:t>
      </w:r>
      <w:r>
        <w:rPr>
          <w:rFonts w:ascii="Times New Roman" w:hAnsi="Times New Roman"/>
          <w:sz w:val="20"/>
        </w:rPr>
        <w:t xml:space="preserve"> rather than </w:t>
      </w:r>
      <w:r>
        <w:rPr>
          <w:rFonts w:ascii="Times New Roman" w:hAnsi="Times New Roman"/>
          <w:i/>
          <w:sz w:val="20"/>
        </w:rPr>
        <w:t>attention</w:t>
      </w:r>
      <w:r>
        <w:rPr>
          <w:rFonts w:ascii="Times New Roman" w:hAnsi="Times New Roman"/>
          <w:sz w:val="20"/>
        </w:rPr>
        <w:t xml:space="preserve"> analyses, since neither is an attention mechanism.</w:t>
      </w:r>
    </w:p>
    <w:p>
      <w:pPr>
        <w:spacing w:after="0" w:before="0" w:line="240" w:lineRule="exact"/>
        <w:ind w:firstLine="202"/>
        <w:jc w:val="both"/>
      </w:pPr>
      <w:r>
        <w:rPr>
          <w:rFonts w:ascii="Times New Roman" w:hAnsi="Times New Roman"/>
          <w:sz w:val="20"/>
        </w:rPr>
        <w:t xml:space="preserve">Attribution for the linear baseline uses an exact logit decomposition. For a linear model, the contribution of feature </w:t>
      </w:r>
      <w:r>
        <w:rPr>
          <w:rFonts w:ascii="Times New Roman" w:hAnsi="Times New Roman"/>
          <w:i/>
          <w:sz w:val="20"/>
        </w:rPr>
        <w:t>i</w:t>
      </w:r>
      <w:r>
        <w:rPr>
          <w:rFonts w:ascii="Times New Roman" w:hAnsi="Times New Roman"/>
          <w:sz w:val="20"/>
        </w:rPr>
        <w:t xml:space="preserve"> to the logit of instance </w:t>
      </w:r>
      <w:r>
        <w:rPr>
          <w:rFonts w:ascii="Times New Roman" w:hAnsi="Times New Roman"/>
          <w:i/>
          <w:sz w:val="20"/>
        </w:rPr>
        <w:t>x</w:t>
      </w:r>
      <w:r>
        <w:rPr>
          <w:rFonts w:ascii="Times New Roman" w:hAnsi="Times New Roman"/>
          <w:sz w:val="20"/>
        </w:rPr>
        <w:t>, relative to a background mean, is</w:t>
      </w:r>
    </w:p>
    <w:p>
      <w:pPr>
        <w:tabs>
          <w:tab w:pos="4835" w:val="right"/>
        </w:tabs>
        <w:spacing w:before="80" w:after="80"/>
        <w:jc w:val="center"/>
      </w:pPr>
      <w:r>
        <w:rPr>
          <w:rFonts w:ascii="Times New Roman" w:hAnsi="Times New Roman"/>
          <w:i/>
          <w:sz w:val="20"/>
        </w:rPr>
        <w:t>φ_i(x) = w_i(φ_i(x) - E[φ_i])</w:t>
      </w:r>
      <w:r>
        <w:rPr>
          <w:rFonts w:ascii="Times New Roman" w:hAnsi="Times New Roman"/>
          <w:sz w:val="20"/>
        </w:rPr>
        <w:tab/>
        <w:t>(9)</w:t>
      </w:r>
    </w:p>
    <w:p>
      <w:pPr>
        <w:spacing w:after="0" w:before="0" w:line="240" w:lineRule="exact"/>
        <w:ind w:firstLine="202"/>
        <w:jc w:val="both"/>
      </w:pPr>
      <w:r>
        <w:rPr>
          <w:rFonts w:ascii="Times New Roman" w:hAnsi="Times New Roman"/>
          <w:sz w:val="20"/>
        </w:rPr>
        <w:t xml:space="preserve">so no sampling approximation is needed; </w:t>
      </w:r>
      <w:r>
        <w:rPr>
          <w:rFonts w:ascii="Times New Roman" w:hAnsi="Times New Roman"/>
          <w:i/>
          <w:sz w:val="20"/>
        </w:rPr>
        <w:t>E[φ_i]</w:t>
      </w:r>
      <w:r>
        <w:rPr>
          <w:rFonts w:ascii="Times New Roman" w:hAnsi="Times New Roman"/>
          <w:sz w:val="20"/>
        </w:rPr>
        <w:t xml:space="preserve"> is taken over the Split B training partition and </w:t>
      </w:r>
      <w:r>
        <w:rPr>
          <w:rFonts w:ascii="Times New Roman" w:hAnsi="Times New Roman"/>
          <w:i/>
          <w:sz w:val="20"/>
        </w:rPr>
        <w:t>|φ_i|̄</w:t>
      </w:r>
      <w:r>
        <w:rPr>
          <w:rFonts w:ascii="Times New Roman" w:hAnsi="Times New Roman"/>
          <w:sz w:val="20"/>
        </w:rPr>
        <w:t xml:space="preserve"> over its test partition reported as global importance. Eq. (9) coincides with the linear SHAP form of [16] under an independent-feature background, but histogram bins are not independent — the 32 bins of a channel sum to one by construction — so we do not call it a Shapley value; we call it an </w:t>
      </w:r>
      <w:r>
        <w:rPr>
          <w:rFonts w:ascii="Times New Roman" w:hAnsi="Times New Roman"/>
          <w:b/>
          <w:sz w:val="20"/>
        </w:rPr>
        <w:t>exact linear logit decomposition</w:t>
      </w:r>
      <w:r>
        <w:rPr>
          <w:rFonts w:ascii="Times New Roman" w:hAnsi="Times New Roman"/>
          <w:sz w:val="20"/>
        </w:rPr>
        <w:t xml:space="preserve"> and report the raw coefficients alongside it (Section S-I-P).</w:t>
      </w:r>
    </w:p>
    <w:p>
      <w:pPr>
        <w:keepNext/>
        <w:spacing w:before="200" w:after="60" w:line="240" w:lineRule="exact"/>
        <w:jc w:val="left"/>
      </w:pPr>
      <w:r>
        <w:rPr>
          <w:rFonts w:ascii="Arial" w:hAnsi="Arial"/>
          <w:b/>
          <w:i w:val="0"/>
          <w:color w:val="00548F"/>
          <w:sz w:val="18"/>
        </w:rPr>
        <w:t>IV. RESULTS</w:t>
      </w:r>
    </w:p>
    <w:p>
      <w:pPr>
        <w:spacing w:after="0" w:before="0" w:line="240" w:lineRule="exact"/>
        <w:ind w:firstLine="202"/>
        <w:jc w:val="both"/>
      </w:pPr>
      <w:r>
        <w:rPr>
          <w:rFonts w:ascii="Times New Roman" w:hAnsi="Times New Roman"/>
          <w:sz w:val="20"/>
        </w:rPr>
        <w:t xml:space="preserve">All results come from the deterministic pipeline and its persisted checkpoints, except where a table explicitly reports a baseline condition for contrast. Complete machine-readable tables are in </w:t>
      </w:r>
      <w:r>
        <w:rPr>
          <w:rFonts w:ascii="Consolas" w:hAnsi="Consolas"/>
          <w:sz w:val="18"/>
        </w:rPr>
        <w:t>paper/tables/</w:t>
      </w:r>
      <w:r>
        <w:rPr>
          <w:rFonts w:ascii="Times New Roman" w:hAnsi="Times New Roman"/>
          <w:sz w:val="20"/>
        </w:rPr>
        <w:t>.</w:t>
      </w:r>
    </w:p>
    <w:p>
      <w:pPr>
        <w:spacing w:after="0" w:before="0" w:line="240" w:lineRule="exact"/>
        <w:ind w:firstLine="202"/>
        <w:jc w:val="both"/>
      </w:pPr>
      <w:r>
        <w:rPr>
          <w:rFonts w:ascii="Times New Roman" w:hAnsi="Times New Roman"/>
          <w:b/>
          <w:sz w:val="20"/>
        </w:rPr>
        <w:t>Three tiers of evidence are reported here, and the distinction governs how each result should be weighted.</w:t>
      </w:r>
      <w:r>
        <w:rPr>
          <w:rFonts w:ascii="Times New Roman" w:hAnsi="Times New Roman"/>
          <w:sz w:val="20"/>
        </w:rPr>
        <w:t xml:space="preserve"> The first tier was fixed by the protocol before any of it ran. The second was specified in full before the data it is measured on existed, but was not pre-registered. The third was developed after the external failure was observed (Section S-I-F). No claim in Sections V–VI rests on the third tier alone.</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r>
              <w:rPr>
                <w:rFonts w:ascii="Arial" w:hAnsi="Arial"/>
                <w:b/>
                <w:sz w:val="14"/>
              </w:rPr>
              <w:t>Tier</w:t>
            </w:r>
          </w:p>
        </w:tc>
        <w:tc>
          <w:tcPr>
            <w:tcW w:type="dxa" w:w="3355"/>
            <w:shd w:val="clear" w:color="auto" w:fill="DCE6EF"/>
          </w:tcPr>
          <w:p>
            <w:pPr>
              <w:spacing w:after="20" w:before="20"/>
              <w:jc w:val="center"/>
            </w:pPr>
            <w:r>
              <w:rPr>
                <w:b/>
              </w:rPr>
            </w:r>
            <w:r>
              <w:rPr>
                <w:rFonts w:ascii="Arial" w:hAnsi="Arial"/>
                <w:b/>
                <w:sz w:val="14"/>
              </w:rPr>
              <w:t>What it covers</w:t>
            </w:r>
          </w:p>
        </w:tc>
        <w:tc>
          <w:tcPr>
            <w:tcW w:type="dxa" w:w="3355"/>
            <w:shd w:val="clear" w:color="auto" w:fill="DCE6EF"/>
          </w:tcPr>
          <w:p>
            <w:pPr>
              <w:spacing w:after="20" w:before="20"/>
              <w:jc w:val="center"/>
            </w:pPr>
            <w:r>
              <w:rPr>
                <w:b/>
              </w:rPr>
            </w:r>
            <w:r>
              <w:rPr>
                <w:rFonts w:ascii="Arial" w:hAnsi="Arial"/>
                <w:b/>
                <w:sz w:val="14"/>
              </w:rPr>
              <w:t>Where</w:t>
            </w:r>
          </w:p>
        </w:tc>
      </w:tr>
      <w:tr>
        <w:tc>
          <w:tcPr>
            <w:tcW w:type="dxa" w:w="3355"/>
          </w:tcPr>
          <w:p>
            <w:pPr>
              <w:spacing w:after="20" w:before="20"/>
              <w:jc w:val="left"/>
            </w:pPr>
            <w:r/>
            <w:r>
              <w:rPr>
                <w:rFonts w:ascii="Arial" w:hAnsi="Arial"/>
                <w:b/>
                <w:sz w:val="14"/>
              </w:rPr>
              <w:t>Confirmatory</w:t>
            </w:r>
            <w:r>
              <w:rPr>
                <w:rFonts w:ascii="Arial" w:hAnsi="Arial"/>
                <w:sz w:val="14"/>
              </w:rPr>
              <w:t xml:space="preserve"> (pre-specified)</w:t>
            </w:r>
          </w:p>
        </w:tc>
        <w:tc>
          <w:tcPr>
            <w:tcW w:type="dxa" w:w="3355"/>
          </w:tcPr>
          <w:p>
            <w:pPr>
              <w:spacing w:after="20" w:before="20"/>
              <w:jc w:val="center"/>
            </w:pPr>
            <w:r/>
            <w:r>
              <w:rPr>
                <w:rFonts w:ascii="Arial" w:hAnsi="Arial"/>
                <w:sz w:val="14"/>
              </w:rPr>
              <w:t>The provenance audit; the Split A vs. Split B comparison and the paired leakage experiment; the baseline external evaluation of the four models on condition C</w:t>
            </w:r>
          </w:p>
        </w:tc>
        <w:tc>
          <w:tcPr>
            <w:tcW w:type="dxa" w:w="3355"/>
          </w:tcPr>
          <w:p>
            <w:pPr>
              <w:spacing w:after="20" w:before="20"/>
              <w:jc w:val="center"/>
            </w:pPr>
            <w:r/>
            <w:r>
              <w:rPr>
                <w:rFonts w:ascii="Arial" w:hAnsi="Arial"/>
                <w:sz w:val="14"/>
              </w:rPr>
              <w:t>Sections IV-A, IV-B, and the baseline column of Table 5</w:t>
            </w:r>
          </w:p>
        </w:tc>
      </w:tr>
      <w:tr>
        <w:tc>
          <w:tcPr>
            <w:tcW w:type="dxa" w:w="3355"/>
          </w:tcPr>
          <w:p>
            <w:pPr>
              <w:spacing w:after="20" w:before="20"/>
              <w:jc w:val="left"/>
            </w:pPr>
            <w:r/>
            <w:r>
              <w:rPr>
                <w:rFonts w:ascii="Arial" w:hAnsi="Arial"/>
                <w:b/>
                <w:sz w:val="14"/>
              </w:rPr>
              <w:t>Protocol-fixed</w:t>
            </w:r>
            <w:r>
              <w:rPr>
                <w:rFonts w:ascii="Arial" w:hAnsi="Arial"/>
                <w:sz w:val="14"/>
              </w:rPr>
              <w:t xml:space="preserve"> (frozen before the data existed)</w:t>
            </w:r>
          </w:p>
        </w:tc>
        <w:tc>
          <w:tcPr>
            <w:tcW w:type="dxa" w:w="3355"/>
          </w:tcPr>
          <w:p>
            <w:pPr>
              <w:spacing w:after="20" w:before="20"/>
              <w:jc w:val="center"/>
            </w:pPr>
            <w:r/>
            <w:r>
              <w:rPr>
                <w:rFonts w:ascii="Arial" w:hAnsi="Arial"/>
                <w:sz w:val="14"/>
              </w:rPr>
              <w:t>The balanced external evaluation: model, preprocessing, normalization, threshold and metric set were all frozen before the set was built, and it was scored once</w:t>
            </w:r>
          </w:p>
        </w:tc>
        <w:tc>
          <w:tcPr>
            <w:tcW w:type="dxa" w:w="3355"/>
          </w:tcPr>
          <w:p>
            <w:pPr>
              <w:spacing w:after="20" w:before="20"/>
              <w:jc w:val="center"/>
            </w:pPr>
            <w:r/>
            <w:r>
              <w:rPr>
                <w:rFonts w:ascii="Arial" w:hAnsi="Arial"/>
                <w:sz w:val="14"/>
              </w:rPr>
              <w:t>Section IV-C, Table 4</w:t>
            </w:r>
          </w:p>
        </w:tc>
      </w:tr>
      <w:tr>
        <w:tc>
          <w:tcPr>
            <w:tcW w:type="dxa" w:w="3355"/>
          </w:tcPr>
          <w:p>
            <w:pPr>
              <w:spacing w:after="20" w:before="20"/>
              <w:jc w:val="left"/>
            </w:pPr>
            <w:r/>
            <w:r>
              <w:rPr>
                <w:rFonts w:ascii="Arial" w:hAnsi="Arial"/>
                <w:b/>
                <w:sz w:val="14"/>
              </w:rPr>
              <w:t>Exploratory</w:t>
            </w:r>
            <w:r>
              <w:rPr>
                <w:rFonts w:ascii="Arial" w:hAnsi="Arial"/>
                <w:sz w:val="14"/>
              </w:rPr>
              <w:t xml:space="preserve"> (post-hoc)</w:t>
            </w:r>
          </w:p>
        </w:tc>
        <w:tc>
          <w:tcPr>
            <w:tcW w:type="dxa" w:w="3355"/>
          </w:tcPr>
          <w:p>
            <w:pPr>
              <w:spacing w:after="20" w:before="20"/>
              <w:jc w:val="center"/>
            </w:pPr>
            <w:r/>
            <w:r>
              <w:rPr>
                <w:rFonts w:ascii="Arial" w:hAnsi="Arial"/>
                <w:sz w:val="14"/>
              </w:rPr>
              <w:t>The normalization and the selection of its axes, constants and order; the attribution and region-substitution investigations; condition D</w:t>
            </w:r>
          </w:p>
        </w:tc>
        <w:tc>
          <w:tcPr>
            <w:tcW w:type="dxa" w:w="3355"/>
          </w:tcPr>
          <w:p>
            <w:pPr>
              <w:spacing w:after="20" w:before="20"/>
              <w:jc w:val="center"/>
            </w:pPr>
            <w:r/>
            <w:r>
              <w:rPr>
                <w:rFonts w:ascii="Arial" w:hAnsi="Arial"/>
                <w:sz w:val="14"/>
              </w:rPr>
              <w:t>Sections IV-D, IV-E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second row is </w:t>
      </w:r>
      <w:r>
        <w:rPr>
          <w:rFonts w:ascii="Times New Roman" w:hAnsi="Times New Roman"/>
          <w:b/>
          <w:sz w:val="20"/>
        </w:rPr>
        <w:t>protocol-fixed</w:t>
      </w:r>
      <w:r>
        <w:rPr>
          <w:rFonts w:ascii="Times New Roman" w:hAnsi="Times New Roman"/>
          <w:sz w:val="20"/>
        </w:rPr>
        <w:t xml:space="preserve"> rather than confirmatory because the </w:t>
      </w:r>
      <w:r>
        <w:rPr>
          <w:rFonts w:ascii="Times New Roman" w:hAnsi="Times New Roman"/>
          <w:i/>
          <w:sz w:val="20"/>
        </w:rPr>
        <w:t>decision</w:t>
      </w:r>
      <w:r>
        <w:rPr>
          <w:rFonts w:ascii="Times New Roman" w:hAnsi="Times New Roman"/>
          <w:sz w:val="20"/>
        </w:rPr>
        <w:t xml:space="preserve"> to build a balanced external set was taken after the one-sided results were in; what it has is a frozen protocol — models, preprocessing, normalization, threshold and metric set settled before the set was built, and one scoring pass (Section III-D). The third tier is where condition C stops being an untouched external set, because the three normalization axes were nominated after Table 1 showed those statistics separating the training pool from it (Section III-F); the normalized specificities of Section IV-E are therefore not clean external-validation results.</w:t>
      </w:r>
    </w:p>
    <w:p>
      <w:pPr>
        <w:keepNext/>
        <w:spacing w:before="160" w:after="60" w:line="240" w:lineRule="exact"/>
        <w:jc w:val="left"/>
      </w:pPr>
      <w:r>
        <w:rPr>
          <w:rFonts w:ascii="Arial" w:hAnsi="Arial"/>
          <w:b/>
          <w:i/>
          <w:color w:val="000000"/>
          <w:sz w:val="18"/>
        </w:rPr>
        <w:t>A. THE PROVENANCE AUDIT</w:t>
      </w:r>
    </w:p>
    <w:p>
      <w:pPr>
        <w:spacing w:after="0" w:before="0" w:line="240" w:lineRule="exact"/>
        <w:ind w:firstLine="202"/>
        <w:jc w:val="both"/>
      </w:pPr>
      <w:r>
        <w:rPr>
          <w:rFonts w:ascii="Times New Roman" w:hAnsi="Times New Roman"/>
          <w:b/>
          <w:sz w:val="20"/>
        </w:rPr>
        <w:t>All 510 labels in the modeling pool are predictable from container format alone.</w:t>
      </w:r>
      <w:r>
        <w:rPr>
          <w:rFonts w:ascii="Times New Roman" w:hAnsi="Times New Roman"/>
          <w:sz w:val="20"/>
        </w:rPr>
        <w:t xml:space="preserve"> Every filename falls into exactly one of two patterns, and the pattern predicts the class label with no exceptions: 272/272 authentic-labeled files are </w:t>
      </w:r>
      <w:r>
        <w:rPr>
          <w:rFonts w:ascii="Consolas" w:hAnsi="Consolas"/>
          <w:sz w:val="18"/>
        </w:rPr>
        <w:t>images*.jpg</w:t>
      </w:r>
      <w:r>
        <w:rPr>
          <w:rFonts w:ascii="Times New Roman" w:hAnsi="Times New Roman"/>
          <w:sz w:val="20"/>
        </w:rPr>
        <w:t xml:space="preserve"> and 238/238 counterfeit-labeled files </w:t>
      </w:r>
      <w:r>
        <w:rPr>
          <w:rFonts w:ascii="Consolas" w:hAnsi="Consolas"/>
          <w:sz w:val="18"/>
        </w:rPr>
        <w:t>Screenshot*.png</w:t>
      </w:r>
      <w:r>
        <w:rPr>
          <w:rFonts w:ascii="Times New Roman" w:hAnsi="Times New Roman"/>
          <w:sz w:val="20"/>
        </w:rPr>
        <w:t xml:space="preserve">. This is not an artifact of our filtering — it holds in the archive as distributed, where all 240 files in </w:t>
      </w:r>
      <w:r>
        <w:rPr>
          <w:rFonts w:ascii="Consolas" w:hAnsi="Consolas"/>
          <w:sz w:val="18"/>
        </w:rPr>
        <w:t>Fake/</w:t>
      </w:r>
      <w:r>
        <w:rPr>
          <w:rFonts w:ascii="Times New Roman" w:hAnsi="Times New Roman"/>
          <w:sz w:val="20"/>
        </w:rPr>
        <w:t xml:space="preserve"> are </w:t>
      </w:r>
      <w:r>
        <w:rPr>
          <w:rFonts w:ascii="Consolas" w:hAnsi="Consolas"/>
          <w:sz w:val="18"/>
        </w:rPr>
        <w:t>Screenshot*.png</w:t>
      </w:r>
      <w:r>
        <w:rPr>
          <w:rFonts w:ascii="Times New Roman" w:hAnsi="Times New Roman"/>
          <w:sz w:val="20"/>
        </w:rPr>
        <w:t xml:space="preserve"> and all 421 in </w:t>
      </w:r>
      <w:r>
        <w:rPr>
          <w:rFonts w:ascii="Consolas" w:hAnsi="Consolas"/>
          <w:sz w:val="18"/>
        </w:rPr>
        <w:t>Real/</w:t>
      </w:r>
      <w:r>
        <w:rPr>
          <w:rFonts w:ascii="Times New Roman" w:hAnsi="Times New Roman"/>
          <w:sz w:val="20"/>
        </w:rPr>
        <w:t xml:space="preserve"> are </w:t>
      </w:r>
      <w:r>
        <w:rPr>
          <w:rFonts w:ascii="Consolas" w:hAnsi="Consolas"/>
          <w:sz w:val="18"/>
        </w:rPr>
        <w:t>images*.jpg</w:t>
      </w:r>
      <w:r>
        <w:rPr>
          <w:rFonts w:ascii="Times New Roman" w:hAnsi="Times New Roman"/>
          <w:sz w:val="20"/>
        </w:rPr>
        <w:t xml:space="preserve"> — so any study using this dataset inherits it in full, and a classifier reading nothing but the file extension achieves </w:t>
      </w:r>
      <w:r>
        <w:rPr>
          <w:rFonts w:ascii="Times New Roman" w:hAnsi="Times New Roman"/>
          <w:b/>
          <w:sz w:val="20"/>
        </w:rPr>
        <w:t>100% accuracy</w:t>
      </w:r>
      <w:r>
        <w:rPr>
          <w:rFonts w:ascii="Times New Roman" w:hAnsi="Times New Roman"/>
          <w:sz w:val="20"/>
        </w:rPr>
        <w:t xml:space="preserve">. </w:t>
      </w:r>
      <w:r>
        <w:rPr>
          <w:rFonts w:ascii="Times New Roman" w:hAnsi="Times New Roman"/>
          <w:b/>
          <w:sz w:val="20"/>
        </w:rPr>
        <w:t>High in-distribution accuracy on this dataset therefore cannot be read as evidence of object-level authentication</w:t>
      </w:r>
      <w:r>
        <w:rPr>
          <w:rFonts w:ascii="Times New Roman" w:hAnsi="Times New Roman"/>
          <w:sz w:val="20"/>
        </w:rPr>
        <w:t>, for our models as much as anyone's: a logistic regression on three header fields, four learned parameters and no decoded pixels, separates the two classes perfectly on the leakage-free partition (Table 2).</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1. </w:t>
      </w:r>
      <w:r>
        <w:rPr>
          <w:rFonts w:ascii="Arial" w:hAnsi="Arial"/>
          <w:color w:val="000000"/>
          <w:sz w:val="14"/>
        </w:rPr>
        <w:t>The two acquisition pipelines in the Kaggle pool, and the external sets' position relative to both. Median short side and file size are header fields; mean brightness is the mean RGB value at 64 × 64 on a 0–1 scale, and is listed last because it requires decoding the image. Throughout this paper kB = 1000 bytes.</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Group</w:t>
            </w:r>
          </w:p>
        </w:tc>
        <w:tc>
          <w:tcPr>
            <w:tcW w:type="dxa" w:w="1677"/>
            <w:shd w:val="clear" w:color="auto" w:fill="DCE6EF"/>
          </w:tcPr>
          <w:p>
            <w:pPr>
              <w:spacing w:after="20" w:before="20"/>
              <w:jc w:val="center"/>
            </w:pPr>
            <w:r>
              <w:rPr>
                <w:b/>
              </w:rPr>
            </w:r>
            <w:r>
              <w:rPr>
                <w:rFonts w:ascii="Arial" w:hAnsi="Arial"/>
                <w:b/>
                <w:sz w:val="14"/>
              </w:rPr>
              <w:t>n</w:t>
            </w:r>
          </w:p>
        </w:tc>
        <w:tc>
          <w:tcPr>
            <w:tcW w:type="dxa" w:w="1677"/>
            <w:shd w:val="clear" w:color="auto" w:fill="DCE6EF"/>
          </w:tcPr>
          <w:p>
            <w:pPr>
              <w:spacing w:after="20" w:before="20"/>
              <w:jc w:val="center"/>
            </w:pPr>
            <w:r>
              <w:rPr>
                <w:b/>
              </w:rPr>
            </w:r>
            <w:r>
              <w:rPr>
                <w:rFonts w:ascii="Arial" w:hAnsi="Arial"/>
                <w:b/>
                <w:sz w:val="14"/>
              </w:rPr>
              <w:t>Capture pattern</w:t>
            </w:r>
          </w:p>
        </w:tc>
        <w:tc>
          <w:tcPr>
            <w:tcW w:type="dxa" w:w="1677"/>
            <w:shd w:val="clear" w:color="auto" w:fill="DCE6EF"/>
          </w:tcPr>
          <w:p>
            <w:pPr>
              <w:spacing w:after="20" w:before="20"/>
              <w:jc w:val="center"/>
            </w:pPr>
            <w:r>
              <w:rPr>
                <w:b/>
              </w:rPr>
            </w:r>
            <w:r>
              <w:rPr>
                <w:rFonts w:ascii="Arial" w:hAnsi="Arial"/>
                <w:b/>
                <w:sz w:val="14"/>
              </w:rPr>
              <w:t>Median short side (px)</w:t>
            </w:r>
          </w:p>
        </w:tc>
        <w:tc>
          <w:tcPr>
            <w:tcW w:type="dxa" w:w="1677"/>
            <w:shd w:val="clear" w:color="auto" w:fill="DCE6EF"/>
          </w:tcPr>
          <w:p>
            <w:pPr>
              <w:spacing w:after="20" w:before="20"/>
              <w:jc w:val="center"/>
            </w:pPr>
            <w:r>
              <w:rPr>
                <w:b/>
              </w:rPr>
            </w:r>
            <w:r>
              <w:rPr>
                <w:rFonts w:ascii="Arial" w:hAnsi="Arial"/>
                <w:b/>
                <w:sz w:val="14"/>
              </w:rPr>
              <w:t>Mean file size</w:t>
            </w:r>
          </w:p>
        </w:tc>
        <w:tc>
          <w:tcPr>
            <w:tcW w:type="dxa" w:w="1677"/>
            <w:shd w:val="clear" w:color="auto" w:fill="DCE6EF"/>
          </w:tcPr>
          <w:p>
            <w:pPr>
              <w:spacing w:after="20" w:before="20"/>
              <w:jc w:val="center"/>
            </w:pPr>
            <w:r>
              <w:rPr>
                <w:b/>
              </w:rPr>
            </w:r>
            <w:r>
              <w:rPr>
                <w:rFonts w:ascii="Arial" w:hAnsi="Arial"/>
                <w:b/>
                <w:sz w:val="14"/>
              </w:rPr>
              <w:t>Mean brightness</w:t>
            </w:r>
          </w:p>
        </w:tc>
      </w:tr>
      <w:tr>
        <w:tc>
          <w:tcPr>
            <w:tcW w:type="dxa" w:w="1677"/>
          </w:tcPr>
          <w:p>
            <w:pPr>
              <w:spacing w:after="20" w:before="20"/>
              <w:jc w:val="left"/>
            </w:pPr>
            <w:r/>
            <w:r>
              <w:rPr>
                <w:rFonts w:ascii="Arial" w:hAnsi="Arial"/>
                <w:sz w:val="14"/>
              </w:rPr>
              <w:t>Kaggle authentic</w:t>
            </w:r>
          </w:p>
        </w:tc>
        <w:tc>
          <w:tcPr>
            <w:tcW w:type="dxa" w:w="1677"/>
          </w:tcPr>
          <w:p>
            <w:pPr>
              <w:spacing w:after="20" w:before="20"/>
              <w:jc w:val="center"/>
            </w:pPr>
            <w:r/>
            <w:r>
              <w:rPr>
                <w:rFonts w:ascii="Arial" w:hAnsi="Arial"/>
                <w:sz w:val="14"/>
              </w:rPr>
              <w:t>272</w:t>
            </w:r>
          </w:p>
        </w:tc>
        <w:tc>
          <w:tcPr>
            <w:tcW w:type="dxa" w:w="1677"/>
          </w:tcPr>
          <w:p>
            <w:pPr>
              <w:spacing w:after="20" w:before="20"/>
              <w:jc w:val="center"/>
            </w:pPr>
            <w:r/>
            <w:r>
              <w:rPr>
                <w:rFonts w:ascii="Consolas" w:hAnsi="Consolas"/>
                <w:sz w:val="12"/>
              </w:rPr>
              <w:t>images*.jpg</w:t>
            </w:r>
            <w:r>
              <w:rPr>
                <w:rFonts w:ascii="Arial" w:hAnsi="Arial"/>
                <w:sz w:val="14"/>
              </w:rPr>
              <w:t xml:space="preserve"> (100%)</w:t>
            </w:r>
          </w:p>
        </w:tc>
        <w:tc>
          <w:tcPr>
            <w:tcW w:type="dxa" w:w="1677"/>
          </w:tcPr>
          <w:p>
            <w:pPr>
              <w:spacing w:after="20" w:before="20"/>
              <w:jc w:val="center"/>
            </w:pPr>
            <w:r/>
            <w:r>
              <w:rPr>
                <w:rFonts w:ascii="Arial" w:hAnsi="Arial"/>
                <w:sz w:val="14"/>
              </w:rPr>
              <w:t>223</w:t>
            </w:r>
          </w:p>
        </w:tc>
        <w:tc>
          <w:tcPr>
            <w:tcW w:type="dxa" w:w="1677"/>
          </w:tcPr>
          <w:p>
            <w:pPr>
              <w:spacing w:after="20" w:before="20"/>
              <w:jc w:val="center"/>
            </w:pPr>
            <w:r/>
            <w:r>
              <w:rPr>
                <w:rFonts w:ascii="Arial" w:hAnsi="Arial"/>
                <w:sz w:val="14"/>
              </w:rPr>
              <w:t>6.0 kB</w:t>
            </w:r>
          </w:p>
        </w:tc>
        <w:tc>
          <w:tcPr>
            <w:tcW w:type="dxa" w:w="1677"/>
          </w:tcPr>
          <w:p>
            <w:pPr>
              <w:spacing w:after="20" w:before="20"/>
              <w:jc w:val="center"/>
            </w:pPr>
            <w:r/>
            <w:r>
              <w:rPr>
                <w:rFonts w:ascii="Arial" w:hAnsi="Arial"/>
                <w:sz w:val="14"/>
              </w:rPr>
              <w:t>0.767</w:t>
            </w:r>
          </w:p>
        </w:tc>
      </w:tr>
      <w:tr>
        <w:tc>
          <w:tcPr>
            <w:tcW w:type="dxa" w:w="1677"/>
          </w:tcPr>
          <w:p>
            <w:pPr>
              <w:spacing w:after="20" w:before="20"/>
              <w:jc w:val="left"/>
            </w:pPr>
            <w:r/>
            <w:r>
              <w:rPr>
                <w:rFonts w:ascii="Arial" w:hAnsi="Arial"/>
                <w:sz w:val="14"/>
              </w:rPr>
              <w:t>Kaggle counterfeit</w:t>
            </w:r>
          </w:p>
        </w:tc>
        <w:tc>
          <w:tcPr>
            <w:tcW w:type="dxa" w:w="1677"/>
          </w:tcPr>
          <w:p>
            <w:pPr>
              <w:spacing w:after="20" w:before="20"/>
              <w:jc w:val="center"/>
            </w:pPr>
            <w:r/>
            <w:r>
              <w:rPr>
                <w:rFonts w:ascii="Arial" w:hAnsi="Arial"/>
                <w:sz w:val="14"/>
              </w:rPr>
              <w:t>238</w:t>
            </w:r>
          </w:p>
        </w:tc>
        <w:tc>
          <w:tcPr>
            <w:tcW w:type="dxa" w:w="1677"/>
          </w:tcPr>
          <w:p>
            <w:pPr>
              <w:spacing w:after="20" w:before="20"/>
              <w:jc w:val="center"/>
            </w:pPr>
            <w:r/>
            <w:r>
              <w:rPr>
                <w:rFonts w:ascii="Consolas" w:hAnsi="Consolas"/>
                <w:sz w:val="12"/>
              </w:rPr>
              <w:t>Screenshot*.png</w:t>
            </w:r>
            <w:r>
              <w:rPr>
                <w:rFonts w:ascii="Arial" w:hAnsi="Arial"/>
                <w:sz w:val="14"/>
              </w:rPr>
              <w:t xml:space="preserve"> (100%)</w:t>
            </w:r>
          </w:p>
        </w:tc>
        <w:tc>
          <w:tcPr>
            <w:tcW w:type="dxa" w:w="1677"/>
          </w:tcPr>
          <w:p>
            <w:pPr>
              <w:spacing w:after="20" w:before="20"/>
              <w:jc w:val="center"/>
            </w:pPr>
            <w:r/>
            <w:r>
              <w:rPr>
                <w:rFonts w:ascii="Arial" w:hAnsi="Arial"/>
                <w:sz w:val="14"/>
              </w:rPr>
              <w:t>405</w:t>
            </w:r>
          </w:p>
        </w:tc>
        <w:tc>
          <w:tcPr>
            <w:tcW w:type="dxa" w:w="1677"/>
          </w:tcPr>
          <w:p>
            <w:pPr>
              <w:spacing w:after="20" w:before="20"/>
              <w:jc w:val="center"/>
            </w:pPr>
            <w:r/>
            <w:r>
              <w:rPr>
                <w:rFonts w:ascii="Arial" w:hAnsi="Arial"/>
                <w:sz w:val="14"/>
              </w:rPr>
              <w:t>339 kB</w:t>
            </w:r>
          </w:p>
        </w:tc>
        <w:tc>
          <w:tcPr>
            <w:tcW w:type="dxa" w:w="1677"/>
          </w:tcPr>
          <w:p>
            <w:pPr>
              <w:spacing w:after="20" w:before="20"/>
              <w:jc w:val="center"/>
            </w:pPr>
            <w:r/>
            <w:r>
              <w:rPr>
                <w:rFonts w:ascii="Arial" w:hAnsi="Arial"/>
                <w:sz w:val="14"/>
              </w:rPr>
              <w:t>0.555</w:t>
            </w:r>
          </w:p>
        </w:tc>
      </w:tr>
      <w:tr>
        <w:tc>
          <w:tcPr>
            <w:tcW w:type="dxa" w:w="1677"/>
          </w:tcPr>
          <w:p>
            <w:pPr>
              <w:spacing w:after="20" w:before="20"/>
              <w:jc w:val="left"/>
            </w:pPr>
            <w:r/>
            <w:r>
              <w:rPr>
                <w:rFonts w:ascii="Arial" w:hAnsi="Arial"/>
                <w:sz w:val="14"/>
              </w:rPr>
              <w:t>Condition C external (authentic)</w:t>
            </w:r>
          </w:p>
        </w:tc>
        <w:tc>
          <w:tcPr>
            <w:tcW w:type="dxa" w:w="1677"/>
          </w:tcPr>
          <w:p>
            <w:pPr>
              <w:spacing w:after="20" w:before="20"/>
              <w:jc w:val="center"/>
            </w:pPr>
            <w:r/>
            <w:r>
              <w:rPr>
                <w:rFonts w:ascii="Arial" w:hAnsi="Arial"/>
                <w:sz w:val="14"/>
              </w:rPr>
              <w:t>150</w:t>
            </w:r>
          </w:p>
        </w:tc>
        <w:tc>
          <w:tcPr>
            <w:tcW w:type="dxa" w:w="1677"/>
          </w:tcPr>
          <w:p>
            <w:pPr>
              <w:spacing w:after="20" w:before="20"/>
              <w:jc w:val="center"/>
            </w:pPr>
            <w:r/>
            <w:r>
              <w:rPr>
                <w:rFonts w:ascii="Arial" w:hAnsi="Arial"/>
                <w:sz w:val="14"/>
              </w:rPr>
              <w:t>device photograph</w:t>
            </w:r>
          </w:p>
        </w:tc>
        <w:tc>
          <w:tcPr>
            <w:tcW w:type="dxa" w:w="1677"/>
          </w:tcPr>
          <w:p>
            <w:pPr>
              <w:spacing w:after="20" w:before="20"/>
              <w:jc w:val="center"/>
            </w:pPr>
            <w:r/>
            <w:r>
              <w:rPr>
                <w:rFonts w:ascii="Arial" w:hAnsi="Arial"/>
                <w:b/>
                <w:sz w:val="14"/>
              </w:rPr>
              <w:t>2448</w:t>
            </w:r>
          </w:p>
        </w:tc>
        <w:tc>
          <w:tcPr>
            <w:tcW w:type="dxa" w:w="1677"/>
          </w:tcPr>
          <w:p>
            <w:pPr>
              <w:spacing w:after="20" w:before="20"/>
              <w:jc w:val="center"/>
            </w:pPr>
            <w:r/>
            <w:r>
              <w:rPr>
                <w:rFonts w:ascii="Arial" w:hAnsi="Arial"/>
                <w:sz w:val="14"/>
              </w:rPr>
              <w:t>1,656 kB</w:t>
            </w:r>
          </w:p>
        </w:tc>
        <w:tc>
          <w:tcPr>
            <w:tcW w:type="dxa" w:w="1677"/>
          </w:tcPr>
          <w:p>
            <w:pPr>
              <w:spacing w:after="20" w:before="20"/>
              <w:jc w:val="center"/>
            </w:pPr>
            <w:r/>
            <w:r>
              <w:rPr>
                <w:rFonts w:ascii="Arial" w:hAnsi="Arial"/>
                <w:b/>
                <w:sz w:val="14"/>
              </w:rPr>
              <w:t>0.162</w:t>
            </w:r>
          </w:p>
        </w:tc>
      </w:tr>
      <w:tr>
        <w:tc>
          <w:tcPr>
            <w:tcW w:type="dxa" w:w="1677"/>
          </w:tcPr>
          <w:p>
            <w:pPr>
              <w:spacing w:after="20" w:before="20"/>
              <w:jc w:val="left"/>
            </w:pPr>
            <w:r/>
            <w:r>
              <w:rPr>
                <w:rFonts w:ascii="Arial" w:hAnsi="Arial"/>
                <w:sz w:val="14"/>
              </w:rPr>
              <w:t>Condition C synthetic (proxy counterfeit)</w:t>
            </w:r>
          </w:p>
        </w:tc>
        <w:tc>
          <w:tcPr>
            <w:tcW w:type="dxa" w:w="1677"/>
          </w:tcPr>
          <w:p>
            <w:pPr>
              <w:spacing w:after="20" w:before="20"/>
              <w:jc w:val="center"/>
            </w:pPr>
            <w:r/>
            <w:r>
              <w:rPr>
                <w:rFonts w:ascii="Arial" w:hAnsi="Arial"/>
                <w:sz w:val="14"/>
              </w:rPr>
              <w:t>150</w:t>
            </w:r>
          </w:p>
        </w:tc>
        <w:tc>
          <w:tcPr>
            <w:tcW w:type="dxa" w:w="1677"/>
          </w:tcPr>
          <w:p>
            <w:pPr>
              <w:spacing w:after="20" w:before="20"/>
              <w:jc w:val="center"/>
            </w:pPr>
            <w:r/>
            <w:r>
              <w:rPr>
                <w:rFonts w:ascii="Arial" w:hAnsi="Arial"/>
                <w:sz w:val="14"/>
              </w:rPr>
              <w:t>perturbed copy of the above</w:t>
            </w:r>
          </w:p>
        </w:tc>
        <w:tc>
          <w:tcPr>
            <w:tcW w:type="dxa" w:w="1677"/>
          </w:tcPr>
          <w:p>
            <w:pPr>
              <w:spacing w:after="20" w:before="20"/>
              <w:jc w:val="center"/>
            </w:pPr>
            <w:r/>
            <w:r>
              <w:rPr>
                <w:rFonts w:ascii="Arial" w:hAnsi="Arial"/>
                <w:sz w:val="14"/>
              </w:rPr>
              <w:t>2448</w:t>
            </w:r>
          </w:p>
        </w:tc>
        <w:tc>
          <w:tcPr>
            <w:tcW w:type="dxa" w:w="1677"/>
          </w:tcPr>
          <w:p>
            <w:pPr>
              <w:spacing w:after="20" w:before="20"/>
              <w:jc w:val="center"/>
            </w:pPr>
            <w:r/>
            <w:r>
              <w:rPr>
                <w:rFonts w:ascii="Arial" w:hAnsi="Arial"/>
                <w:sz w:val="14"/>
              </w:rPr>
              <w:t>1,018 kB</w:t>
            </w:r>
          </w:p>
        </w:tc>
        <w:tc>
          <w:tcPr>
            <w:tcW w:type="dxa" w:w="1677"/>
          </w:tcPr>
          <w:p>
            <w:pPr>
              <w:spacing w:after="20" w:before="20"/>
              <w:jc w:val="center"/>
            </w:pPr>
            <w:r/>
            <w:r>
              <w:rPr>
                <w:rFonts w:ascii="Arial" w:hAnsi="Arial"/>
                <w:sz w:val="14"/>
              </w:rPr>
              <w:t>0.153</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A two-sample </w:t>
      </w:r>
      <w:r>
        <w:rPr>
          <w:rFonts w:ascii="Times New Roman" w:hAnsi="Times New Roman"/>
          <w:i/>
          <w:sz w:val="20"/>
        </w:rPr>
        <w:t>t</w:t>
      </w:r>
      <w:r>
        <w:rPr>
          <w:rFonts w:ascii="Times New Roman" w:hAnsi="Times New Roman"/>
          <w:sz w:val="20"/>
        </w:rPr>
        <w:t xml:space="preserve">-test on brightness between the classes gives </w:t>
      </w:r>
      <w:r>
        <w:rPr>
          <w:rFonts w:ascii="Times New Roman" w:hAnsi="Times New Roman"/>
          <w:i/>
          <w:sz w:val="20"/>
        </w:rPr>
        <w:t>t</w:t>
      </w:r>
      <w:r>
        <w:rPr>
          <w:rFonts w:ascii="Times New Roman" w:hAnsi="Times New Roman"/>
          <w:sz w:val="20"/>
        </w:rPr>
        <w:t xml:space="preserve"> = 17.0 on 508 degrees of freedom, </w:t>
      </w:r>
      <w:r>
        <w:rPr>
          <w:rFonts w:ascii="Times New Roman" w:hAnsi="Times New Roman"/>
          <w:i/>
          <w:sz w:val="20"/>
        </w:rPr>
        <w:t>p</w:t>
      </w:r>
      <w:r>
        <w:rPr>
          <w:rFonts w:ascii="Times New Roman" w:hAnsi="Times New Roman"/>
          <w:sz w:val="20"/>
        </w:rPr>
        <w:t xml:space="preserve"> &lt; 10⁻¹⁵. Table 1 makes a second point, plotted by Fig. S14: the external set does not sit </w:t>
      </w:r>
      <w:r>
        <w:rPr>
          <w:rFonts w:ascii="Times New Roman" w:hAnsi="Times New Roman"/>
          <w:i/>
          <w:sz w:val="20"/>
        </w:rPr>
        <w:t>between</w:t>
      </w:r>
      <w:r>
        <w:rPr>
          <w:rFonts w:ascii="Times New Roman" w:hAnsi="Times New Roman"/>
          <w:sz w:val="20"/>
        </w:rPr>
        <w:t xml:space="preserve"> the two training classes on these axes but far outside both, roughly 10× higher in linear resolution and darker than even the counterfeit class. A model that had learned "bright, small, heavily compressed → authentic" would have every statistical reason to call every external photograph counterfeit, a prediction consistent with the external results.</w:t>
      </w:r>
    </w:p>
    <w:p>
      <w:pPr>
        <w:spacing w:after="0" w:before="0" w:line="240" w:lineRule="exact"/>
        <w:ind w:firstLine="202"/>
        <w:jc w:val="both"/>
      </w:pPr>
      <w:r>
        <w:rPr>
          <w:rFonts w:ascii="Times New Roman" w:hAnsi="Times New Roman"/>
          <w:sz w:val="20"/>
        </w:rPr>
        <w:t>The confound is visible in the simplest model's decision function. Of M1's 96 coefficients, 93 lie within ±0.35 of zero while the top intensity bin (248–255) of each channel carries a large negative weight (β = −2.86, −2.84, −2.95), and the logit decomposition of Eq. (9) puts those three bins in the top three positions by mean |φ|, at 0.079–0.082 against 0.002 for the fourth (Section S-I-P). M1's 83.8% accuracy therefore appears driven largely by near-white pixel prevalence rather than by packaging.</w:t>
      </w:r>
    </w:p>
    <w:p>
      <w:pPr>
        <w:spacing w:after="0" w:before="0" w:line="240" w:lineRule="exact"/>
        <w:ind w:firstLine="202"/>
        <w:jc w:val="both"/>
      </w:pPr>
      <w:r>
        <w:rPr>
          <w:rFonts w:ascii="Times New Roman" w:hAnsi="Times New Roman"/>
          <w:b/>
          <w:sz w:val="20"/>
        </w:rPr>
        <w:t>A header-only oracle shows acquisition alone suffices.</w:t>
      </w:r>
      <w:r>
        <w:rPr>
          <w:rFonts w:ascii="Times New Roman" w:hAnsi="Times New Roman"/>
          <w:sz w:val="20"/>
        </w:rPr>
        <w:t xml:space="preserve"> A 96-bin color histogram still reads pixel intensities and could in principle carry packaging information, so we fitted the same logistic regression to what a file listing and a header parse supply — container format, log encoded size, log short-side resolution, and the implied aspect ratio — decoding no pixel (Table 2). Mean brightness is not metadata but a </w:t>
      </w:r>
      <w:r>
        <w:rPr>
          <w:rFonts w:ascii="Times New Roman" w:hAnsi="Times New Roman"/>
          <w:b/>
          <w:sz w:val="20"/>
        </w:rPr>
        <w:t>low-level acquisition proxy</w:t>
      </w:r>
      <w:r>
        <w:rPr>
          <w:rFonts w:ascii="Times New Roman" w:hAnsi="Times New Roman"/>
          <w:sz w:val="20"/>
        </w:rPr>
        <w:t>, cheap yet needing the image decoded, so it sits in Table 2's last row rather than among the header rows.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2. </w:t>
      </w:r>
      <w:r>
        <w:rPr>
          <w:rFonts w:ascii="Arial" w:hAnsi="Arial"/>
          <w:color w:val="000000"/>
          <w:sz w:val="14"/>
        </w:rPr>
        <w:t>The provenance audit on the case-study pool. LR = logistic regression, fitted on each split's own training partition. Every row but the last reads only what a file listing and a header parse provide, with no pixel decoding; the last is a pixel-derived acquisition proxy and is separated for that reason. Resolution and file size enter as log₁₀. The deterministic rule is not fitted. Intervals are 95% Wilson.</w:t>
      </w:r>
    </w:p>
    <w:tbl>
      <w:tblPr>
        <w:tblStyle w:val="TableGrid"/>
        <w:tblW w:type="auto" w:w="0"/>
        <w:jc w:val="center"/>
        <w:tblLayout w:type="autofit"/>
        <w:tblLook w:firstColumn="1" w:firstRow="1" w:lastColumn="0" w:lastRow="0" w:noHBand="0" w:noVBand="1" w:val="04A0"/>
      </w:tblPr>
      <w:tblGrid>
        <w:gridCol w:w="2516"/>
        <w:gridCol w:w="2516"/>
        <w:gridCol w:w="2516"/>
        <w:gridCol w:w="2516"/>
      </w:tblGrid>
      <w:tr>
        <w:tc>
          <w:tcPr>
            <w:tcW w:type="dxa" w:w="2516"/>
            <w:shd w:val="clear" w:color="auto" w:fill="DCE6EF"/>
          </w:tcPr>
          <w:p>
            <w:pPr>
              <w:spacing w:after="20" w:before="20"/>
              <w:jc w:val="left"/>
            </w:pPr>
            <w:r>
              <w:rPr>
                <w:b/>
              </w:rPr>
            </w:r>
            <w:r>
              <w:rPr>
                <w:rFonts w:ascii="Arial" w:hAnsi="Arial"/>
                <w:b/>
                <w:sz w:val="14"/>
              </w:rPr>
              <w:t>Classifier</w:t>
            </w:r>
          </w:p>
        </w:tc>
        <w:tc>
          <w:tcPr>
            <w:tcW w:type="dxa" w:w="2516"/>
            <w:shd w:val="clear" w:color="auto" w:fill="DCE6EF"/>
          </w:tcPr>
          <w:p>
            <w:pPr>
              <w:spacing w:after="20" w:before="20"/>
              <w:jc w:val="center"/>
            </w:pPr>
            <w:r>
              <w:rPr>
                <w:b/>
              </w:rPr>
            </w:r>
            <w:r>
              <w:rPr>
                <w:rFonts w:ascii="Arial" w:hAnsi="Arial"/>
                <w:b/>
                <w:sz w:val="14"/>
              </w:rPr>
              <w:t>Features</w:t>
            </w:r>
          </w:p>
        </w:tc>
        <w:tc>
          <w:tcPr>
            <w:tcW w:type="dxa" w:w="2516"/>
            <w:shd w:val="clear" w:color="auto" w:fill="DCE6EF"/>
          </w:tcPr>
          <w:p>
            <w:pPr>
              <w:spacing w:after="20" w:before="20"/>
              <w:jc w:val="center"/>
            </w:pPr>
            <w:r>
              <w:rPr>
                <w:b/>
              </w:rPr>
            </w:r>
            <w:r>
              <w:rPr>
                <w:rFonts w:ascii="Arial" w:hAnsi="Arial"/>
                <w:b/>
                <w:sz w:val="14"/>
              </w:rPr>
              <w:t>Split A test (n = 76)</w:t>
            </w:r>
          </w:p>
        </w:tc>
        <w:tc>
          <w:tcPr>
            <w:tcW w:type="dxa" w:w="2516"/>
            <w:shd w:val="clear" w:color="auto" w:fill="DCE6EF"/>
          </w:tcPr>
          <w:p>
            <w:pPr>
              <w:spacing w:after="20" w:before="20"/>
              <w:jc w:val="center"/>
            </w:pPr>
            <w:r>
              <w:rPr>
                <w:b/>
              </w:rPr>
            </w:r>
            <w:r>
              <w:rPr>
                <w:rFonts w:ascii="Arial" w:hAnsi="Arial"/>
                <w:b/>
                <w:sz w:val="14"/>
              </w:rPr>
              <w:t>Split B test (n = 74)</w:t>
            </w:r>
          </w:p>
        </w:tc>
      </w:tr>
      <w:tr>
        <w:tc>
          <w:tcPr>
            <w:tcW w:type="dxa" w:w="2516"/>
          </w:tcPr>
          <w:p>
            <w:pPr>
              <w:spacing w:after="20" w:before="20"/>
              <w:jc w:val="left"/>
            </w:pPr>
            <w:r/>
            <w:r>
              <w:rPr>
                <w:rFonts w:ascii="Arial" w:hAnsi="Arial"/>
                <w:sz w:val="14"/>
              </w:rPr>
              <w:t xml:space="preserve">Deterministic rule: </w:t>
            </w:r>
            <w:r>
              <w:rPr>
                <w:rFonts w:ascii="Consolas" w:hAnsi="Consolas"/>
                <w:sz w:val="12"/>
              </w:rPr>
              <w:t>.png</w:t>
            </w:r>
            <w:r>
              <w:rPr>
                <w:rFonts w:ascii="Arial" w:hAnsi="Arial"/>
                <w:sz w:val="14"/>
              </w:rPr>
              <w:t xml:space="preserve"> → counterfeit</w:t>
            </w:r>
          </w:p>
        </w:tc>
        <w:tc>
          <w:tcPr>
            <w:tcW w:type="dxa" w:w="2516"/>
          </w:tcPr>
          <w:p>
            <w:pPr>
              <w:spacing w:after="20" w:before="20"/>
              <w:jc w:val="center"/>
            </w:pPr>
            <w:r/>
            <w:r>
              <w:rPr>
                <w:rFonts w:ascii="Arial" w:hAnsi="Arial"/>
                <w:sz w:val="14"/>
              </w:rPr>
              <w:t>container format</w:t>
            </w:r>
          </w:p>
        </w:tc>
        <w:tc>
          <w:tcPr>
            <w:tcW w:type="dxa" w:w="2516"/>
          </w:tcPr>
          <w:p>
            <w:pPr>
              <w:spacing w:after="20" w:before="20"/>
              <w:jc w:val="center"/>
            </w:pPr>
            <w:r/>
            <w:r>
              <w:rPr>
                <w:rFonts w:ascii="Arial" w:hAnsi="Arial"/>
                <w:sz w:val="14"/>
              </w:rPr>
              <w:t xml:space="preserve">510/510 = </w:t>
            </w:r>
            <w:r>
              <w:rPr>
                <w:rFonts w:ascii="Arial" w:hAnsi="Arial"/>
                <w:b/>
                <w:sz w:val="14"/>
              </w:rPr>
              <w:t>1.000</w:t>
            </w:r>
            <w:r>
              <w:rPr>
                <w:rFonts w:ascii="Arial" w:hAnsi="Arial"/>
                <w:sz w:val="14"/>
              </w:rPr>
              <w:t xml:space="preserve"> [0.993, 1.000] over the whole pool</w:t>
            </w:r>
          </w:p>
        </w:tc>
        <w:tc>
          <w:tcPr>
            <w:tcW w:type="dxa" w:w="2516"/>
          </w:tcPr>
          <w:p>
            <w:pPr>
              <w:spacing w:after="20" w:before="20"/>
              <w:jc w:val="center"/>
            </w:pPr>
            <w:r/>
            <w:r>
              <w:rPr>
                <w:rFonts w:ascii="Arial" w:hAnsi="Arial"/>
                <w:sz w:val="14"/>
              </w:rPr>
              <w:t>—</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container format</w:t>
            </w:r>
          </w:p>
        </w:tc>
        <w:tc>
          <w:tcPr>
            <w:tcW w:type="dxa" w:w="2516"/>
          </w:tcPr>
          <w:p>
            <w:pPr>
              <w:spacing w:after="20" w:before="20"/>
              <w:jc w:val="center"/>
            </w:pPr>
            <w:r/>
            <w:r>
              <w:rPr>
                <w:rFonts w:ascii="Arial" w:hAnsi="Arial"/>
                <w:b/>
                <w:sz w:val="14"/>
              </w:rPr>
              <w:t>1.000</w:t>
            </w:r>
            <w:r>
              <w:rPr>
                <w:rFonts w:ascii="Arial" w:hAnsi="Arial"/>
                <w:sz w:val="14"/>
              </w:rPr>
              <w:t xml:space="preserve"> [0.952, 1.000]</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encoded file size</w:t>
            </w:r>
          </w:p>
        </w:tc>
        <w:tc>
          <w:tcPr>
            <w:tcW w:type="dxa" w:w="2516"/>
          </w:tcPr>
          <w:p>
            <w:pPr>
              <w:spacing w:after="20" w:before="20"/>
              <w:jc w:val="center"/>
            </w:pPr>
            <w:r/>
            <w:r>
              <w:rPr>
                <w:rFonts w:ascii="Arial" w:hAnsi="Arial"/>
                <w:sz w:val="14"/>
              </w:rPr>
              <w:t>0.974 [0.909, 0.993]</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short-side resolution</w:t>
            </w:r>
          </w:p>
        </w:tc>
        <w:tc>
          <w:tcPr>
            <w:tcW w:type="dxa" w:w="2516"/>
          </w:tcPr>
          <w:p>
            <w:pPr>
              <w:spacing w:after="20" w:before="20"/>
              <w:jc w:val="center"/>
            </w:pPr>
            <w:r/>
            <w:r>
              <w:rPr>
                <w:rFonts w:ascii="Arial" w:hAnsi="Arial"/>
                <w:sz w:val="14"/>
              </w:rPr>
              <w:t>0.947 [0.872, 0.979]</w:t>
            </w:r>
          </w:p>
        </w:tc>
        <w:tc>
          <w:tcPr>
            <w:tcW w:type="dxa" w:w="2516"/>
          </w:tcPr>
          <w:p>
            <w:pPr>
              <w:spacing w:after="20" w:before="20"/>
              <w:jc w:val="center"/>
            </w:pPr>
            <w:r/>
            <w:r>
              <w:rPr>
                <w:rFonts w:ascii="Arial" w:hAnsi="Arial"/>
                <w:sz w:val="14"/>
              </w:rPr>
              <w:t>0.946 [0.869, 0.979]</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aspect ratio</w:t>
            </w:r>
          </w:p>
        </w:tc>
        <w:tc>
          <w:tcPr>
            <w:tcW w:type="dxa" w:w="2516"/>
          </w:tcPr>
          <w:p>
            <w:pPr>
              <w:spacing w:after="20" w:before="20"/>
              <w:jc w:val="center"/>
            </w:pPr>
            <w:r/>
            <w:r>
              <w:rPr>
                <w:rFonts w:ascii="Arial" w:hAnsi="Arial"/>
                <w:sz w:val="14"/>
              </w:rPr>
              <w:t>0.645 [0.533, 0.743]</w:t>
            </w:r>
          </w:p>
        </w:tc>
        <w:tc>
          <w:tcPr>
            <w:tcW w:type="dxa" w:w="2516"/>
          </w:tcPr>
          <w:p>
            <w:pPr>
              <w:spacing w:after="20" w:before="20"/>
              <w:jc w:val="center"/>
            </w:pPr>
            <w:r/>
            <w:r>
              <w:rPr>
                <w:rFonts w:ascii="Arial" w:hAnsi="Arial"/>
                <w:sz w:val="14"/>
              </w:rPr>
              <w:t>0.595 [0.481, 0.699]</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size + resolution + aspect ratio</w:t>
            </w:r>
          </w:p>
        </w:tc>
        <w:tc>
          <w:tcPr>
            <w:tcW w:type="dxa" w:w="2516"/>
          </w:tcPr>
          <w:p>
            <w:pPr>
              <w:spacing w:after="20" w:before="20"/>
              <w:jc w:val="center"/>
            </w:pPr>
            <w:r/>
            <w:r>
              <w:rPr>
                <w:rFonts w:ascii="Arial" w:hAnsi="Arial"/>
                <w:b/>
                <w:sz w:val="14"/>
              </w:rPr>
              <w:t>1.000</w:t>
            </w:r>
            <w:r>
              <w:rPr>
                <w:rFonts w:ascii="Arial" w:hAnsi="Arial"/>
                <w:sz w:val="14"/>
              </w:rPr>
              <w:t xml:space="preserve"> [0.952, 1.000]</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Pixel-derived proxy LR</w:t>
            </w:r>
          </w:p>
        </w:tc>
        <w:tc>
          <w:tcPr>
            <w:tcW w:type="dxa" w:w="2516"/>
          </w:tcPr>
          <w:p>
            <w:pPr>
              <w:spacing w:after="20" w:before="20"/>
              <w:jc w:val="center"/>
            </w:pPr>
            <w:r/>
            <w:r>
              <w:rPr>
                <w:rFonts w:ascii="Arial" w:hAnsi="Arial"/>
                <w:sz w:val="14"/>
              </w:rPr>
              <w:t>mean brightness</w:t>
            </w:r>
          </w:p>
        </w:tc>
        <w:tc>
          <w:tcPr>
            <w:tcW w:type="dxa" w:w="2516"/>
          </w:tcPr>
          <w:p>
            <w:pPr>
              <w:spacing w:after="20" w:before="20"/>
              <w:jc w:val="center"/>
            </w:pPr>
            <w:r/>
            <w:r>
              <w:rPr>
                <w:rFonts w:ascii="Arial" w:hAnsi="Arial"/>
                <w:sz w:val="14"/>
              </w:rPr>
              <w:t>0.829 [0.729, 0.897]</w:t>
            </w:r>
          </w:p>
        </w:tc>
        <w:tc>
          <w:tcPr>
            <w:tcW w:type="dxa" w:w="2516"/>
          </w:tcPr>
          <w:p>
            <w:pPr>
              <w:spacing w:after="20" w:before="20"/>
              <w:jc w:val="center"/>
            </w:pPr>
            <w:r/>
            <w:r>
              <w:rPr>
                <w:rFonts w:ascii="Arial" w:hAnsi="Arial"/>
                <w:sz w:val="14"/>
              </w:rPr>
              <w:t>0.716 [0.605, 0.806]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What follows is stronger than anything the pixel-based models here establish. First, </w:t>
      </w:r>
      <w:r>
        <w:rPr>
          <w:rFonts w:ascii="Times New Roman" w:hAnsi="Times New Roman"/>
          <w:b/>
          <w:sz w:val="20"/>
        </w:rPr>
        <w:t>a single scalar that is not an image classifies this dataset perfectly</w:t>
      </w:r>
      <w:r>
        <w:rPr>
          <w:rFonts w:ascii="Times New Roman" w:hAnsi="Times New Roman"/>
          <w:sz w:val="20"/>
        </w:rPr>
        <w:t xml:space="preserve">: encoded file size alone reaches 74/74 on the leakage-free partition, above every trained model here including M4 (Table S3), using no pixel at all. Second, </w:t>
      </w:r>
      <w:r>
        <w:rPr>
          <w:rFonts w:ascii="Times New Roman" w:hAnsi="Times New Roman"/>
          <w:b/>
          <w:sz w:val="20"/>
        </w:rPr>
        <w:t>acquisition variables alone reproduce the labels with accuracy 1.000</w:t>
      </w:r>
      <w:r>
        <w:rPr>
          <w:rFonts w:ascii="Times New Roman" w:hAnsi="Times New Roman"/>
          <w:sz w:val="20"/>
        </w:rPr>
        <w:t>, three header fields doing it without even the file extension.</w:t>
      </w:r>
    </w:p>
    <w:p>
      <w:pPr>
        <w:spacing w:after="0" w:before="0" w:line="240" w:lineRule="exact"/>
        <w:ind w:firstLine="202"/>
        <w:jc w:val="both"/>
      </w:pPr>
      <w:r>
        <w:rPr>
          <w:rFonts w:ascii="Times New Roman" w:hAnsi="Times New Roman"/>
          <w:sz w:val="20"/>
        </w:rPr>
        <w:t xml:space="preserve">Third, </w:t>
      </w:r>
      <w:r>
        <w:rPr>
          <w:rFonts w:ascii="Times New Roman" w:hAnsi="Times New Roman"/>
          <w:b/>
          <w:sz w:val="20"/>
        </w:rPr>
        <w:t>the pixel-derived proxy is the weakest candidate here, not the strongest.</w:t>
      </w:r>
      <w:r>
        <w:rPr>
          <w:rFonts w:ascii="Times New Roman" w:hAnsi="Times New Roman"/>
          <w:sz w:val="20"/>
        </w:rPr>
        <w:t xml:space="preserve"> Brightness alone reaches 0.716 on Split B, below resolution (0.946) and file size (1.000), despite having the largest </w:t>
      </w:r>
      <w:r>
        <w:rPr>
          <w:rFonts w:ascii="Times New Roman" w:hAnsi="Times New Roman"/>
          <w:i/>
          <w:sz w:val="20"/>
        </w:rPr>
        <w:t>t</w:t>
      </w:r>
      <w:r>
        <w:rPr>
          <w:rFonts w:ascii="Times New Roman" w:hAnsi="Times New Roman"/>
          <w:sz w:val="20"/>
        </w:rPr>
        <w:t xml:space="preserve">-statistic: the brightness distributions differ in mean but overlap substantially, whereas the file-size distributions barely overlap. Rank candidate confounds by fitting a classifier to each, not by </w:t>
      </w:r>
      <w:r>
        <w:rPr>
          <w:rFonts w:ascii="Times New Roman" w:hAnsi="Times New Roman"/>
          <w:i/>
          <w:sz w:val="20"/>
        </w:rPr>
        <w:t>t</w:t>
      </w:r>
      <w:r>
        <w:rPr>
          <w:rFonts w:ascii="Times New Roman" w:hAnsi="Times New Roman"/>
          <w:sz w:val="20"/>
        </w:rPr>
        <w:t>-statistic.</w:t>
      </w:r>
    </w:p>
    <w:p>
      <w:pPr>
        <w:spacing w:after="0" w:before="0" w:line="240" w:lineRule="exact"/>
        <w:ind w:firstLine="202"/>
        <w:jc w:val="both"/>
      </w:pPr>
      <w:r>
        <w:rPr>
          <w:rFonts w:ascii="Times New Roman" w:hAnsi="Times New Roman"/>
          <w:b/>
          <w:sz w:val="20"/>
        </w:rPr>
        <w:t>A feasibility check outside the case study.</w:t>
      </w:r>
      <w:r>
        <w:rPr>
          <w:rFonts w:ascii="Times New Roman" w:hAnsi="Times New Roman"/>
          <w:sz w:val="20"/>
        </w:rPr>
        <w:t xml:space="preserve"> A screen that fires on every dataset carries no information, so the same procedure was run on six further public archives across four application areas, chosen for public accessibility rather than by any sampling frame (Table 3; Section S-I-W gives the full record). Four of the seven were scorable, the case study among them; the other three reached only one class before the listing endpoint's file limit. The Roboflow archive of Section III-A, audited separately in Table S20, is the fifth row.</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3. </w:t>
      </w:r>
      <w:r>
        <w:rPr>
          <w:rFonts w:ascii="Arial" w:hAnsi="Arial"/>
          <w:color w:val="000000"/>
          <w:sz w:val="14"/>
        </w:rPr>
        <w:t>The provenance audit outside the case study, summarized from Tables S18 and S20. Balanced accuracy of a logistic regression on the named metadata alone under cross-validation; chance is 0.500. Format is the one-hot container format, the axis nearest to isolating acquisition. A pilot audit of archives chosen for accessibility, not a prevalence estimate over a defined sampling frame.</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Dataset</w:t>
            </w:r>
          </w:p>
        </w:tc>
        <w:tc>
          <w:tcPr>
            <w:tcW w:type="dxa" w:w="1677"/>
            <w:shd w:val="clear" w:color="auto" w:fill="DCE6EF"/>
          </w:tcPr>
          <w:p>
            <w:pPr>
              <w:spacing w:after="20" w:before="20"/>
              <w:jc w:val="center"/>
            </w:pPr>
            <w:r>
              <w:rPr>
                <w:b/>
              </w:rPr>
            </w:r>
            <w:r>
              <w:rPr>
                <w:rFonts w:ascii="Arial" w:hAnsi="Arial"/>
                <w:b/>
                <w:sz w:val="14"/>
              </w:rPr>
              <w:t>Area</w:t>
            </w:r>
          </w:p>
        </w:tc>
        <w:tc>
          <w:tcPr>
            <w:tcW w:type="dxa" w:w="1677"/>
            <w:shd w:val="clear" w:color="auto" w:fill="DCE6EF"/>
          </w:tcPr>
          <w:p>
            <w:pPr>
              <w:spacing w:after="20" w:before="20"/>
              <w:jc w:val="center"/>
            </w:pPr>
            <w:r>
              <w:rPr>
                <w:b/>
              </w:rPr>
            </w:r>
            <w:r>
              <w:rPr>
                <w:rFonts w:ascii="Arial" w:hAnsi="Arial"/>
                <w:b/>
                <w:sz w:val="14"/>
              </w:rPr>
              <w:t>Provenance issue</w:t>
            </w:r>
          </w:p>
        </w:tc>
        <w:tc>
          <w:tcPr>
            <w:tcW w:type="dxa" w:w="1677"/>
            <w:shd w:val="clear" w:color="auto" w:fill="DCE6EF"/>
          </w:tcPr>
          <w:p>
            <w:pPr>
              <w:spacing w:after="20" w:before="20"/>
              <w:jc w:val="center"/>
            </w:pPr>
            <w:r>
              <w:rPr>
                <w:b/>
              </w:rPr>
            </w:r>
            <w:r>
              <w:rPr>
                <w:rFonts w:ascii="Arial" w:hAnsi="Arial"/>
                <w:b/>
                <w:sz w:val="14"/>
              </w:rPr>
              <w:t>Format</w:t>
            </w:r>
          </w:p>
        </w:tc>
        <w:tc>
          <w:tcPr>
            <w:tcW w:type="dxa" w:w="1677"/>
            <w:shd w:val="clear" w:color="auto" w:fill="DCE6EF"/>
          </w:tcPr>
          <w:p>
            <w:pPr>
              <w:spacing w:after="20" w:before="20"/>
              <w:jc w:val="center"/>
            </w:pPr>
            <w:r>
              <w:rPr>
                <w:b/>
              </w:rPr>
            </w:r>
            <w:r>
              <w:rPr>
                <w:rFonts w:ascii="Arial" w:hAnsi="Arial"/>
                <w:b/>
                <w:sz w:val="14"/>
              </w:rPr>
              <w:t>All features audited</w:t>
            </w:r>
          </w:p>
        </w:tc>
        <w:tc>
          <w:tcPr>
            <w:tcW w:type="dxa" w:w="1677"/>
            <w:shd w:val="clear" w:color="auto" w:fill="DCE6EF"/>
          </w:tcPr>
          <w:p>
            <w:pPr>
              <w:spacing w:after="20" w:before="20"/>
              <w:jc w:val="center"/>
            </w:pPr>
            <w:r>
              <w:rPr>
                <w:b/>
              </w:rPr>
            </w:r>
            <w:r>
              <w:rPr>
                <w:rFonts w:ascii="Arial" w:hAnsi="Arial"/>
                <w:b/>
                <w:sz w:val="14"/>
              </w:rPr>
              <w:t>Outcome</w:t>
            </w:r>
          </w:p>
        </w:tc>
      </w:tr>
      <w:tr>
        <w:tc>
          <w:tcPr>
            <w:tcW w:type="dxa" w:w="1677"/>
          </w:tcPr>
          <w:p>
            <w:pPr>
              <w:spacing w:after="20" w:before="20"/>
              <w:jc w:val="left"/>
            </w:pPr>
            <w:r/>
            <w:r>
              <w:rPr>
                <w:rFonts w:ascii="Arial" w:hAnsi="Arial"/>
                <w:sz w:val="14"/>
              </w:rPr>
              <w:t xml:space="preserve">Kaggle </w:t>
            </w:r>
            <w:r>
              <w:rPr>
                <w:rFonts w:ascii="Arial" w:hAnsi="Arial"/>
                <w:i/>
                <w:sz w:val="14"/>
              </w:rPr>
              <w:t>Fake vs Real Medicine</w:t>
            </w:r>
            <w:r>
              <w:rPr>
                <w:rFonts w:ascii="Arial" w:hAnsi="Arial"/>
                <w:sz w:val="14"/>
              </w:rPr>
              <w:t xml:space="preserve"> [19]</w:t>
            </w:r>
          </w:p>
        </w:tc>
        <w:tc>
          <w:tcPr>
            <w:tcW w:type="dxa" w:w="1677"/>
          </w:tcPr>
          <w:p>
            <w:pPr>
              <w:spacing w:after="20" w:before="20"/>
              <w:jc w:val="center"/>
            </w:pPr>
            <w:r/>
            <w:r>
              <w:rPr>
                <w:rFonts w:ascii="Arial" w:hAnsi="Arial"/>
                <w:sz w:val="14"/>
              </w:rPr>
              <w:t>Medicines (positive control)</w:t>
            </w:r>
          </w:p>
        </w:tc>
        <w:tc>
          <w:tcPr>
            <w:tcW w:type="dxa" w:w="1677"/>
          </w:tcPr>
          <w:p>
            <w:pPr>
              <w:spacing w:after="20" w:before="20"/>
              <w:jc w:val="center"/>
            </w:pPr>
            <w:r/>
            <w:r>
              <w:rPr>
                <w:rFonts w:ascii="Arial" w:hAnsi="Arial"/>
                <w:sz w:val="14"/>
              </w:rPr>
              <w:t>Type A: acquisition determines the label</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sz w:val="14"/>
              </w:rPr>
              <w:t>Detects</w:t>
            </w:r>
          </w:p>
        </w:tc>
      </w:tr>
      <w:tr>
        <w:tc>
          <w:tcPr>
            <w:tcW w:type="dxa" w:w="1677"/>
          </w:tcPr>
          <w:p>
            <w:pPr>
              <w:spacing w:after="20" w:before="20"/>
              <w:jc w:val="left"/>
            </w:pPr>
            <w:r/>
            <w:r>
              <w:rPr>
                <w:rFonts w:ascii="Consolas" w:hAnsi="Consolas"/>
                <w:sz w:val="12"/>
              </w:rPr>
              <w:t>rhythmghai/ai-vs-real-images-dataset</w:t>
            </w:r>
          </w:p>
        </w:tc>
        <w:tc>
          <w:tcPr>
            <w:tcW w:type="dxa" w:w="1677"/>
          </w:tcPr>
          <w:p>
            <w:pPr>
              <w:spacing w:after="20" w:before="20"/>
              <w:jc w:val="center"/>
            </w:pPr>
            <w:r/>
            <w:r>
              <w:rPr>
                <w:rFonts w:ascii="Arial" w:hAnsi="Arial"/>
                <w:sz w:val="14"/>
              </w:rPr>
              <w:t>Generated images</w:t>
            </w:r>
          </w:p>
        </w:tc>
        <w:tc>
          <w:tcPr>
            <w:tcW w:type="dxa" w:w="1677"/>
          </w:tcPr>
          <w:p>
            <w:pPr>
              <w:spacing w:after="20" w:before="20"/>
              <w:jc w:val="center"/>
            </w:pPr>
            <w:r/>
            <w:r>
              <w:rPr>
                <w:rFonts w:ascii="Arial" w:hAnsi="Arial"/>
                <w:sz w:val="14"/>
              </w:rPr>
              <w:t>Type A, independently arising</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sz w:val="14"/>
              </w:rPr>
              <w:t>Detects</w:t>
            </w:r>
          </w:p>
        </w:tc>
      </w:tr>
      <w:tr>
        <w:tc>
          <w:tcPr>
            <w:tcW w:type="dxa" w:w="1677"/>
          </w:tcPr>
          <w:p>
            <w:pPr>
              <w:spacing w:after="20" w:before="20"/>
              <w:jc w:val="left"/>
            </w:pPr>
            <w:r/>
            <w:r>
              <w:rPr>
                <w:rFonts w:ascii="Consolas" w:hAnsi="Consolas"/>
                <w:sz w:val="12"/>
              </w:rPr>
              <w:t>cashbowman/ai-generated-images-vs-real...</w:t>
            </w:r>
          </w:p>
        </w:tc>
        <w:tc>
          <w:tcPr>
            <w:tcW w:type="dxa" w:w="1677"/>
          </w:tcPr>
          <w:p>
            <w:pPr>
              <w:spacing w:after="20" w:before="20"/>
              <w:jc w:val="center"/>
            </w:pPr>
            <w:r/>
            <w:r>
              <w:rPr>
                <w:rFonts w:ascii="Arial" w:hAnsi="Arial"/>
                <w:sz w:val="14"/>
              </w:rPr>
              <w:t>Generated images</w:t>
            </w:r>
          </w:p>
        </w:tc>
        <w:tc>
          <w:tcPr>
            <w:tcW w:type="dxa" w:w="1677"/>
          </w:tcPr>
          <w:p>
            <w:pPr>
              <w:spacing w:after="20" w:before="20"/>
              <w:jc w:val="center"/>
            </w:pPr>
            <w:r/>
            <w:r>
              <w:rPr>
                <w:rFonts w:ascii="Arial" w:hAnsi="Arial"/>
                <w:sz w:val="14"/>
              </w:rPr>
              <w:t>None these features find</w:t>
            </w:r>
          </w:p>
        </w:tc>
        <w:tc>
          <w:tcPr>
            <w:tcW w:type="dxa" w:w="1677"/>
          </w:tcPr>
          <w:p>
            <w:pPr>
              <w:spacing w:after="20" w:before="20"/>
              <w:jc w:val="center"/>
            </w:pPr>
            <w:r/>
            <w:r>
              <w:rPr>
                <w:rFonts w:ascii="Arial" w:hAnsi="Arial"/>
                <w:sz w:val="14"/>
              </w:rPr>
              <w:t>0.577</w:t>
            </w:r>
          </w:p>
        </w:tc>
        <w:tc>
          <w:tcPr>
            <w:tcW w:type="dxa" w:w="1677"/>
          </w:tcPr>
          <w:p>
            <w:pPr>
              <w:spacing w:after="20" w:before="20"/>
              <w:jc w:val="center"/>
            </w:pPr>
            <w:r/>
            <w:r>
              <w:rPr>
                <w:rFonts w:ascii="Arial" w:hAnsi="Arial"/>
                <w:sz w:val="14"/>
              </w:rPr>
              <w:t>0.562</w:t>
            </w:r>
          </w:p>
        </w:tc>
        <w:tc>
          <w:tcPr>
            <w:tcW w:type="dxa" w:w="1677"/>
          </w:tcPr>
          <w:p>
            <w:pPr>
              <w:spacing w:after="20" w:before="20"/>
              <w:jc w:val="center"/>
            </w:pPr>
            <w:r/>
            <w:r>
              <w:rPr>
                <w:rFonts w:ascii="Arial" w:hAnsi="Arial"/>
                <w:sz w:val="14"/>
              </w:rPr>
              <w:t>Near chance</w:t>
            </w:r>
          </w:p>
        </w:tc>
      </w:tr>
      <w:tr>
        <w:tc>
          <w:tcPr>
            <w:tcW w:type="dxa" w:w="1677"/>
          </w:tcPr>
          <w:p>
            <w:pPr>
              <w:spacing w:after="20" w:before="20"/>
              <w:jc w:val="left"/>
            </w:pPr>
            <w:r/>
            <w:r>
              <w:rPr>
                <w:rFonts w:ascii="Arial" w:hAnsi="Arial"/>
                <w:sz w:val="14"/>
              </w:rPr>
              <w:t xml:space="preserve">Roboflow </w:t>
            </w:r>
            <w:r>
              <w:rPr>
                <w:rFonts w:ascii="Arial" w:hAnsi="Arial"/>
                <w:i/>
                <w:sz w:val="14"/>
              </w:rPr>
              <w:t>Counterfeit_med_detection</w:t>
            </w:r>
            <w:r>
              <w:rPr>
                <w:rFonts w:ascii="Arial" w:hAnsi="Arial"/>
                <w:sz w:val="14"/>
              </w:rPr>
              <w:t xml:space="preserve"> [21]</w:t>
            </w:r>
          </w:p>
        </w:tc>
        <w:tc>
          <w:tcPr>
            <w:tcW w:type="dxa" w:w="1677"/>
          </w:tcPr>
          <w:p>
            <w:pPr>
              <w:spacing w:after="20" w:before="20"/>
              <w:jc w:val="center"/>
            </w:pPr>
            <w:r/>
            <w:r>
              <w:rPr>
                <w:rFonts w:ascii="Arial" w:hAnsi="Arial"/>
                <w:sz w:val="14"/>
              </w:rPr>
              <w:t>Medicines</w:t>
            </w:r>
          </w:p>
        </w:tc>
        <w:tc>
          <w:tcPr>
            <w:tcW w:type="dxa" w:w="1677"/>
          </w:tcPr>
          <w:p>
            <w:pPr>
              <w:spacing w:after="20" w:before="20"/>
              <w:jc w:val="center"/>
            </w:pPr>
            <w:r/>
            <w:r>
              <w:rPr>
                <w:rFonts w:ascii="Arial" w:hAnsi="Arial"/>
                <w:sz w:val="14"/>
              </w:rPr>
              <w:t>Type B: a modality confound, acquisition traces erased by the publisher</w:t>
            </w:r>
          </w:p>
        </w:tc>
        <w:tc>
          <w:tcPr>
            <w:tcW w:type="dxa" w:w="1677"/>
          </w:tcPr>
          <w:p>
            <w:pPr>
              <w:spacing w:after="20" w:before="20"/>
              <w:jc w:val="center"/>
            </w:pPr>
            <w:r/>
            <w:r>
              <w:rPr>
                <w:rFonts w:ascii="Arial" w:hAnsi="Arial"/>
                <w:sz w:val="14"/>
              </w:rPr>
              <w:t>0.500</w:t>
            </w:r>
          </w:p>
        </w:tc>
        <w:tc>
          <w:tcPr>
            <w:tcW w:type="dxa" w:w="1677"/>
          </w:tcPr>
          <w:p>
            <w:pPr>
              <w:spacing w:after="20" w:before="20"/>
              <w:jc w:val="center"/>
            </w:pPr>
            <w:r/>
            <w:r>
              <w:rPr>
                <w:rFonts w:ascii="Arial" w:hAnsi="Arial"/>
                <w:sz w:val="14"/>
              </w:rPr>
              <w:t>0.717</w:t>
            </w:r>
          </w:p>
        </w:tc>
        <w:tc>
          <w:tcPr>
            <w:tcW w:type="dxa" w:w="1677"/>
          </w:tcPr>
          <w:p>
            <w:pPr>
              <w:spacing w:after="20" w:before="20"/>
              <w:jc w:val="center"/>
            </w:pPr>
            <w:r/>
            <w:r>
              <w:rPr>
                <w:rFonts w:ascii="Arial" w:hAnsi="Arial"/>
                <w:sz w:val="14"/>
              </w:rPr>
              <w:t>Partially detects</w:t>
            </w:r>
          </w:p>
        </w:tc>
      </w:tr>
      <w:tr>
        <w:tc>
          <w:tcPr>
            <w:tcW w:type="dxa" w:w="1677"/>
          </w:tcPr>
          <w:p>
            <w:pPr>
              <w:spacing w:after="20" w:before="20"/>
              <w:jc w:val="left"/>
            </w:pPr>
            <w:r/>
            <w:r>
              <w:rPr>
                <w:rFonts w:ascii="Consolas" w:hAnsi="Consolas"/>
                <w:sz w:val="12"/>
              </w:rPr>
              <w:t>ishanikathuria/handwritten-signature...</w:t>
            </w:r>
          </w:p>
        </w:tc>
        <w:tc>
          <w:tcPr>
            <w:tcW w:type="dxa" w:w="1677"/>
          </w:tcPr>
          <w:p>
            <w:pPr>
              <w:spacing w:after="20" w:before="20"/>
              <w:jc w:val="center"/>
            </w:pPr>
            <w:r/>
            <w:r>
              <w:rPr>
                <w:rFonts w:ascii="Arial" w:hAnsi="Arial"/>
                <w:sz w:val="14"/>
              </w:rPr>
              <w:t>Signatures (negative control)</w:t>
            </w:r>
          </w:p>
        </w:tc>
        <w:tc>
          <w:tcPr>
            <w:tcW w:type="dxa" w:w="1677"/>
          </w:tcPr>
          <w:p>
            <w:pPr>
              <w:spacing w:after="20" w:before="20"/>
              <w:jc w:val="center"/>
            </w:pPr>
            <w:r/>
            <w:r>
              <w:rPr>
                <w:rFonts w:ascii="Arial" w:hAnsi="Arial"/>
                <w:sz w:val="14"/>
              </w:rPr>
              <w:t>None; one acquisition procedure for both classes</w:t>
            </w:r>
          </w:p>
        </w:tc>
        <w:tc>
          <w:tcPr>
            <w:tcW w:type="dxa" w:w="1677"/>
          </w:tcPr>
          <w:p>
            <w:pPr>
              <w:spacing w:after="20" w:before="20"/>
              <w:jc w:val="center"/>
            </w:pPr>
            <w:r/>
            <w:r>
              <w:rPr>
                <w:rFonts w:ascii="Arial" w:hAnsi="Arial"/>
                <w:sz w:val="14"/>
              </w:rPr>
              <w:t>0.500</w:t>
            </w:r>
          </w:p>
        </w:tc>
        <w:tc>
          <w:tcPr>
            <w:tcW w:type="dxa" w:w="1677"/>
          </w:tcPr>
          <w:p>
            <w:pPr>
              <w:spacing w:after="20" w:before="20"/>
              <w:jc w:val="center"/>
            </w:pPr>
            <w:r/>
            <w:r>
              <w:rPr>
                <w:rFonts w:ascii="Arial" w:hAnsi="Arial"/>
                <w:sz w:val="14"/>
              </w:rPr>
              <w:t>0.845</w:t>
            </w:r>
          </w:p>
        </w:tc>
        <w:tc>
          <w:tcPr>
            <w:tcW w:type="dxa" w:w="1677"/>
          </w:tcPr>
          <w:p>
            <w:pPr>
              <w:spacing w:after="20" w:before="20"/>
              <w:jc w:val="center"/>
            </w:pPr>
            <w:r/>
            <w:r>
              <w:rPr>
                <w:rFonts w:ascii="Arial" w:hAnsi="Arial"/>
                <w:sz w:val="14"/>
              </w:rPr>
              <w:t>False positive on size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The screen establishes that the audit discriminates, and nothing about prevalence.</w:t>
      </w:r>
      <w:r>
        <w:rPr>
          <w:rFonts w:ascii="Times New Roman" w:hAnsi="Times New Roman"/>
          <w:sz w:val="20"/>
        </w:rPr>
        <w:t xml:space="preserve"> Two archives return 1.000 on format and two at or near chance, and the generated-image pair is the sharper case: two datasets built for the same task by different people return 1.000 and 0.577. That is enough to show the procedure runs cheaply against unfamiliar collections and to characterize its failure modes; it supports no estimate of how often provenance confounding occurs, and none is made.</w:t>
      </w:r>
    </w:p>
    <w:p>
      <w:pPr>
        <w:spacing w:after="0" w:before="0" w:line="240" w:lineRule="exact"/>
        <w:ind w:firstLine="202"/>
        <w:jc w:val="both"/>
      </w:pPr>
      <w:r>
        <w:rPr>
          <w:rFonts w:ascii="Times New Roman" w:hAnsi="Times New Roman"/>
          <w:b/>
          <w:sz w:val="20"/>
        </w:rPr>
        <w:t>The audit has a false-negative mode, and publisher-side tidying causes it.</w:t>
      </w:r>
      <w:r>
        <w:rPr>
          <w:rFonts w:ascii="Times New Roman" w:hAnsi="Times New Roman"/>
          <w:sz w:val="20"/>
        </w:rPr>
        <w:t xml:space="preserve"> The Roboflow archive is confounded at least as severely as the case study, yet format returns 0.500 and the full set 0.717, because the publisher resized to 640 × 640 and re-encoded before release. Its </w:t>
      </w:r>
      <w:r>
        <w:rPr>
          <w:rFonts w:ascii="Times New Roman" w:hAnsi="Times New Roman"/>
          <w:b/>
          <w:sz w:val="20"/>
        </w:rPr>
        <w:t>false-positive mode is on the mixed axes</w:t>
      </w:r>
      <w:r>
        <w:rPr>
          <w:rFonts w:ascii="Times New Roman" w:hAnsi="Times New Roman"/>
          <w:sz w:val="20"/>
        </w:rPr>
        <w:t xml:space="preserve">: genuine and forged signatures in BHSig260 are written on one paper and digitized by one procedure, so format returns exactly 0.500 while encoded size returns 0.843, most likely because forged signatures differ in stroke complexity and so in ink coverage. That separation along </w:t>
      </w:r>
      <w:r>
        <w:rPr>
          <w:rFonts w:ascii="Times New Roman" w:hAnsi="Times New Roman"/>
          <w:i/>
          <w:sz w:val="20"/>
        </w:rPr>
        <w:t>A_(pure)</w:t>
      </w:r>
      <w:r>
        <w:rPr>
          <w:rFonts w:ascii="Times New Roman" w:hAnsi="Times New Roman"/>
          <w:sz w:val="20"/>
        </w:rPr>
        <w:t xml:space="preserve"> versus </w:t>
      </w:r>
      <w:r>
        <w:rPr>
          <w:rFonts w:ascii="Times New Roman" w:hAnsi="Times New Roman"/>
          <w:i/>
          <w:sz w:val="20"/>
        </w:rPr>
        <w:t>A_(mix)</w:t>
      </w:r>
      <w:r>
        <w:rPr>
          <w:rFonts w:ascii="Times New Roman" w:hAnsi="Times New Roman"/>
          <w:sz w:val="20"/>
        </w:rPr>
        <w:t xml:space="preserve"> is the distinction of Section I-A, measured. </w:t>
      </w:r>
      <w:r>
        <w:rPr>
          <w:rFonts w:ascii="Times New Roman" w:hAnsi="Times New Roman"/>
          <w:b/>
          <w:sz w:val="20"/>
        </w:rPr>
        <w:t>A provenance audit is a diagnostic, not a clearance</w:t>
      </w:r>
      <w:r>
        <w:rPr>
          <w:rFonts w:ascii="Times New Roman" w:hAnsi="Times New Roman"/>
          <w:sz w:val="20"/>
        </w:rPr>
        <w:t>: a high score on format is close to decisive, and a low one is where an investigation starts rather than where it ends.</w:t>
      </w:r>
    </w:p>
    <w:p>
      <w:pPr>
        <w:keepNext/>
        <w:spacing w:before="160" w:after="60" w:line="240" w:lineRule="exact"/>
        <w:jc w:val="left"/>
      </w:pPr>
      <w:r>
        <w:rPr>
          <w:rFonts w:ascii="Arial" w:hAnsi="Arial"/>
          <w:b/>
          <w:i/>
          <w:color w:val="000000"/>
          <w:sz w:val="18"/>
        </w:rPr>
        <w:t>B. THE LEAKAGE EXPERIMENT</w:t>
      </w:r>
    </w:p>
    <w:p>
      <w:pPr>
        <w:spacing w:after="0" w:before="0" w:line="240" w:lineRule="exact"/>
        <w:ind w:firstLine="202"/>
        <w:jc w:val="both"/>
      </w:pPr>
      <w:r>
        <w:rPr>
          <w:rFonts w:ascii="Times New Roman" w:hAnsi="Times New Roman"/>
          <w:sz w:val="20"/>
        </w:rPr>
        <w:t xml:space="preserve">In-distribution, the four models reach 0.842, 0.868, 0.934 and 0.987 on the naive split and 0.838, 0.865, 0.932 and 0.919 on the leakage-free one — deltas of +0.004, +0.004, +0.002 and +0.068, three of them within half a point of zero. Six pairwise McNemar tests compare </w:t>
      </w:r>
      <w:r>
        <w:rPr>
          <w:rFonts w:ascii="Times New Roman" w:hAnsi="Times New Roman"/>
          <w:i/>
          <w:sz w:val="20"/>
        </w:rPr>
        <w:t>models against each other</w:t>
      </w:r>
      <w:r>
        <w:rPr>
          <w:rFonts w:ascii="Times New Roman" w:hAnsi="Times New Roman"/>
          <w:sz w:val="20"/>
        </w:rPr>
        <w:t xml:space="preserve"> on one shared test partition; none is significant, and Holm–Bonferroni over the six raises the smallest adjusted </w:t>
      </w:r>
      <w:r>
        <w:rPr>
          <w:rFonts w:ascii="Times New Roman" w:hAnsi="Times New Roman"/>
          <w:i/>
          <w:sz w:val="20"/>
        </w:rPr>
        <w:t>p</w:t>
      </w:r>
      <w:r>
        <w:rPr>
          <w:rFonts w:ascii="Times New Roman" w:hAnsi="Times New Roman"/>
          <w:sz w:val="20"/>
        </w:rPr>
        <w:t xml:space="preserve"> from 0.118 to 0.711. They do not test the Split A − Split B difference, whose two partitions hold different images and for which no paired test exists. The full metric set, the tests and their power analysis are Tables S3–S5 and Section S-I-H.</w:t>
      </w:r>
    </w:p>
    <w:p>
      <w:pPr>
        <w:spacing w:after="0" w:before="0" w:line="240" w:lineRule="exact"/>
        <w:ind w:firstLine="202"/>
        <w:jc w:val="both"/>
      </w:pPr>
      <w:r>
        <w:rPr>
          <w:rFonts w:ascii="Times New Roman" w:hAnsi="Times New Roman"/>
          <w:sz w:val="20"/>
        </w:rPr>
        <w:t xml:space="preserve">Those deltas settle less than they appear to. Exactly 7 of the 76 Split A test images belong to a product group also in Split A's training partition, a </w:t>
      </w:r>
      <w:r>
        <w:rPr>
          <w:rFonts w:ascii="Times New Roman" w:hAnsi="Times New Roman"/>
          <w:b/>
          <w:sz w:val="20"/>
        </w:rPr>
        <w:t>direct exposure rate of 9.2%</w:t>
      </w:r>
      <w:r>
        <w:rPr>
          <w:rFonts w:ascii="Times New Roman" w:hAnsi="Times New Roman"/>
          <w:sz w:val="20"/>
        </w:rPr>
        <w:t>, so at most seven predictions can be got right by recognizing a training photograph — but that bounds one channel only, since admitting a near-duplicate also changes the fitted parameters, which decide the other 69. And Split A and Split B do not share a test set: 230 of 510 images are assigned differently, so their difference mixes leakage with the effect of testing on different images.</w:t>
      </w:r>
    </w:p>
    <w:p>
      <w:pPr>
        <w:spacing w:after="0" w:before="0" w:line="240" w:lineRule="exact"/>
        <w:ind w:firstLine="202"/>
        <w:jc w:val="both"/>
      </w:pPr>
      <w:r>
        <w:rPr>
          <w:rFonts w:ascii="Times New Roman" w:hAnsi="Times New Roman"/>
          <w:sz w:val="20"/>
        </w:rPr>
        <w:t xml:space="preserve">A paired design separates the two. One test set is held fixed and two training sets are built around it differing in exactly one respect — whether the near-duplicate mates of the test images are admitted — with size, class balance, validation set, architecture and learning rate identical, the 30 mates balanced by class-matched substitutes (Section S-I-V). Of the 74 test images, 28 are </w:t>
      </w:r>
      <w:r>
        <w:rPr>
          <w:rFonts w:ascii="Times New Roman" w:hAnsi="Times New Roman"/>
          <w:i/>
          <w:sz w:val="20"/>
        </w:rPr>
        <w:t>exposed</w:t>
      </w:r>
      <w:r>
        <w:rPr>
          <w:rFonts w:ascii="Times New Roman" w:hAnsi="Times New Roman"/>
          <w:sz w:val="20"/>
        </w:rPr>
        <w:t xml:space="preserve">, which is every exposed image the pool admits; on the other 46 any difference is the indirect channel. Across five seeds, admitting the mates moves M2 by </w:t>
      </w:r>
      <w:r>
        <w:rPr>
          <w:rFonts w:ascii="Times New Roman" w:hAnsi="Times New Roman"/>
          <w:b/>
          <w:sz w:val="20"/>
        </w:rPr>
        <w:t>+0.3 points [−1.9, +2.4]</w:t>
      </w:r>
      <w:r>
        <w:rPr>
          <w:rFonts w:ascii="Times New Roman" w:hAnsi="Times New Roman"/>
          <w:sz w:val="20"/>
        </w:rPr>
        <w:t xml:space="preserve"> (paired bootstrap; McNemar </w:t>
      </w:r>
      <w:r>
        <w:rPr>
          <w:rFonts w:ascii="Times New Roman" w:hAnsi="Times New Roman"/>
          <w:i/>
          <w:sz w:val="20"/>
        </w:rPr>
        <w:t>p</w:t>
      </w:r>
      <w:r>
        <w:rPr>
          <w:rFonts w:ascii="Times New Roman" w:hAnsi="Times New Roman"/>
          <w:sz w:val="20"/>
        </w:rPr>
        <w:t xml:space="preserve"> = 1.000), by +0.0 [−2.9, +2.9] on the exposed subset and +0.4 [−2.2, +3.5] on the unexposed. M3 and M4 are unchanged at every seed, though both sit at ceiling (1.000 and 0.987), which leaves an effect almost no room to appear — itself a consequence of the confound, an in-distribution partition of this pool being close to trivial.</w:t>
      </w:r>
    </w:p>
    <w:p>
      <w:pPr>
        <w:spacing w:after="0" w:before="0" w:line="240" w:lineRule="exact"/>
        <w:ind w:firstLine="202"/>
        <w:jc w:val="both"/>
      </w:pPr>
      <w:r>
        <w:rPr>
          <w:rFonts w:ascii="Times New Roman" w:hAnsi="Times New Roman"/>
          <w:b/>
          <w:sz w:val="20"/>
        </w:rPr>
        <w:t>Near-duplicate leakage is therefore the smaller effect on this dataset.</w:t>
      </w:r>
      <w:r>
        <w:rPr>
          <w:rFonts w:ascii="Times New Roman" w:hAnsi="Times New Roman"/>
          <w:sz w:val="20"/>
        </w:rPr>
        <w:t xml:space="preserve"> The 6.8-point maximum describes the difference between two split designs; the paired experiment is the controlled estimate, and it puts the leakage effect at 0.3 points [−1.9, +2.4]. Both are small beside the external gap reported next.</w:t>
      </w:r>
    </w:p>
    <w:p>
      <w:pPr>
        <w:keepNext/>
        <w:spacing w:before="160" w:after="60" w:line="240" w:lineRule="exact"/>
        <w:jc w:val="left"/>
      </w:pPr>
      <w:r>
        <w:rPr>
          <w:rFonts w:ascii="Arial" w:hAnsi="Arial"/>
          <w:b/>
          <w:i/>
          <w:color w:val="000000"/>
          <w:sz w:val="18"/>
        </w:rPr>
        <w:t>C. THE BALANCED EXTERNAL EVALUATION</w:t>
      </w:r>
    </w:p>
    <w:p>
      <w:pPr>
        <w:spacing w:after="0" w:before="0" w:line="240" w:lineRule="exact"/>
        <w:ind w:firstLine="202"/>
        <w:jc w:val="both"/>
      </w:pPr>
      <w:r>
        <w:rPr>
          <w:rFonts w:ascii="Times New Roman" w:hAnsi="Times New Roman"/>
          <w:sz w:val="20"/>
        </w:rPr>
        <w:t xml:space="preserve">This is the study's primary external result and the only one on which a two-class metric is defined. The set is 46 regulator-confirmed falsified products from FDA and WHO alerts against 46 independently sourced photographs of authentic-labeled products, ingested through one pipeline so that container format, encoder, encoding settings and stored resolution are standardized across the classes, audited at 0.620 against 1.000 for the case-study pool, and scored </w:t>
      </w:r>
      <w:r>
        <w:rPr>
          <w:rFonts w:ascii="Times New Roman" w:hAnsi="Times New Roman"/>
          <w:b/>
          <w:sz w:val="20"/>
        </w:rPr>
        <w:t>once</w:t>
      </w:r>
      <w:r>
        <w:rPr>
          <w:rFonts w:ascii="Times New Roman" w:hAnsi="Times New Roman"/>
          <w:sz w:val="20"/>
        </w:rPr>
        <w:t xml:space="preserve"> against the frozen Split B checkpoints at the project's standing 0.5 threshold (Section III-D). Two properties of the set qualify everything below: the authentic class is authentic-labeled rather than verified, and the shift between the two archives is one of source, with file-level acquisition standardized by construction rather than varied.</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4. </w:t>
      </w:r>
      <w:r>
        <w:rPr>
          <w:rFonts w:ascii="Arial" w:hAnsi="Arial"/>
          <w:color w:val="000000"/>
          <w:sz w:val="14"/>
        </w:rPr>
        <w:t>The balanced external test: 92 photographs, 46 authentic-labeled and 46 regulator-confirmed counterfeit, scored once from the persisted Split B checkpoints at a decision threshold of 0.5 fixed before the set was built. Counterfeit is the positive class, so recall is counterfeit sensitivity and specificity is the authentic true-negative rate. Because the set is balanced by construction, accuracy and balanced accuracy coincide and one column reports both; it is the column to read first, being the one quantity a shifted operating point cannot inflate. Intervals are 95% stratified bootstrap percentiles, resampling each class to its own fixed size. The confusion matrix is given as TN / FP / FN / TP.</w:t>
      </w:r>
    </w:p>
    <w:tbl>
      <w:tblPr>
        <w:tblStyle w:val="TableGrid"/>
        <w:tblW w:type="auto" w:w="0"/>
        <w:jc w:val="center"/>
        <w:tblLayout w:type="autofit"/>
        <w:tblLook w:firstColumn="1" w:firstRow="1" w:lastColumn="0" w:lastRow="0" w:noHBand="0" w:noVBand="1" w:val="04A0"/>
      </w:tblPr>
      <w:tblGrid>
        <w:gridCol w:w="1258"/>
        <w:gridCol w:w="1258"/>
        <w:gridCol w:w="1258"/>
        <w:gridCol w:w="1258"/>
        <w:gridCol w:w="1258"/>
        <w:gridCol w:w="1258"/>
        <w:gridCol w:w="1258"/>
        <w:gridCol w:w="1258"/>
      </w:tblGrid>
      <w:tr>
        <w:tc>
          <w:tcPr>
            <w:tcW w:type="dxa" w:w="1258"/>
            <w:shd w:val="clear" w:color="auto" w:fill="DCE6EF"/>
          </w:tcPr>
          <w:p>
            <w:pPr>
              <w:spacing w:after="20" w:before="20"/>
              <w:jc w:val="left"/>
            </w:pPr>
            <w:r>
              <w:rPr>
                <w:b/>
              </w:rPr>
            </w:r>
            <w:r>
              <w:rPr>
                <w:rFonts w:ascii="Arial" w:hAnsi="Arial"/>
                <w:b/>
                <w:sz w:val="14"/>
              </w:rPr>
              <w:t>Model</w:t>
            </w:r>
          </w:p>
        </w:tc>
        <w:tc>
          <w:tcPr>
            <w:tcW w:type="dxa" w:w="1258"/>
            <w:shd w:val="clear" w:color="auto" w:fill="DCE6EF"/>
          </w:tcPr>
          <w:p>
            <w:pPr>
              <w:spacing w:after="20" w:before="20"/>
              <w:jc w:val="center"/>
            </w:pPr>
            <w:r>
              <w:rPr>
                <w:b/>
              </w:rPr>
            </w:r>
            <w:r>
              <w:rPr>
                <w:rFonts w:ascii="Arial" w:hAnsi="Arial"/>
                <w:b/>
                <w:sz w:val="14"/>
              </w:rPr>
              <w:t>Confusion (TN/FP/FN/TP)</w:t>
            </w:r>
          </w:p>
        </w:tc>
        <w:tc>
          <w:tcPr>
            <w:tcW w:type="dxa" w:w="1258"/>
            <w:shd w:val="clear" w:color="auto" w:fill="DCE6EF"/>
          </w:tcPr>
          <w:p>
            <w:pPr>
              <w:spacing w:after="20" w:before="20"/>
              <w:jc w:val="center"/>
            </w:pPr>
            <w:r>
              <w:rPr>
                <w:b/>
              </w:rPr>
            </w:r>
            <w:r>
              <w:rPr>
                <w:rFonts w:ascii="Arial" w:hAnsi="Arial"/>
                <w:b/>
                <w:sz w:val="14"/>
              </w:rPr>
              <w:t>Balanced external accuracy</w:t>
            </w:r>
          </w:p>
        </w:tc>
        <w:tc>
          <w:tcPr>
            <w:tcW w:type="dxa" w:w="1258"/>
            <w:shd w:val="clear" w:color="auto" w:fill="DCE6EF"/>
          </w:tcPr>
          <w:p>
            <w:pPr>
              <w:spacing w:after="20" w:before="20"/>
              <w:jc w:val="center"/>
            </w:pPr>
            <w:r>
              <w:rPr>
                <w:b/>
              </w:rPr>
            </w:r>
            <w:r>
              <w:rPr>
                <w:rFonts w:ascii="Arial" w:hAnsi="Arial"/>
                <w:b/>
                <w:sz w:val="14"/>
              </w:rPr>
              <w:t>Counterfeit recall</w:t>
            </w:r>
          </w:p>
        </w:tc>
        <w:tc>
          <w:tcPr>
            <w:tcW w:type="dxa" w:w="1258"/>
            <w:shd w:val="clear" w:color="auto" w:fill="DCE6EF"/>
          </w:tcPr>
          <w:p>
            <w:pPr>
              <w:spacing w:after="20" w:before="20"/>
              <w:jc w:val="center"/>
            </w:pPr>
            <w:r>
              <w:rPr>
                <w:b/>
              </w:rPr>
            </w:r>
            <w:r>
              <w:rPr>
                <w:rFonts w:ascii="Arial" w:hAnsi="Arial"/>
                <w:b/>
                <w:sz w:val="14"/>
              </w:rPr>
              <w:t>Authentic specificity</w:t>
            </w:r>
          </w:p>
        </w:tc>
        <w:tc>
          <w:tcPr>
            <w:tcW w:type="dxa" w:w="1258"/>
            <w:shd w:val="clear" w:color="auto" w:fill="DCE6EF"/>
          </w:tcPr>
          <w:p>
            <w:pPr>
              <w:spacing w:after="20" w:before="20"/>
              <w:jc w:val="center"/>
            </w:pPr>
            <w:r>
              <w:rPr>
                <w:b/>
              </w:rPr>
            </w:r>
            <w:r>
              <w:rPr>
                <w:rFonts w:ascii="Arial" w:hAnsi="Arial"/>
                <w:b/>
                <w:sz w:val="14"/>
              </w:rPr>
              <w:t>Precision</w:t>
            </w:r>
          </w:p>
        </w:tc>
        <w:tc>
          <w:tcPr>
            <w:tcW w:type="dxa" w:w="1258"/>
            <w:shd w:val="clear" w:color="auto" w:fill="DCE6EF"/>
          </w:tcPr>
          <w:p>
            <w:pPr>
              <w:spacing w:after="20" w:before="20"/>
              <w:jc w:val="center"/>
            </w:pPr>
            <w:r>
              <w:rPr>
                <w:b/>
              </w:rPr>
            </w:r>
            <w:r>
              <w:rPr>
                <w:rFonts w:ascii="Arial" w:hAnsi="Arial"/>
                <w:b/>
                <w:sz w:val="14"/>
              </w:rPr>
              <w:t>F1</w:t>
            </w:r>
          </w:p>
        </w:tc>
        <w:tc>
          <w:tcPr>
            <w:tcW w:type="dxa" w:w="1258"/>
            <w:shd w:val="clear" w:color="auto" w:fill="DCE6EF"/>
          </w:tcPr>
          <w:p>
            <w:pPr>
              <w:spacing w:after="20" w:before="20"/>
              <w:jc w:val="center"/>
            </w:pPr>
            <w:r>
              <w:rPr>
                <w:b/>
              </w:rPr>
            </w:r>
            <w:r>
              <w:rPr>
                <w:rFonts w:ascii="Arial" w:hAnsi="Arial"/>
                <w:b/>
                <w:sz w:val="14"/>
              </w:rPr>
              <w:t>ROC-AUC</w:t>
            </w:r>
          </w:p>
        </w:tc>
      </w:tr>
      <w:tr>
        <w:tc>
          <w:tcPr>
            <w:tcW w:type="dxa" w:w="1258"/>
          </w:tcPr>
          <w:p>
            <w:pPr>
              <w:spacing w:after="20" w:before="20"/>
              <w:jc w:val="left"/>
            </w:pPr>
            <w:r/>
            <w:r>
              <w:rPr>
                <w:rFonts w:ascii="Arial" w:hAnsi="Arial"/>
                <w:sz w:val="14"/>
              </w:rPr>
              <w:t>M1 hist+LR</w:t>
            </w:r>
          </w:p>
        </w:tc>
        <w:tc>
          <w:tcPr>
            <w:tcW w:type="dxa" w:w="1258"/>
          </w:tcPr>
          <w:p>
            <w:pPr>
              <w:spacing w:after="20" w:before="20"/>
              <w:jc w:val="center"/>
            </w:pPr>
            <w:r/>
            <w:r>
              <w:rPr>
                <w:rFonts w:ascii="Arial" w:hAnsi="Arial"/>
                <w:sz w:val="14"/>
              </w:rPr>
              <w:t>0 / 46 / 2 / 44</w:t>
            </w:r>
          </w:p>
        </w:tc>
        <w:tc>
          <w:tcPr>
            <w:tcW w:type="dxa" w:w="1258"/>
          </w:tcPr>
          <w:p>
            <w:pPr>
              <w:spacing w:after="20" w:before="20"/>
              <w:jc w:val="center"/>
            </w:pPr>
            <w:r/>
            <w:r>
              <w:rPr>
                <w:rFonts w:ascii="Arial" w:hAnsi="Arial"/>
                <w:sz w:val="14"/>
              </w:rPr>
              <w:t>0.478 [0.446, 0.500]</w:t>
            </w:r>
          </w:p>
        </w:tc>
        <w:tc>
          <w:tcPr>
            <w:tcW w:type="dxa" w:w="1258"/>
          </w:tcPr>
          <w:p>
            <w:pPr>
              <w:spacing w:after="20" w:before="20"/>
              <w:jc w:val="center"/>
            </w:pPr>
            <w:r/>
            <w:r>
              <w:rPr>
                <w:rFonts w:ascii="Arial" w:hAnsi="Arial"/>
                <w:b/>
                <w:sz w:val="14"/>
              </w:rPr>
              <w:t>0.957</w:t>
            </w:r>
            <w:r>
              <w:rPr>
                <w:rFonts w:ascii="Arial" w:hAnsi="Arial"/>
                <w:sz w:val="14"/>
              </w:rPr>
              <w:t xml:space="preserve"> [0.891, 1.000]</w:t>
            </w:r>
          </w:p>
        </w:tc>
        <w:tc>
          <w:tcPr>
            <w:tcW w:type="dxa" w:w="1258"/>
          </w:tcPr>
          <w:p>
            <w:pPr>
              <w:spacing w:after="20" w:before="20"/>
              <w:jc w:val="center"/>
            </w:pPr>
            <w:r/>
            <w:r>
              <w:rPr>
                <w:rFonts w:ascii="Arial" w:hAnsi="Arial"/>
                <w:b/>
                <w:sz w:val="14"/>
              </w:rPr>
              <w:t>0.000</w:t>
            </w:r>
            <w:r>
              <w:rPr>
                <w:rFonts w:ascii="Arial" w:hAnsi="Arial"/>
                <w:sz w:val="14"/>
              </w:rPr>
              <w:t xml:space="preserve"> [0.000, 0.000]</w:t>
            </w:r>
          </w:p>
        </w:tc>
        <w:tc>
          <w:tcPr>
            <w:tcW w:type="dxa" w:w="1258"/>
          </w:tcPr>
          <w:p>
            <w:pPr>
              <w:spacing w:after="20" w:before="20"/>
              <w:jc w:val="center"/>
            </w:pPr>
            <w:r/>
            <w:r>
              <w:rPr>
                <w:rFonts w:ascii="Arial" w:hAnsi="Arial"/>
                <w:sz w:val="14"/>
              </w:rPr>
              <w:t>0.489 [0.471, 0.500]</w:t>
            </w:r>
          </w:p>
        </w:tc>
        <w:tc>
          <w:tcPr>
            <w:tcW w:type="dxa" w:w="1258"/>
          </w:tcPr>
          <w:p>
            <w:pPr>
              <w:spacing w:after="20" w:before="20"/>
              <w:jc w:val="center"/>
            </w:pPr>
            <w:r/>
            <w:r>
              <w:rPr>
                <w:rFonts w:ascii="Arial" w:hAnsi="Arial"/>
                <w:sz w:val="14"/>
              </w:rPr>
              <w:t>0.647 [0.617, 0.667]</w:t>
            </w:r>
          </w:p>
        </w:tc>
        <w:tc>
          <w:tcPr>
            <w:tcW w:type="dxa" w:w="1258"/>
          </w:tcPr>
          <w:p>
            <w:pPr>
              <w:spacing w:after="20" w:before="20"/>
              <w:jc w:val="center"/>
            </w:pPr>
            <w:r/>
            <w:r>
              <w:rPr>
                <w:rFonts w:ascii="Arial" w:hAnsi="Arial"/>
                <w:sz w:val="14"/>
              </w:rPr>
              <w:t>0.422 [0.307, 0.541]</w:t>
            </w:r>
          </w:p>
        </w:tc>
      </w:tr>
      <w:tr>
        <w:tc>
          <w:tcPr>
            <w:tcW w:type="dxa" w:w="1258"/>
          </w:tcPr>
          <w:p>
            <w:pPr>
              <w:spacing w:after="20" w:before="20"/>
              <w:jc w:val="left"/>
            </w:pPr>
            <w:r/>
            <w:r>
              <w:rPr>
                <w:rFonts w:ascii="Arial" w:hAnsi="Arial"/>
                <w:sz w:val="14"/>
              </w:rPr>
              <w:t>M2 CNN</w:t>
            </w:r>
          </w:p>
        </w:tc>
        <w:tc>
          <w:tcPr>
            <w:tcW w:type="dxa" w:w="1258"/>
          </w:tcPr>
          <w:p>
            <w:pPr>
              <w:spacing w:after="20" w:before="20"/>
              <w:jc w:val="center"/>
            </w:pPr>
            <w:r/>
            <w:r>
              <w:rPr>
                <w:rFonts w:ascii="Arial" w:hAnsi="Arial"/>
                <w:sz w:val="14"/>
              </w:rPr>
              <w:t>14 / 32 / 16 / 30</w:t>
            </w:r>
          </w:p>
        </w:tc>
        <w:tc>
          <w:tcPr>
            <w:tcW w:type="dxa" w:w="1258"/>
          </w:tcPr>
          <w:p>
            <w:pPr>
              <w:spacing w:after="20" w:before="20"/>
              <w:jc w:val="center"/>
            </w:pPr>
            <w:r/>
            <w:r>
              <w:rPr>
                <w:rFonts w:ascii="Arial" w:hAnsi="Arial"/>
                <w:sz w:val="14"/>
              </w:rPr>
              <w:t>0.478 [0.380, 0.576]</w:t>
            </w:r>
          </w:p>
        </w:tc>
        <w:tc>
          <w:tcPr>
            <w:tcW w:type="dxa" w:w="1258"/>
          </w:tcPr>
          <w:p>
            <w:pPr>
              <w:spacing w:after="20" w:before="20"/>
              <w:jc w:val="center"/>
            </w:pPr>
            <w:r/>
            <w:r>
              <w:rPr>
                <w:rFonts w:ascii="Arial" w:hAnsi="Arial"/>
                <w:sz w:val="14"/>
              </w:rPr>
              <w:t>0.652 [0.522, 0.783]</w:t>
            </w:r>
          </w:p>
        </w:tc>
        <w:tc>
          <w:tcPr>
            <w:tcW w:type="dxa" w:w="1258"/>
          </w:tcPr>
          <w:p>
            <w:pPr>
              <w:spacing w:after="20" w:before="20"/>
              <w:jc w:val="center"/>
            </w:pPr>
            <w:r/>
            <w:r>
              <w:rPr>
                <w:rFonts w:ascii="Arial" w:hAnsi="Arial"/>
                <w:sz w:val="14"/>
              </w:rPr>
              <w:t>0.304 [0.174, 0.435]</w:t>
            </w:r>
          </w:p>
        </w:tc>
        <w:tc>
          <w:tcPr>
            <w:tcW w:type="dxa" w:w="1258"/>
          </w:tcPr>
          <w:p>
            <w:pPr>
              <w:spacing w:after="20" w:before="20"/>
              <w:jc w:val="center"/>
            </w:pPr>
            <w:r/>
            <w:r>
              <w:rPr>
                <w:rFonts w:ascii="Arial" w:hAnsi="Arial"/>
                <w:sz w:val="14"/>
              </w:rPr>
              <w:t>0.484 [0.411, 0.556]</w:t>
            </w:r>
          </w:p>
        </w:tc>
        <w:tc>
          <w:tcPr>
            <w:tcW w:type="dxa" w:w="1258"/>
          </w:tcPr>
          <w:p>
            <w:pPr>
              <w:spacing w:after="20" w:before="20"/>
              <w:jc w:val="center"/>
            </w:pPr>
            <w:r/>
            <w:r>
              <w:rPr>
                <w:rFonts w:ascii="Arial" w:hAnsi="Arial"/>
                <w:sz w:val="14"/>
              </w:rPr>
              <w:t>0.556 [0.460, 0.642]</w:t>
            </w:r>
          </w:p>
        </w:tc>
        <w:tc>
          <w:tcPr>
            <w:tcW w:type="dxa" w:w="1258"/>
          </w:tcPr>
          <w:p>
            <w:pPr>
              <w:spacing w:after="20" w:before="20"/>
              <w:jc w:val="center"/>
            </w:pPr>
            <w:r/>
            <w:r>
              <w:rPr>
                <w:rFonts w:ascii="Arial" w:hAnsi="Arial"/>
                <w:sz w:val="14"/>
              </w:rPr>
              <w:t>0.403 [0.289, 0.523]</w:t>
            </w:r>
          </w:p>
        </w:tc>
      </w:tr>
      <w:tr>
        <w:tc>
          <w:tcPr>
            <w:tcW w:type="dxa" w:w="1258"/>
          </w:tcPr>
          <w:p>
            <w:pPr>
              <w:spacing w:after="20" w:before="20"/>
              <w:jc w:val="left"/>
            </w:pPr>
            <w:r/>
            <w:r>
              <w:rPr>
                <w:rFonts w:ascii="Arial" w:hAnsi="Arial"/>
                <w:sz w:val="14"/>
              </w:rPr>
              <w:t>M3 MobileNetV3</w:t>
            </w:r>
          </w:p>
        </w:tc>
        <w:tc>
          <w:tcPr>
            <w:tcW w:type="dxa" w:w="1258"/>
          </w:tcPr>
          <w:p>
            <w:pPr>
              <w:spacing w:after="20" w:before="20"/>
              <w:jc w:val="center"/>
            </w:pPr>
            <w:r/>
            <w:r>
              <w:rPr>
                <w:rFonts w:ascii="Arial" w:hAnsi="Arial"/>
                <w:sz w:val="14"/>
              </w:rPr>
              <w:t>30 / 16 / 26 / 20</w:t>
            </w:r>
          </w:p>
        </w:tc>
        <w:tc>
          <w:tcPr>
            <w:tcW w:type="dxa" w:w="1258"/>
          </w:tcPr>
          <w:p>
            <w:pPr>
              <w:spacing w:after="20" w:before="20"/>
              <w:jc w:val="center"/>
            </w:pPr>
            <w:r/>
            <w:r>
              <w:rPr>
                <w:rFonts w:ascii="Arial" w:hAnsi="Arial"/>
                <w:sz w:val="14"/>
              </w:rPr>
              <w:t>0.543 [0.446, 0.641]</w:t>
            </w:r>
          </w:p>
        </w:tc>
        <w:tc>
          <w:tcPr>
            <w:tcW w:type="dxa" w:w="1258"/>
          </w:tcPr>
          <w:p>
            <w:pPr>
              <w:spacing w:after="20" w:before="20"/>
              <w:jc w:val="center"/>
            </w:pPr>
            <w:r/>
            <w:r>
              <w:rPr>
                <w:rFonts w:ascii="Arial" w:hAnsi="Arial"/>
                <w:sz w:val="14"/>
              </w:rPr>
              <w:t>0.435 [0.283, 0.587]</w:t>
            </w:r>
          </w:p>
        </w:tc>
        <w:tc>
          <w:tcPr>
            <w:tcW w:type="dxa" w:w="1258"/>
          </w:tcPr>
          <w:p>
            <w:pPr>
              <w:spacing w:after="20" w:before="20"/>
              <w:jc w:val="center"/>
            </w:pPr>
            <w:r/>
            <w:r>
              <w:rPr>
                <w:rFonts w:ascii="Arial" w:hAnsi="Arial"/>
                <w:sz w:val="14"/>
              </w:rPr>
              <w:t>0.652 [0.522, 0.783]</w:t>
            </w:r>
          </w:p>
        </w:tc>
        <w:tc>
          <w:tcPr>
            <w:tcW w:type="dxa" w:w="1258"/>
          </w:tcPr>
          <w:p>
            <w:pPr>
              <w:spacing w:after="20" w:before="20"/>
              <w:jc w:val="center"/>
            </w:pPr>
            <w:r/>
            <w:r>
              <w:rPr>
                <w:rFonts w:ascii="Arial" w:hAnsi="Arial"/>
                <w:sz w:val="14"/>
              </w:rPr>
              <w:t>0.556 [0.424, 0.690]</w:t>
            </w:r>
          </w:p>
        </w:tc>
        <w:tc>
          <w:tcPr>
            <w:tcW w:type="dxa" w:w="1258"/>
          </w:tcPr>
          <w:p>
            <w:pPr>
              <w:spacing w:after="20" w:before="20"/>
              <w:jc w:val="center"/>
            </w:pPr>
            <w:r/>
            <w:r>
              <w:rPr>
                <w:rFonts w:ascii="Arial" w:hAnsi="Arial"/>
                <w:sz w:val="14"/>
              </w:rPr>
              <w:t>0.488 [0.354, 0.612]</w:t>
            </w:r>
          </w:p>
        </w:tc>
        <w:tc>
          <w:tcPr>
            <w:tcW w:type="dxa" w:w="1258"/>
          </w:tcPr>
          <w:p>
            <w:pPr>
              <w:spacing w:after="20" w:before="20"/>
              <w:jc w:val="center"/>
            </w:pPr>
            <w:r/>
            <w:r>
              <w:rPr>
                <w:rFonts w:ascii="Arial" w:hAnsi="Arial"/>
                <w:sz w:val="14"/>
              </w:rPr>
              <w:t>0.641 [0.523, 0.755]</w:t>
            </w:r>
          </w:p>
        </w:tc>
      </w:tr>
      <w:tr>
        <w:tc>
          <w:tcPr>
            <w:tcW w:type="dxa" w:w="1258"/>
          </w:tcPr>
          <w:p>
            <w:pPr>
              <w:spacing w:after="20" w:before="20"/>
              <w:jc w:val="left"/>
            </w:pPr>
            <w:r/>
            <w:r>
              <w:rPr>
                <w:rFonts w:ascii="Arial" w:hAnsi="Arial"/>
                <w:sz w:val="14"/>
              </w:rPr>
              <w:t>M4 EfficientNet-B0</w:t>
            </w:r>
          </w:p>
        </w:tc>
        <w:tc>
          <w:tcPr>
            <w:tcW w:type="dxa" w:w="1258"/>
          </w:tcPr>
          <w:p>
            <w:pPr>
              <w:spacing w:after="20" w:before="20"/>
              <w:jc w:val="center"/>
            </w:pPr>
            <w:r/>
            <w:r>
              <w:rPr>
                <w:rFonts w:ascii="Arial" w:hAnsi="Arial"/>
                <w:sz w:val="14"/>
              </w:rPr>
              <w:t>33 / 13 / 19 / 27</w:t>
            </w:r>
          </w:p>
        </w:tc>
        <w:tc>
          <w:tcPr>
            <w:tcW w:type="dxa" w:w="1258"/>
          </w:tcPr>
          <w:p>
            <w:pPr>
              <w:spacing w:after="20" w:before="20"/>
              <w:jc w:val="center"/>
            </w:pPr>
            <w:r/>
            <w:r>
              <w:rPr>
                <w:rFonts w:ascii="Arial" w:hAnsi="Arial"/>
                <w:b/>
                <w:sz w:val="14"/>
              </w:rPr>
              <w:t>0.652</w:t>
            </w:r>
            <w:r>
              <w:rPr>
                <w:rFonts w:ascii="Arial" w:hAnsi="Arial"/>
                <w:sz w:val="14"/>
              </w:rPr>
              <w:t xml:space="preserve"> [0.554, 0.750]</w:t>
            </w:r>
          </w:p>
        </w:tc>
        <w:tc>
          <w:tcPr>
            <w:tcW w:type="dxa" w:w="1258"/>
          </w:tcPr>
          <w:p>
            <w:pPr>
              <w:spacing w:after="20" w:before="20"/>
              <w:jc w:val="center"/>
            </w:pPr>
            <w:r/>
            <w:r>
              <w:rPr>
                <w:rFonts w:ascii="Arial" w:hAnsi="Arial"/>
                <w:sz w:val="14"/>
              </w:rPr>
              <w:t>0.587 [0.435, 0.717]</w:t>
            </w:r>
          </w:p>
        </w:tc>
        <w:tc>
          <w:tcPr>
            <w:tcW w:type="dxa" w:w="1258"/>
          </w:tcPr>
          <w:p>
            <w:pPr>
              <w:spacing w:after="20" w:before="20"/>
              <w:jc w:val="center"/>
            </w:pPr>
            <w:r/>
            <w:r>
              <w:rPr>
                <w:rFonts w:ascii="Arial" w:hAnsi="Arial"/>
                <w:sz w:val="14"/>
              </w:rPr>
              <w:t>0.717 [0.587, 0.848]</w:t>
            </w:r>
          </w:p>
        </w:tc>
        <w:tc>
          <w:tcPr>
            <w:tcW w:type="dxa" w:w="1258"/>
          </w:tcPr>
          <w:p>
            <w:pPr>
              <w:spacing w:after="20" w:before="20"/>
              <w:jc w:val="center"/>
            </w:pPr>
            <w:r/>
            <w:r>
              <w:rPr>
                <w:rFonts w:ascii="Arial" w:hAnsi="Arial"/>
                <w:sz w:val="14"/>
              </w:rPr>
              <w:t>0.675 [0.564, 0.795]</w:t>
            </w:r>
          </w:p>
        </w:tc>
        <w:tc>
          <w:tcPr>
            <w:tcW w:type="dxa" w:w="1258"/>
          </w:tcPr>
          <w:p>
            <w:pPr>
              <w:spacing w:after="20" w:before="20"/>
              <w:jc w:val="center"/>
            </w:pPr>
            <w:r/>
            <w:r>
              <w:rPr>
                <w:rFonts w:ascii="Arial" w:hAnsi="Arial"/>
                <w:sz w:val="14"/>
              </w:rPr>
              <w:t>0.628 [0.506, 0.736]</w:t>
            </w:r>
          </w:p>
        </w:tc>
        <w:tc>
          <w:tcPr>
            <w:tcW w:type="dxa" w:w="1258"/>
          </w:tcPr>
          <w:p>
            <w:pPr>
              <w:spacing w:after="20" w:before="20"/>
              <w:jc w:val="center"/>
            </w:pPr>
            <w:r/>
            <w:r>
              <w:rPr>
                <w:rFonts w:ascii="Arial" w:hAnsi="Arial"/>
                <w:b/>
                <w:sz w:val="14"/>
              </w:rPr>
              <w:t>0.713</w:t>
            </w:r>
            <w:r>
              <w:rPr>
                <w:rFonts w:ascii="Arial" w:hAnsi="Arial"/>
                <w:sz w:val="14"/>
              </w:rPr>
              <w:t xml:space="preserve"> [0.603, 0.816]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Three of the four models are indistinguishable from chance.</w:t>
      </w:r>
      <w:r>
        <w:rPr>
          <w:rFonts w:ascii="Times New Roman" w:hAnsi="Times New Roman"/>
          <w:sz w:val="20"/>
        </w:rPr>
        <w:t xml:space="preserve"> Balanced accuracy runs 0.478, 0.478, 0.543 and 0.652, and </w:t>
      </w:r>
      <w:r>
        <w:rPr>
          <w:rFonts w:ascii="Times New Roman" w:hAnsi="Times New Roman"/>
          <w:b/>
          <w:sz w:val="20"/>
        </w:rPr>
        <w:t>only M4's interval excludes 0.500</w:t>
      </w:r>
      <w:r>
        <w:rPr>
          <w:rFonts w:ascii="Times New Roman" w:hAnsi="Times New Roman"/>
          <w:sz w:val="20"/>
        </w:rPr>
        <w:t>. M1 and M2 return ROC-AUCs of 0.422 and 0.403, whose intervals reach above 0.5 but whose point estimates lie below it: on this set their scores carry no usable information about the label. These are the same four models that reach 0.842 to 0.987 on their own internal partitions. No pair of models in Table 4 is separated by more than sampling noise, so the table supports statements about point estimates and about chance, not a ranking of architectures.</w:t>
      </w:r>
    </w:p>
    <w:p>
      <w:pPr>
        <w:spacing w:after="0" w:before="0" w:line="240" w:lineRule="exact"/>
        <w:ind w:firstLine="202"/>
        <w:jc w:val="both"/>
      </w:pPr>
      <w:r>
        <w:rPr>
          <w:rFonts w:ascii="Times New Roman" w:hAnsi="Times New Roman"/>
          <w:b/>
          <w:sz w:val="20"/>
        </w:rPr>
        <w:t>The degenerate classifier the one-sided evaluations could not exclude is now measured as degenerate.</w:t>
      </w:r>
      <w:r>
        <w:rPr>
          <w:rFonts w:ascii="Times New Roman" w:hAnsi="Times New Roman"/>
          <w:sz w:val="20"/>
        </w:rPr>
        <w:t xml:space="preserve"> Section III-D notes that an authentic-only set cannot separate a real decision rule from a shifted operating point. M1 is the case: it calls </w:t>
      </w:r>
      <w:r>
        <w:rPr>
          <w:rFonts w:ascii="Times New Roman" w:hAnsi="Times New Roman"/>
          <w:b/>
          <w:sz w:val="20"/>
        </w:rPr>
        <w:t>90 of 92</w:t>
      </w:r>
      <w:r>
        <w:rPr>
          <w:rFonts w:ascii="Times New Roman" w:hAnsi="Times New Roman"/>
          <w:sz w:val="20"/>
        </w:rPr>
        <w:t xml:space="preserve"> images counterfeit, which buys 0.957 recall at 0.000 specificity and an F1 of 0.647 — a figure that looks respectable in isolation and describes a classifier that has never once said "authentic". Its balanced accuracy is 0.478. </w:t>
      </w:r>
      <w:r>
        <w:rPr>
          <w:rFonts w:ascii="Times New Roman" w:hAnsi="Times New Roman"/>
          <w:b/>
          <w:sz w:val="20"/>
        </w:rPr>
        <w:t>A one-sided external evaluation, or an F1 quoted alone, would have concealed this; the balanced set names it in one row.</w:t>
      </w:r>
    </w:p>
    <w:p>
      <w:pPr>
        <w:spacing w:after="0" w:before="0" w:line="240" w:lineRule="exact"/>
        <w:ind w:firstLine="202"/>
        <w:jc w:val="both"/>
      </w:pPr>
      <w:r>
        <w:rPr>
          <w:rFonts w:ascii="Times New Roman" w:hAnsi="Times New Roman"/>
          <w:b/>
          <w:sz w:val="20"/>
        </w:rPr>
        <w:t>Surviving the acquisition-shift test does not predict this result, and M2 is the demonstration.</w:t>
      </w:r>
      <w:r>
        <w:rPr>
          <w:rFonts w:ascii="Times New Roman" w:hAnsi="Times New Roman"/>
          <w:sz w:val="20"/>
        </w:rPr>
        <w:t xml:space="preserve"> M2 has the highest external specificity point estimate in this study — 0.860 on condition C, above its own in-distribution authentic-class accuracy (Table 5) — and returns balanced accuracy 0.478 with ROC-AUC 0.403 on the balanced set. The ordering of point estimates is not preserved between the two evaluations either: M2 is highest on condition C and joint-lowest here, tied with the 97-parameter baseline, while M4 has the highest point estimate here. </w:t>
      </w:r>
      <w:r>
        <w:rPr>
          <w:rFonts w:ascii="Times New Roman" w:hAnsi="Times New Roman"/>
          <w:b/>
          <w:sz w:val="20"/>
        </w:rPr>
        <w:t>The two evaluations answer different questions, and the one-sided answer does not transfer.</w:t>
      </w:r>
    </w:p>
    <w:p>
      <w:pPr>
        <w:spacing w:after="0" w:before="0" w:line="240" w:lineRule="exact"/>
        <w:ind w:firstLine="202"/>
        <w:jc w:val="both"/>
      </w:pPr>
      <w:r>
        <w:rPr>
          <w:rFonts w:ascii="Times New Roman" w:hAnsi="Times New Roman"/>
          <w:b/>
          <w:sz w:val="20"/>
        </w:rPr>
        <w:t>What Table 4 establishes</w:t>
      </w:r>
      <w:r>
        <w:rPr>
          <w:rFonts w:ascii="Times New Roman" w:hAnsi="Times New Roman"/>
          <w:sz w:val="20"/>
        </w:rPr>
        <w:t xml:space="preserve"> is that these models, evaluated on independently sourced photographs of both classes with file-level acquisition standardized by construction, perform at or near chance, the highest point estimate reaching 0.652 [0.554, 0.750]. It does not establish counterfeit-detection performance in the field, and because the authentic class is unverified, its specificity column measures agreement with a label rather than with ground truth; Section V-D states both limits.</w:t>
      </w:r>
    </w:p>
    <w:p>
      <w:pPr>
        <w:keepNext/>
        <w:spacing w:before="160" w:after="60" w:line="240" w:lineRule="exact"/>
        <w:jc w:val="left"/>
      </w:pPr>
      <w:r>
        <w:rPr>
          <w:rFonts w:ascii="Arial" w:hAnsi="Arial"/>
          <w:b/>
          <w:i/>
          <w:color w:val="000000"/>
          <w:sz w:val="18"/>
        </w:rPr>
        <w:t>D. THE EXTERNAL ACQUISITION-SHIFT TEST</w:t>
      </w:r>
    </w:p>
    <w:p>
      <w:pPr>
        <w:spacing w:after="0" w:before="0" w:line="240" w:lineRule="exact"/>
        <w:ind w:firstLine="202"/>
        <w:jc w:val="both"/>
      </w:pPr>
      <w:r>
        <w:rPr>
          <w:rFonts w:ascii="Times New Roman" w:hAnsi="Times New Roman"/>
          <w:sz w:val="20"/>
        </w:rPr>
        <w:t xml:space="preserve">The acquisition-shift experiment measures one thing the balanced set cannot: what happens to the authentic class when capture conditions change. Both conditions hold authentic images only, so every number in this section is an </w:t>
      </w:r>
      <w:r>
        <w:rPr>
          <w:rFonts w:ascii="Times New Roman" w:hAnsi="Times New Roman"/>
          <w:b/>
          <w:sz w:val="20"/>
        </w:rPr>
        <w:t>external authentic-class specificity</w:t>
      </w:r>
      <w:r>
        <w:rPr>
          <w:rFonts w:ascii="Times New Roman" w:hAnsi="Times New Roman"/>
          <w:sz w:val="20"/>
        </w:rPr>
        <w:t xml:space="preserve">, and </w:t>
      </w:r>
      <w:r>
        <w:rPr>
          <w:rFonts w:ascii="Times New Roman" w:hAnsi="Times New Roman"/>
          <w:b/>
          <w:sz w:val="20"/>
        </w:rPr>
        <w:t>the experiment measures no counterfeit recall whatever</w:t>
      </w:r>
      <w:r>
        <w:rPr>
          <w:rFonts w:ascii="Times New Roman" w:hAnsi="Times New Roman"/>
          <w:sz w:val="20"/>
        </w:rPr>
        <w:t xml:space="preserve"> (Section III-D).</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5. </w:t>
      </w:r>
      <w:r>
        <w:rPr>
          <w:rFonts w:ascii="Arial" w:hAnsi="Arial"/>
          <w:color w:val="000000"/>
          <w:sz w:val="14"/>
        </w:rPr>
        <w:t xml:space="preserve">The acquisition-shift experiment: authentic-class specificity under two capture conditions on approximately the same products. Every figure is a true-negative rate and none estimates counterfeit recall. </w:t>
      </w:r>
      <w:r>
        <w:rPr>
          <w:rFonts w:ascii="Arial" w:hAnsi="Arial"/>
          <w:b/>
          <w:color w:val="000000"/>
          <w:sz w:val="14"/>
        </w:rPr>
        <w:t>Both model conditions come from the current deterministic pipeline at seed 42</w:t>
      </w:r>
      <w:r>
        <w:rPr>
          <w:rFonts w:ascii="Arial" w:hAnsi="Arial"/>
          <w:color w:val="000000"/>
          <w:sz w:val="14"/>
        </w:rPr>
        <w:t>, so the baseline and normalized columns differ only by the operator of Eq. (8) and the comparison is within-run; Table 6 gives both across five seeds. The in-distribution reference is authentic-class accuracy on each model's own Split B test partition (n = 39). Conditions C and D cover the same packages and are compared as independent proportions rather than pooled (Section III-D). Intervals are 95% Wilson on the counts given as k/n.</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Model</w:t>
            </w:r>
          </w:p>
        </w:tc>
        <w:tc>
          <w:tcPr>
            <w:tcW w:type="dxa" w:w="1677"/>
            <w:shd w:val="clear" w:color="auto" w:fill="DCE6EF"/>
          </w:tcPr>
          <w:p>
            <w:pPr>
              <w:spacing w:after="20" w:before="20"/>
              <w:jc w:val="center"/>
            </w:pPr>
            <w:r>
              <w:rPr>
                <w:b/>
              </w:rPr>
            </w:r>
            <w:r>
              <w:rPr>
                <w:rFonts w:ascii="Arial" w:hAnsi="Arial"/>
                <w:b/>
                <w:sz w:val="14"/>
              </w:rPr>
              <w:t>In-distribution authentic accuracy (k = 39)</w:t>
            </w:r>
          </w:p>
        </w:tc>
        <w:tc>
          <w:tcPr>
            <w:tcW w:type="dxa" w:w="1677"/>
            <w:shd w:val="clear" w:color="auto" w:fill="DCE6EF"/>
          </w:tcPr>
          <w:p>
            <w:pPr>
              <w:spacing w:after="20" w:before="20"/>
              <w:jc w:val="center"/>
            </w:pPr>
            <w:r>
              <w:rPr>
                <w:b/>
              </w:rPr>
            </w:r>
            <w:r>
              <w:rPr>
                <w:rFonts w:ascii="Arial" w:hAnsi="Arial"/>
                <w:b/>
                <w:sz w:val="14"/>
              </w:rPr>
              <w:t>Condition C, baseline (n = 150)</w:t>
            </w:r>
          </w:p>
        </w:tc>
        <w:tc>
          <w:tcPr>
            <w:tcW w:type="dxa" w:w="1677"/>
            <w:shd w:val="clear" w:color="auto" w:fill="DCE6EF"/>
          </w:tcPr>
          <w:p>
            <w:pPr>
              <w:spacing w:after="20" w:before="20"/>
              <w:jc w:val="center"/>
            </w:pPr>
            <w:r>
              <w:rPr>
                <w:b/>
              </w:rPr>
            </w:r>
            <w:r>
              <w:rPr>
                <w:rFonts w:ascii="Arial" w:hAnsi="Arial"/>
                <w:b/>
                <w:sz w:val="14"/>
              </w:rPr>
              <w:t>Condition C, normalized (n = 150)</w:t>
            </w:r>
          </w:p>
        </w:tc>
        <w:tc>
          <w:tcPr>
            <w:tcW w:type="dxa" w:w="1677"/>
            <w:shd w:val="clear" w:color="auto" w:fill="DCE6EF"/>
          </w:tcPr>
          <w:p>
            <w:pPr>
              <w:spacing w:after="20" w:before="20"/>
              <w:jc w:val="center"/>
            </w:pPr>
            <w:r>
              <w:rPr>
                <w:b/>
              </w:rPr>
            </w:r>
            <w:r>
              <w:rPr>
                <w:rFonts w:ascii="Arial" w:hAnsi="Arial"/>
                <w:b/>
                <w:sz w:val="14"/>
              </w:rPr>
              <w:t>Condition D, normalized (n = 149)</w:t>
            </w:r>
          </w:p>
        </w:tc>
        <w:tc>
          <w:tcPr>
            <w:tcW w:type="dxa" w:w="1677"/>
            <w:shd w:val="clear" w:color="auto" w:fill="DCE6EF"/>
          </w:tcPr>
          <w:p>
            <w:pPr>
              <w:spacing w:after="20" w:before="20"/>
              <w:jc w:val="center"/>
            </w:pPr>
            <w:r>
              <w:rPr>
                <w:b/>
              </w:rPr>
            </w:r>
            <w:r>
              <w:rPr>
                <w:rFonts w:ascii="Arial" w:hAnsi="Arial"/>
                <w:b/>
                <w:sz w:val="14"/>
              </w:rPr>
              <w:t>C → D change (points)</w:t>
            </w:r>
          </w:p>
        </w:tc>
      </w:tr>
      <w:tr>
        <w:tc>
          <w:tcPr>
            <w:tcW w:type="dxa" w:w="1677"/>
          </w:tcPr>
          <w:p>
            <w:pPr>
              <w:spacing w:after="20" w:before="20"/>
              <w:jc w:val="left"/>
            </w:pPr>
            <w:r/>
            <w:r>
              <w:rPr>
                <w:rFonts w:ascii="Arial" w:hAnsi="Arial"/>
                <w:sz w:val="14"/>
              </w:rPr>
              <w:t>M1 hist+LR</w:t>
            </w:r>
          </w:p>
        </w:tc>
        <w:tc>
          <w:tcPr>
            <w:tcW w:type="dxa" w:w="1677"/>
          </w:tcPr>
          <w:p>
            <w:pPr>
              <w:spacing w:after="20" w:before="20"/>
              <w:jc w:val="center"/>
            </w:pPr>
            <w:r/>
            <w:r>
              <w:rPr>
                <w:rFonts w:ascii="Arial" w:hAnsi="Arial"/>
                <w:sz w:val="14"/>
              </w:rPr>
              <w:t>27/39 = 0.692 [0.536, 0.814]</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0/149 = 0.000 [0.000, 0.025]</w:t>
            </w:r>
          </w:p>
        </w:tc>
        <w:tc>
          <w:tcPr>
            <w:tcW w:type="dxa" w:w="1677"/>
          </w:tcPr>
          <w:p>
            <w:pPr>
              <w:spacing w:after="20" w:before="20"/>
              <w:jc w:val="center"/>
            </w:pPr>
            <w:r/>
            <w:r>
              <w:rPr>
                <w:rFonts w:ascii="Arial" w:hAnsi="Arial"/>
                <w:sz w:val="14"/>
              </w:rPr>
              <w:t>0.0</w:t>
            </w:r>
          </w:p>
        </w:tc>
      </w:tr>
      <w:tr>
        <w:tc>
          <w:tcPr>
            <w:tcW w:type="dxa" w:w="1677"/>
          </w:tcPr>
          <w:p>
            <w:pPr>
              <w:spacing w:after="20" w:before="20"/>
              <w:jc w:val="left"/>
            </w:pPr>
            <w:r/>
            <w:r>
              <w:rPr>
                <w:rFonts w:ascii="Arial" w:hAnsi="Arial"/>
                <w:sz w:val="14"/>
              </w:rPr>
              <w:t>M2 CNN</w:t>
            </w:r>
          </w:p>
        </w:tc>
        <w:tc>
          <w:tcPr>
            <w:tcW w:type="dxa" w:w="1677"/>
          </w:tcPr>
          <w:p>
            <w:pPr>
              <w:spacing w:after="20" w:before="20"/>
              <w:jc w:val="center"/>
            </w:pPr>
            <w:r/>
            <w:r>
              <w:rPr>
                <w:rFonts w:ascii="Arial" w:hAnsi="Arial"/>
                <w:sz w:val="14"/>
              </w:rPr>
              <w:t>33/39 = 0.846 [0.703, 0.928]</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 xml:space="preserve">129/150 = </w:t>
            </w:r>
            <w:r>
              <w:rPr>
                <w:rFonts w:ascii="Arial" w:hAnsi="Arial"/>
                <w:b/>
                <w:sz w:val="14"/>
              </w:rPr>
              <w:t>0.860</w:t>
            </w:r>
            <w:r>
              <w:rPr>
                <w:rFonts w:ascii="Arial" w:hAnsi="Arial"/>
                <w:sz w:val="14"/>
              </w:rPr>
              <w:t xml:space="preserve"> [0.795, 0.907]</w:t>
            </w:r>
          </w:p>
        </w:tc>
        <w:tc>
          <w:tcPr>
            <w:tcW w:type="dxa" w:w="1677"/>
          </w:tcPr>
          <w:p>
            <w:pPr>
              <w:spacing w:after="20" w:before="20"/>
              <w:jc w:val="center"/>
            </w:pPr>
            <w:r/>
            <w:r>
              <w:rPr>
                <w:rFonts w:ascii="Arial" w:hAnsi="Arial"/>
                <w:sz w:val="14"/>
              </w:rPr>
              <w:t xml:space="preserve">69/149 = </w:t>
            </w:r>
            <w:r>
              <w:rPr>
                <w:rFonts w:ascii="Arial" w:hAnsi="Arial"/>
                <w:b/>
                <w:sz w:val="14"/>
              </w:rPr>
              <w:t>0.463</w:t>
            </w:r>
            <w:r>
              <w:rPr>
                <w:rFonts w:ascii="Arial" w:hAnsi="Arial"/>
                <w:sz w:val="14"/>
              </w:rPr>
              <w:t xml:space="preserve"> [0.385, 0.543]</w:t>
            </w:r>
          </w:p>
        </w:tc>
        <w:tc>
          <w:tcPr>
            <w:tcW w:type="dxa" w:w="1677"/>
          </w:tcPr>
          <w:p>
            <w:pPr>
              <w:spacing w:after="20" w:before="20"/>
              <w:jc w:val="center"/>
            </w:pPr>
            <w:r/>
            <w:r>
              <w:rPr>
                <w:rFonts w:ascii="Arial" w:hAnsi="Arial"/>
                <w:b/>
                <w:sz w:val="14"/>
              </w:rPr>
              <w:t>−39.7</w:t>
            </w:r>
          </w:p>
        </w:tc>
      </w:tr>
      <w:tr>
        <w:tc>
          <w:tcPr>
            <w:tcW w:type="dxa" w:w="1677"/>
          </w:tcPr>
          <w:p>
            <w:pPr>
              <w:spacing w:after="20" w:before="20"/>
              <w:jc w:val="left"/>
            </w:pPr>
            <w:r/>
            <w:r>
              <w:rPr>
                <w:rFonts w:ascii="Arial" w:hAnsi="Arial"/>
                <w:sz w:val="14"/>
              </w:rPr>
              <w:t>M3 MobileNetV3</w:t>
            </w:r>
          </w:p>
        </w:tc>
        <w:tc>
          <w:tcPr>
            <w:tcW w:type="dxa" w:w="1677"/>
          </w:tcPr>
          <w:p>
            <w:pPr>
              <w:spacing w:after="20" w:before="20"/>
              <w:jc w:val="center"/>
            </w:pPr>
            <w:r/>
            <w:r>
              <w:rPr>
                <w:rFonts w:ascii="Arial" w:hAnsi="Arial"/>
                <w:sz w:val="14"/>
              </w:rPr>
              <w:t>38/39 = 0.974 [0.868, 0.995]</w:t>
            </w:r>
          </w:p>
        </w:tc>
        <w:tc>
          <w:tcPr>
            <w:tcW w:type="dxa" w:w="1677"/>
          </w:tcPr>
          <w:p>
            <w:pPr>
              <w:spacing w:after="20" w:before="20"/>
              <w:jc w:val="center"/>
            </w:pPr>
            <w:r/>
            <w:r>
              <w:rPr>
                <w:rFonts w:ascii="Arial" w:hAnsi="Arial"/>
                <w:sz w:val="14"/>
              </w:rPr>
              <w:t>100/150 = 0.667 [0.588, 0.737]</w:t>
            </w:r>
          </w:p>
        </w:tc>
        <w:tc>
          <w:tcPr>
            <w:tcW w:type="dxa" w:w="1677"/>
          </w:tcPr>
          <w:p>
            <w:pPr>
              <w:spacing w:after="20" w:before="20"/>
              <w:jc w:val="center"/>
            </w:pPr>
            <w:r/>
            <w:r>
              <w:rPr>
                <w:rFonts w:ascii="Arial" w:hAnsi="Arial"/>
                <w:sz w:val="14"/>
              </w:rPr>
              <w:t>116/150 = 0.773 [0.700, 0.833]</w:t>
            </w:r>
          </w:p>
        </w:tc>
        <w:tc>
          <w:tcPr>
            <w:tcW w:type="dxa" w:w="1677"/>
          </w:tcPr>
          <w:p>
            <w:pPr>
              <w:spacing w:after="20" w:before="20"/>
              <w:jc w:val="center"/>
            </w:pPr>
            <w:r/>
            <w:r>
              <w:rPr>
                <w:rFonts w:ascii="Arial" w:hAnsi="Arial"/>
                <w:sz w:val="14"/>
              </w:rPr>
              <w:t>108/149 = 0.725 [0.648, 0.790]</w:t>
            </w:r>
          </w:p>
        </w:tc>
        <w:tc>
          <w:tcPr>
            <w:tcW w:type="dxa" w:w="1677"/>
          </w:tcPr>
          <w:p>
            <w:pPr>
              <w:spacing w:after="20" w:before="20"/>
              <w:jc w:val="center"/>
            </w:pPr>
            <w:r/>
            <w:r>
              <w:rPr>
                <w:rFonts w:ascii="Arial" w:hAnsi="Arial"/>
                <w:sz w:val="14"/>
              </w:rPr>
              <w:t>−4.9</w:t>
            </w:r>
          </w:p>
        </w:tc>
      </w:tr>
      <w:tr>
        <w:tc>
          <w:tcPr>
            <w:tcW w:type="dxa" w:w="1677"/>
          </w:tcPr>
          <w:p>
            <w:pPr>
              <w:spacing w:after="20" w:before="20"/>
              <w:jc w:val="left"/>
            </w:pPr>
            <w:r/>
            <w:r>
              <w:rPr>
                <w:rFonts w:ascii="Arial" w:hAnsi="Arial"/>
                <w:sz w:val="14"/>
              </w:rPr>
              <w:t>M4 EfficientNet-B0</w:t>
            </w:r>
          </w:p>
        </w:tc>
        <w:tc>
          <w:tcPr>
            <w:tcW w:type="dxa" w:w="1677"/>
          </w:tcPr>
          <w:p>
            <w:pPr>
              <w:spacing w:after="20" w:before="20"/>
              <w:jc w:val="center"/>
            </w:pPr>
            <w:r/>
            <w:r>
              <w:rPr>
                <w:rFonts w:ascii="Arial" w:hAnsi="Arial"/>
                <w:sz w:val="14"/>
              </w:rPr>
              <w:t>38/39 = 0.974 [0.868, 0.995]</w:t>
            </w:r>
          </w:p>
        </w:tc>
        <w:tc>
          <w:tcPr>
            <w:tcW w:type="dxa" w:w="1677"/>
          </w:tcPr>
          <w:p>
            <w:pPr>
              <w:spacing w:after="20" w:before="20"/>
              <w:jc w:val="center"/>
            </w:pPr>
            <w:r/>
            <w:r>
              <w:rPr>
                <w:rFonts w:ascii="Arial" w:hAnsi="Arial"/>
                <w:sz w:val="14"/>
              </w:rPr>
              <w:t>9/150 = 0.060 [0.032, 0.110]</w:t>
            </w:r>
          </w:p>
        </w:tc>
        <w:tc>
          <w:tcPr>
            <w:tcW w:type="dxa" w:w="1677"/>
          </w:tcPr>
          <w:p>
            <w:pPr>
              <w:spacing w:after="20" w:before="20"/>
              <w:jc w:val="center"/>
            </w:pPr>
            <w:r/>
            <w:r>
              <w:rPr>
                <w:rFonts w:ascii="Arial" w:hAnsi="Arial"/>
                <w:sz w:val="14"/>
              </w:rPr>
              <w:t>121/150 = 0.807 [0.736, 0.862]</w:t>
            </w:r>
          </w:p>
        </w:tc>
        <w:tc>
          <w:tcPr>
            <w:tcW w:type="dxa" w:w="1677"/>
          </w:tcPr>
          <w:p>
            <w:pPr>
              <w:spacing w:after="20" w:before="20"/>
              <w:jc w:val="center"/>
            </w:pPr>
            <w:r/>
            <w:r>
              <w:rPr>
                <w:rFonts w:ascii="Arial" w:hAnsi="Arial"/>
                <w:sz w:val="14"/>
              </w:rPr>
              <w:t>124/149 = 0.832 [0.764, 0.884]</w:t>
            </w:r>
          </w:p>
        </w:tc>
        <w:tc>
          <w:tcPr>
            <w:tcW w:type="dxa" w:w="1677"/>
          </w:tcPr>
          <w:p>
            <w:pPr>
              <w:spacing w:after="20" w:before="20"/>
              <w:jc w:val="center"/>
            </w:pPr>
            <w:r/>
            <w:r>
              <w:rPr>
                <w:rFonts w:ascii="Arial" w:hAnsi="Arial"/>
                <w:sz w:val="14"/>
              </w:rPr>
              <w:t>+2.6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Two conventions govern the table. The Wilson intervals quantify sampling uncertainty on a fixed trained model, not training-run variance, which Table 6 measures separately. And one earlier measurement is superseded rather than reported: an archived run predating three-way normalization returned 104/150 for M3 and 5/150 for M4, from a pipeline carrying two defects since fixed (Section S-I-G).</w:t>
      </w:r>
    </w:p>
    <w:p>
      <w:pPr>
        <w:spacing w:after="0" w:before="0" w:line="240" w:lineRule="exact"/>
        <w:ind w:firstLine="202"/>
        <w:jc w:val="both"/>
      </w:pPr>
      <w:r>
        <w:rPr>
          <w:rFonts w:ascii="Times New Roman" w:hAnsi="Times New Roman"/>
          <w:b/>
          <w:sz w:val="20"/>
        </w:rPr>
        <w:t>Read the baseline column first, because it is this paper's secondary finding.</w:t>
      </w:r>
      <w:r>
        <w:rPr>
          <w:rFonts w:ascii="Times New Roman" w:hAnsi="Times New Roman"/>
          <w:sz w:val="20"/>
        </w:rPr>
        <w:t xml:space="preserve"> Two of the four models classified </w:t>
      </w:r>
      <w:r>
        <w:rPr>
          <w:rFonts w:ascii="Times New Roman" w:hAnsi="Times New Roman"/>
          <w:b/>
          <w:sz w:val="20"/>
        </w:rPr>
        <w:t>zero of 150</w:t>
      </w:r>
      <w:r>
        <w:rPr>
          <w:rFonts w:ascii="Times New Roman" w:hAnsi="Times New Roman"/>
          <w:sz w:val="20"/>
        </w:rPr>
        <w:t xml:space="preserve"> external authentic photographs correctly, and the model with the highest in-distribution accuracy (M4, 0.987 on Split A) reached 9/150 = 6.0%. This is a near-complete inversion on the easiest possible external case — a set holding only the class the models were most accurate on in-distribution. A model at 91.9% on Split B that recovers nine of 150 plainly authentic photographs has not learned to recognize authentic packaging; what it has learned is consistent with recognizing this dataset's photography, which Section IV-A establishes was available to it.</w:t>
      </w:r>
    </w:p>
    <w:p>
      <w:pPr>
        <w:spacing w:after="0" w:before="0" w:line="240" w:lineRule="exact"/>
        <w:ind w:firstLine="202"/>
        <w:jc w:val="both"/>
      </w:pPr>
      <w:r>
        <w:rPr>
          <w:rFonts w:ascii="Times New Roman" w:hAnsi="Times New Roman"/>
          <w:b/>
          <w:sz w:val="20"/>
        </w:rPr>
        <w:t>The correction does not transfer uniformly across the capture shift, and the model it fails for is the one with the highest condition C specificity.</w:t>
      </w:r>
      <w:r>
        <w:rPr>
          <w:rFonts w:ascii="Times New Roman" w:hAnsi="Times New Roman"/>
          <w:sz w:val="20"/>
        </w:rPr>
        <w:t xml:space="preserve"> M2 loses 39.7 points between the two conditions, from 0.860 to 0.463, with intervals nowhere near overlapping. Read that with Table 6: M2's condition D specificity is the most seed-sensitive quantity in the study (0.627 ± 0.135) and the run of record is the lowest of five, so the mean drop is 28 points rather than 39.7. The direction, and the contrast with the backbones' −3.9 and +1.8 at five seeds, hold at every seed. One capture condition cannot distinguish a general repair from one fitting condition C in particular; the second suggests it was substantially the latter.</w:t>
      </w:r>
    </w:p>
    <w:p>
      <w:pPr>
        <w:spacing w:after="0" w:before="0" w:line="240" w:lineRule="exact"/>
        <w:ind w:firstLine="202"/>
        <w:jc w:val="both"/>
      </w:pPr>
      <w:r>
        <w:rPr>
          <w:rFonts w:ascii="Times New Roman" w:hAnsi="Times New Roman"/>
          <w:b/>
          <w:sz w:val="20"/>
        </w:rPr>
        <w:t>The two pretrained backbones hold their specificity across the shift.</w:t>
      </w:r>
      <w:r>
        <w:rPr>
          <w:rFonts w:ascii="Times New Roman" w:hAnsi="Times New Roman"/>
          <w:sz w:val="20"/>
        </w:rPr>
        <w:t xml:space="preserve"> M3 moves −4.9 points and M4 +2.6, both with comfortably overlapping intervals, so neither change is distinguishable from sampling noise. The backbones are therefore shown to be </w:t>
      </w:r>
      <w:r>
        <w:rPr>
          <w:rFonts w:ascii="Times New Roman" w:hAnsi="Times New Roman"/>
          <w:b/>
          <w:sz w:val="20"/>
        </w:rPr>
        <w:t>stable across the device and lighting shift these two conditions represent, and are not shown to generalize across acquisition.</w:t>
      </w:r>
      <w:r>
        <w:rPr>
          <w:rFonts w:ascii="Times New Roman" w:hAnsi="Times New Roman"/>
          <w:sz w:val="20"/>
        </w:rPr>
        <w:t xml:space="preserve"> The two conditions share one dark backdrop, and Section IV-E finds both backbones relying strongly on the outer region of the frame; a model applying such a rule would hold its specificity across exactly this shift. </w:t>
      </w:r>
      <w:r>
        <w:rPr>
          <w:rFonts w:ascii="Times New Roman" w:hAnsi="Times New Roman"/>
          <w:b/>
          <w:sz w:val="20"/>
        </w:rPr>
        <w:t>The experiment tests the capture-pipeline confound and leaves the outer-region cue untouched.</w:t>
      </w:r>
      <w:r>
        <w:rPr>
          <w:rFonts w:ascii="Times New Roman" w:hAnsi="Times New Roman"/>
          <w:sz w:val="20"/>
        </w:rPr>
        <w:t xml:space="preserve"> M4's stability here and its 0.652 on the balanced set are the same model answering two different questions.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6. </w:t>
      </w:r>
      <w:r>
        <w:rPr>
          <w:rFonts w:ascii="Arial" w:hAnsi="Arial"/>
          <w:color w:val="000000"/>
          <w:sz w:val="14"/>
        </w:rPr>
        <w:t>Five-seed sensitivity analysis, seeds 42–46, mean ± sample standard deviation. Every other number in this paper comes from one run at seed 42; this table says how much of it is initialization. Split assignments, preprocessing and learning rates are fixed across seeds, so the training seed is the only thing that moves. Both conditions come from the same current harness as Table 5, whose columns are this table's seed-42 draw. Conditions C and D are authentic-only, so those columns are specificities. M1 is omitted: a convex fit with a deterministic solver and no augmentation, its accuracy is identical under every seed. Per-seed values are in Section S-I-U.</w:t>
      </w:r>
    </w:p>
    <w:tbl>
      <w:tblPr>
        <w:tblStyle w:val="TableGrid"/>
        <w:tblW w:type="auto" w:w="0"/>
        <w:jc w:val="center"/>
        <w:tblLayout w:type="autofit"/>
        <w:tblLook w:firstColumn="1" w:firstRow="1" w:lastColumn="0" w:lastRow="0" w:noHBand="0" w:noVBand="1" w:val="04A0"/>
      </w:tblPr>
      <w:tblGrid>
        <w:gridCol w:w="2013"/>
        <w:gridCol w:w="2013"/>
        <w:gridCol w:w="2013"/>
        <w:gridCol w:w="2013"/>
        <w:gridCol w:w="2013"/>
      </w:tblGrid>
      <w:tr>
        <w:tc>
          <w:tcPr>
            <w:tcW w:type="dxa" w:w="2013"/>
            <w:shd w:val="clear" w:color="auto" w:fill="DCE6EF"/>
          </w:tcPr>
          <w:p>
            <w:pPr>
              <w:spacing w:after="20" w:before="20"/>
              <w:jc w:val="left"/>
            </w:pPr>
            <w:r>
              <w:rPr>
                <w:b/>
              </w:rPr>
            </w:r>
            <w:r>
              <w:rPr>
                <w:rFonts w:ascii="Arial" w:hAnsi="Arial"/>
                <w:b/>
                <w:sz w:val="14"/>
              </w:rPr>
              <w:t>Model</w:t>
            </w:r>
          </w:p>
        </w:tc>
        <w:tc>
          <w:tcPr>
            <w:tcW w:type="dxa" w:w="2013"/>
            <w:shd w:val="clear" w:color="auto" w:fill="DCE6EF"/>
          </w:tcPr>
          <w:p>
            <w:pPr>
              <w:spacing w:after="20" w:before="20"/>
              <w:jc w:val="center"/>
            </w:pPr>
            <w:r>
              <w:rPr>
                <w:b/>
              </w:rPr>
            </w:r>
            <w:r>
              <w:rPr>
                <w:rFonts w:ascii="Arial" w:hAnsi="Arial"/>
                <w:b/>
                <w:sz w:val="14"/>
              </w:rPr>
              <w:t>Condition</w:t>
            </w:r>
          </w:p>
        </w:tc>
        <w:tc>
          <w:tcPr>
            <w:tcW w:type="dxa" w:w="2013"/>
            <w:shd w:val="clear" w:color="auto" w:fill="DCE6EF"/>
          </w:tcPr>
          <w:p>
            <w:pPr>
              <w:spacing w:after="20" w:before="20"/>
              <w:jc w:val="center"/>
            </w:pPr>
            <w:r>
              <w:rPr>
                <w:b/>
              </w:rPr>
            </w:r>
            <w:r>
              <w:rPr>
                <w:rFonts w:ascii="Arial" w:hAnsi="Arial"/>
                <w:b/>
                <w:sz w:val="14"/>
              </w:rPr>
              <w:t>Split B test</w:t>
            </w:r>
          </w:p>
        </w:tc>
        <w:tc>
          <w:tcPr>
            <w:tcW w:type="dxa" w:w="2013"/>
            <w:shd w:val="clear" w:color="auto" w:fill="DCE6EF"/>
          </w:tcPr>
          <w:p>
            <w:pPr>
              <w:spacing w:after="20" w:before="20"/>
              <w:jc w:val="center"/>
            </w:pPr>
            <w:r>
              <w:rPr>
                <w:b/>
              </w:rPr>
            </w:r>
            <w:r>
              <w:rPr>
                <w:rFonts w:ascii="Arial" w:hAnsi="Arial"/>
                <w:b/>
                <w:sz w:val="14"/>
              </w:rPr>
              <w:t>Condition C</w:t>
            </w:r>
          </w:p>
        </w:tc>
        <w:tc>
          <w:tcPr>
            <w:tcW w:type="dxa" w:w="2013"/>
            <w:shd w:val="clear" w:color="auto" w:fill="DCE6EF"/>
          </w:tcPr>
          <w:p>
            <w:pPr>
              <w:spacing w:after="20" w:before="20"/>
              <w:jc w:val="center"/>
            </w:pPr>
            <w:r>
              <w:rPr>
                <w:b/>
              </w:rPr>
            </w:r>
            <w:r>
              <w:rPr>
                <w:rFonts w:ascii="Arial" w:hAnsi="Arial"/>
                <w:b/>
                <w:sz w:val="14"/>
              </w:rPr>
              <w:t>Condition D</w:t>
            </w:r>
          </w:p>
        </w:tc>
      </w:tr>
      <w:tr>
        <w:tc>
          <w:tcPr>
            <w:tcW w:type="dxa" w:w="2013"/>
          </w:tcPr>
          <w:p>
            <w:pPr>
              <w:spacing w:after="20" w:before="20"/>
              <w:jc w:val="left"/>
            </w:pPr>
            <w:r/>
            <w:r>
              <w:rPr>
                <w:rFonts w:ascii="Arial" w:hAnsi="Arial"/>
                <w:sz w:val="14"/>
              </w:rPr>
              <w:t>M2 CNN</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0.854 ± 0.018</w:t>
            </w:r>
          </w:p>
        </w:tc>
        <w:tc>
          <w:tcPr>
            <w:tcW w:type="dxa" w:w="2013"/>
          </w:tcPr>
          <w:p>
            <w:pPr>
              <w:spacing w:after="20" w:before="20"/>
              <w:jc w:val="center"/>
            </w:pPr>
            <w:r/>
            <w:r>
              <w:rPr>
                <w:rFonts w:ascii="Arial" w:hAnsi="Arial"/>
                <w:sz w:val="14"/>
              </w:rPr>
              <w:t>0.051 ± 0.103</w:t>
            </w:r>
          </w:p>
        </w:tc>
        <w:tc>
          <w:tcPr>
            <w:tcW w:type="dxa" w:w="2013"/>
          </w:tcPr>
          <w:p>
            <w:pPr>
              <w:spacing w:after="20" w:before="20"/>
              <w:jc w:val="center"/>
            </w:pPr>
            <w:r/>
            <w:r>
              <w:rPr>
                <w:rFonts w:ascii="Arial" w:hAnsi="Arial"/>
                <w:sz w:val="14"/>
              </w:rPr>
              <w:t>0.176 ± 0.201</w:t>
            </w:r>
          </w:p>
        </w:tc>
      </w:tr>
      <w:tr>
        <w:tc>
          <w:tcPr>
            <w:tcW w:type="dxa" w:w="2013"/>
          </w:tcPr>
          <w:p>
            <w:pPr>
              <w:spacing w:after="20" w:before="20"/>
              <w:jc w:val="left"/>
            </w:pPr>
            <w:r/>
            <w:r>
              <w:rPr>
                <w:rFonts w:ascii="Arial" w:hAnsi="Arial"/>
                <w:sz w:val="14"/>
              </w:rPr>
              <w:t>M2 CNN</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0.824 ± 0.042</w:t>
            </w:r>
          </w:p>
        </w:tc>
        <w:tc>
          <w:tcPr>
            <w:tcW w:type="dxa" w:w="2013"/>
          </w:tcPr>
          <w:p>
            <w:pPr>
              <w:spacing w:after="20" w:before="20"/>
              <w:jc w:val="center"/>
            </w:pPr>
            <w:r/>
            <w:r>
              <w:rPr>
                <w:rFonts w:ascii="Arial" w:hAnsi="Arial"/>
                <w:b/>
                <w:sz w:val="14"/>
              </w:rPr>
              <w:t>0.909 ± 0.038</w:t>
            </w:r>
          </w:p>
        </w:tc>
        <w:tc>
          <w:tcPr>
            <w:tcW w:type="dxa" w:w="2013"/>
          </w:tcPr>
          <w:p>
            <w:pPr>
              <w:spacing w:after="20" w:before="20"/>
              <w:jc w:val="center"/>
            </w:pPr>
            <w:r/>
            <w:r>
              <w:rPr>
                <w:rFonts w:ascii="Arial" w:hAnsi="Arial"/>
                <w:sz w:val="14"/>
              </w:rPr>
              <w:t>0.627 ± 0.135</w:t>
            </w:r>
          </w:p>
        </w:tc>
      </w:tr>
      <w:tr>
        <w:tc>
          <w:tcPr>
            <w:tcW w:type="dxa" w:w="2013"/>
          </w:tcPr>
          <w:p>
            <w:pPr>
              <w:spacing w:after="20" w:before="20"/>
              <w:jc w:val="left"/>
            </w:pPr>
            <w:r/>
            <w:r>
              <w:rPr>
                <w:rFonts w:ascii="Arial" w:hAnsi="Arial"/>
                <w:sz w:val="14"/>
              </w:rPr>
              <w:t>M3 MobileNetV3</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0.941 ± 0.007</w:t>
            </w:r>
          </w:p>
        </w:tc>
        <w:tc>
          <w:tcPr>
            <w:tcW w:type="dxa" w:w="2013"/>
          </w:tcPr>
          <w:p>
            <w:pPr>
              <w:spacing w:after="20" w:before="20"/>
              <w:jc w:val="center"/>
            </w:pPr>
            <w:r/>
            <w:r>
              <w:rPr>
                <w:rFonts w:ascii="Arial" w:hAnsi="Arial"/>
                <w:sz w:val="14"/>
              </w:rPr>
              <w:t>0.715 ± 0.057</w:t>
            </w:r>
          </w:p>
        </w:tc>
        <w:tc>
          <w:tcPr>
            <w:tcW w:type="dxa" w:w="2013"/>
          </w:tcPr>
          <w:p>
            <w:pPr>
              <w:spacing w:after="20" w:before="20"/>
              <w:jc w:val="center"/>
            </w:pPr>
            <w:r/>
            <w:r>
              <w:rPr>
                <w:rFonts w:ascii="Arial" w:hAnsi="Arial"/>
                <w:sz w:val="14"/>
              </w:rPr>
              <w:t>0.644 ± 0.043</w:t>
            </w:r>
          </w:p>
        </w:tc>
      </w:tr>
      <w:tr>
        <w:tc>
          <w:tcPr>
            <w:tcW w:type="dxa" w:w="2013"/>
          </w:tcPr>
          <w:p>
            <w:pPr>
              <w:spacing w:after="20" w:before="20"/>
              <w:jc w:val="left"/>
            </w:pPr>
            <w:r/>
            <w:r>
              <w:rPr>
                <w:rFonts w:ascii="Arial" w:hAnsi="Arial"/>
                <w:sz w:val="14"/>
              </w:rPr>
              <w:t>M3 MobileNetV3</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0.938 ± 0.007</w:t>
            </w:r>
          </w:p>
        </w:tc>
        <w:tc>
          <w:tcPr>
            <w:tcW w:type="dxa" w:w="2013"/>
          </w:tcPr>
          <w:p>
            <w:pPr>
              <w:spacing w:after="20" w:before="20"/>
              <w:jc w:val="center"/>
            </w:pPr>
            <w:r/>
            <w:r>
              <w:rPr>
                <w:rFonts w:ascii="Arial" w:hAnsi="Arial"/>
                <w:sz w:val="14"/>
              </w:rPr>
              <w:t>0.724 ± 0.047</w:t>
            </w:r>
          </w:p>
        </w:tc>
        <w:tc>
          <w:tcPr>
            <w:tcW w:type="dxa" w:w="2013"/>
          </w:tcPr>
          <w:p>
            <w:pPr>
              <w:spacing w:after="20" w:before="20"/>
              <w:jc w:val="center"/>
            </w:pPr>
            <w:r/>
            <w:r>
              <w:rPr>
                <w:rFonts w:ascii="Arial" w:hAnsi="Arial"/>
                <w:sz w:val="14"/>
              </w:rPr>
              <w:t>0.685 ± 0.044</w:t>
            </w:r>
          </w:p>
        </w:tc>
      </w:tr>
      <w:tr>
        <w:tc>
          <w:tcPr>
            <w:tcW w:type="dxa" w:w="2013"/>
          </w:tcPr>
          <w:p>
            <w:pPr>
              <w:spacing w:after="20" w:before="20"/>
              <w:jc w:val="left"/>
            </w:pPr>
            <w:r/>
            <w:r>
              <w:rPr>
                <w:rFonts w:ascii="Arial" w:hAnsi="Arial"/>
                <w:sz w:val="14"/>
              </w:rPr>
              <w:t>M4 EfficientNet-B0</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0.905 ± 0.000</w:t>
            </w:r>
          </w:p>
        </w:tc>
        <w:tc>
          <w:tcPr>
            <w:tcW w:type="dxa" w:w="2013"/>
          </w:tcPr>
          <w:p>
            <w:pPr>
              <w:spacing w:after="20" w:before="20"/>
              <w:jc w:val="center"/>
            </w:pPr>
            <w:r/>
            <w:r>
              <w:rPr>
                <w:rFonts w:ascii="Arial" w:hAnsi="Arial"/>
                <w:sz w:val="14"/>
              </w:rPr>
              <w:t>0.100 ± 0.026</w:t>
            </w:r>
          </w:p>
        </w:tc>
        <w:tc>
          <w:tcPr>
            <w:tcW w:type="dxa" w:w="2013"/>
          </w:tcPr>
          <w:p>
            <w:pPr>
              <w:spacing w:after="20" w:before="20"/>
              <w:jc w:val="center"/>
            </w:pPr>
            <w:r/>
            <w:r>
              <w:rPr>
                <w:rFonts w:ascii="Arial" w:hAnsi="Arial"/>
                <w:sz w:val="14"/>
              </w:rPr>
              <w:t>0.240 ± 0.048</w:t>
            </w:r>
          </w:p>
        </w:tc>
      </w:tr>
      <w:tr>
        <w:tc>
          <w:tcPr>
            <w:tcW w:type="dxa" w:w="2013"/>
          </w:tcPr>
          <w:p>
            <w:pPr>
              <w:spacing w:after="20" w:before="20"/>
              <w:jc w:val="left"/>
            </w:pPr>
            <w:r/>
            <w:r>
              <w:rPr>
                <w:rFonts w:ascii="Arial" w:hAnsi="Arial"/>
                <w:sz w:val="14"/>
              </w:rPr>
              <w:t>M4 EfficientNet-B0</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0.935 ± 0.011</w:t>
            </w:r>
          </w:p>
        </w:tc>
        <w:tc>
          <w:tcPr>
            <w:tcW w:type="dxa" w:w="2013"/>
          </w:tcPr>
          <w:p>
            <w:pPr>
              <w:spacing w:after="20" w:before="20"/>
              <w:jc w:val="center"/>
            </w:pPr>
            <w:r/>
            <w:r>
              <w:rPr>
                <w:rFonts w:ascii="Arial" w:hAnsi="Arial"/>
                <w:b/>
                <w:sz w:val="14"/>
              </w:rPr>
              <w:t>0.860 ± 0.034</w:t>
            </w:r>
          </w:p>
        </w:tc>
        <w:tc>
          <w:tcPr>
            <w:tcW w:type="dxa" w:w="2013"/>
          </w:tcPr>
          <w:p>
            <w:pPr>
              <w:spacing w:after="20" w:before="20"/>
              <w:jc w:val="center"/>
            </w:pPr>
            <w:r/>
            <w:r>
              <w:rPr>
                <w:rFonts w:ascii="Arial" w:hAnsi="Arial"/>
                <w:sz w:val="14"/>
              </w:rPr>
              <w:t>0.878 ± 0.031</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Seed 42 is not a central draw, and not in one direction: its condition C value is the lowest of five for M2 and M4 and the highest for M3, so the single-run figures understate the correction where it works and flatter it where it does not. We report the spread rather than restate the paper around the means, seed 42 having been fixed before any of this existed. Only separations far larger than the spread are read as findings anywhere in this paper; a point or two between models, orderings or seeds is inside what 74 to 150 images and five runs can resolve.</w:t>
      </w:r>
    </w:p>
    <w:p>
      <w:pPr>
        <w:spacing w:after="0" w:before="0" w:line="240" w:lineRule="exact"/>
        <w:ind w:firstLine="202"/>
        <w:jc w:val="both"/>
      </w:pPr>
      <w:r>
        <w:rPr>
          <w:rFonts w:ascii="Times New Roman" w:hAnsi="Times New Roman"/>
          <w:b/>
          <w:sz w:val="20"/>
        </w:rPr>
        <w:t>The regulatory source in its native encodings.</w:t>
      </w:r>
      <w:r>
        <w:rPr>
          <w:rFonts w:ascii="Times New Roman" w:hAnsi="Times New Roman"/>
          <w:sz w:val="20"/>
        </w:rPr>
        <w:t xml:space="preserve"> All 150 regulatory photographs, rather than the 46 that enter Table 4, were also scored in their original files. That measurement is a one-sided recall under a source shift and is reported in Section S-IX with its sensitivity analysis, not here: it cannot be read beside a specificity without the reasoning Section IV-C now supplies directly, and Table 4 supersedes it as the counterfeit-side evidence of record.</w:t>
      </w:r>
    </w:p>
    <w:p>
      <w:pPr>
        <w:keepNext/>
        <w:spacing w:before="160" w:after="60" w:line="240" w:lineRule="exact"/>
        <w:jc w:val="left"/>
      </w:pPr>
      <w:r>
        <w:rPr>
          <w:rFonts w:ascii="Arial" w:hAnsi="Arial"/>
          <w:b/>
          <w:i/>
          <w:color w:val="000000"/>
          <w:sz w:val="18"/>
        </w:rPr>
        <w:t>E. EXPLORATORY ANALYSES</w:t>
      </w:r>
    </w:p>
    <w:p>
      <w:pPr>
        <w:spacing w:after="0" w:before="0" w:line="240" w:lineRule="exact"/>
        <w:ind w:firstLine="202"/>
        <w:jc w:val="both"/>
      </w:pPr>
      <w:r>
        <w:rPr>
          <w:rFonts w:ascii="Times New Roman" w:hAnsi="Times New Roman"/>
          <w:sz w:val="20"/>
        </w:rPr>
        <w:t>The two analyses in this section were developed after the external failure was observed and belong to the exploratory tier. They serve the audit: the first asks whether removing the statistics the audit named changes the external result, and the second asks what the corrected models rely on instead.</w:t>
      </w:r>
    </w:p>
    <w:p>
      <w:pPr>
        <w:keepNext/>
        <w:spacing w:before="160" w:after="60" w:line="240" w:lineRule="exact"/>
        <w:jc w:val="left"/>
      </w:pPr>
      <w:r>
        <w:rPr>
          <w:rFonts w:ascii="Arial" w:hAnsi="Arial"/>
          <w:b w:val="0"/>
          <w:i w:val="0"/>
          <w:color w:val="000000"/>
          <w:sz w:val="18"/>
        </w:rPr>
        <w:t>1) Exploratory normalization</w:t>
      </w:r>
    </w:p>
    <w:p>
      <w:pPr>
        <w:spacing w:after="0" w:before="0" w:line="240" w:lineRule="exact"/>
        <w:ind w:firstLine="202"/>
        <w:jc w:val="both"/>
      </w:pPr>
      <w:r>
        <w:rPr>
          <w:rFonts w:ascii="Times New Roman" w:hAnsi="Times New Roman"/>
          <w:sz w:val="20"/>
        </w:rPr>
        <w:t xml:space="preserve">The normalized columns of Table 5 carry the qualification stated at the head of this section: </w:t>
      </w:r>
      <w:r>
        <w:rPr>
          <w:rFonts w:ascii="Times New Roman" w:hAnsi="Times New Roman"/>
          <w:b/>
          <w:sz w:val="20"/>
        </w:rPr>
        <w:t>condition C was not an untouched validation set for this experiment</w:t>
      </w:r>
      <w:r>
        <w:rPr>
          <w:rFonts w:ascii="Times New Roman" w:hAnsi="Times New Roman"/>
          <w:sz w:val="20"/>
        </w:rPr>
        <w:t xml:space="preserve"> (Section III-F).</w:t>
      </w:r>
    </w:p>
    <w:p>
      <w:pPr>
        <w:spacing w:after="0" w:before="0" w:line="240" w:lineRule="exact"/>
        <w:ind w:firstLine="202"/>
        <w:jc w:val="both"/>
      </w:pPr>
      <w:r>
        <w:rPr>
          <w:rFonts w:ascii="Times New Roman" w:hAnsi="Times New Roman"/>
          <w:sz w:val="20"/>
        </w:rPr>
        <w:t xml:space="preserve">The same models, retrained on the same images with the same seeds and hyperparameters and differing only by the label-free operator of Eq. (8), recover 86.0%, 77.3% and 80.7% external authentic-class specificity. Because both conditions are evaluated on the same 150 images the comparison is paired; across all five seeds it is </w:t>
      </w:r>
      <w:r>
        <w:rPr>
          <w:rFonts w:ascii="Times New Roman" w:hAnsi="Times New Roman"/>
          <w:b/>
          <w:sz w:val="20"/>
        </w:rPr>
        <w:t>+85.9 points [+81.7, +89.7]</w:t>
      </w:r>
      <w:r>
        <w:rPr>
          <w:rFonts w:ascii="Times New Roman" w:hAnsi="Times New Roman"/>
          <w:sz w:val="20"/>
        </w:rPr>
        <w:t xml:space="preserve"> for M2, </w:t>
      </w:r>
      <w:r>
        <w:rPr>
          <w:rFonts w:ascii="Times New Roman" w:hAnsi="Times New Roman"/>
          <w:b/>
          <w:sz w:val="20"/>
        </w:rPr>
        <w:t>+76.0 [+69.9, +81.5]</w:t>
      </w:r>
      <w:r>
        <w:rPr>
          <w:rFonts w:ascii="Times New Roman" w:hAnsi="Times New Roman"/>
          <w:sz w:val="20"/>
        </w:rPr>
        <w:t xml:space="preserve"> for M4, and </w:t>
      </w:r>
      <w:r>
        <w:rPr>
          <w:rFonts w:ascii="Times New Roman" w:hAnsi="Times New Roman"/>
          <w:b/>
          <w:sz w:val="20"/>
        </w:rPr>
        <w:t>+0.9 [−6.9, +8.8]</w:t>
      </w:r>
      <w:r>
        <w:rPr>
          <w:rFonts w:ascii="Times New Roman" w:hAnsi="Times New Roman"/>
          <w:sz w:val="20"/>
        </w:rPr>
        <w:t xml:space="preserve"> for M3 (Section S-I-Z, Table S23). M3's baseline and normalized seeds interleave, so no normalization benefit is claimed for M3 and the result rests on M2 and M4. The in-distribution cost is within 1.4 points at the run of record and within 3.0 points across seeds, in both directions (Table 6); M1 bypasses the operator and is unchanged at 0.000.</w:t>
      </w:r>
    </w:p>
    <w:p>
      <w:pPr>
        <w:spacing w:after="0" w:before="0" w:line="240" w:lineRule="exact"/>
        <w:ind w:firstLine="202"/>
        <w:jc w:val="both"/>
      </w:pPr>
      <w:r>
        <w:rPr>
          <w:rFonts w:ascii="Times New Roman" w:hAnsi="Times New Roman"/>
          <w:sz w:val="20"/>
        </w:rPr>
        <w:t>Two checks bound how the result should be read. The recovery is not an artifact of having seen the external set: a rule confined to the Split B training partition nominates the same three axes under a threshold fixed in advance, and the operator it nominates averages 0.842 external specificity against the reported operator's 0.818 (Sections S-I-S, S-VII; Table S27). And the operator is under-determined by its description: Sections S-I-N to S-I-X ablate it per axis, per architecture, per constant and per composition order, and composition order alone moves external specificity by 50 points while moving in-distribution accuracy by 2.7 (Section S-I-X), which is a reason to report such an order as a hyperparameter. Eq. (8) is an instrument, not a proposal: it shows that intervening on three named acquisition statistics changes the external result. Whether the corrected models then recognize packaging is the question the next analysis takes up.</w:t>
      </w:r>
    </w:p>
    <w:p>
      <w:pPr>
        <w:keepNext/>
        <w:spacing w:before="160" w:after="60" w:line="240" w:lineRule="exact"/>
        <w:jc w:val="left"/>
      </w:pPr>
      <w:r>
        <w:rPr>
          <w:rFonts w:ascii="Arial" w:hAnsi="Arial"/>
          <w:b w:val="0"/>
          <w:i w:val="0"/>
          <w:color w:val="000000"/>
          <w:sz w:val="18"/>
        </w:rPr>
        <w:t>2) Residual dependence on the outer region</w:t>
      </w:r>
    </w:p>
    <w:p>
      <w:pPr>
        <w:spacing w:after="0" w:before="0" w:line="240" w:lineRule="exact"/>
        <w:ind w:firstLine="202"/>
        <w:jc w:val="both"/>
      </w:pPr>
      <w:r>
        <w:rPr>
          <w:rFonts w:ascii="Times New Roman" w:hAnsi="Times New Roman"/>
          <w:sz w:val="20"/>
        </w:rPr>
        <w:t>Specificity that survives a capture shift still has to be shown to rest on the intended cue, and here it is not.</w:t>
      </w:r>
    </w:p>
    <w:p>
      <w:pPr>
        <w:spacing w:after="0" w:before="0" w:line="240" w:lineRule="exact"/>
        <w:ind w:firstLine="202"/>
        <w:jc w:val="both"/>
      </w:pPr>
      <w:r>
        <w:rPr>
          <w:rFonts w:ascii="Times New Roman" w:hAnsi="Times New Roman"/>
          <w:sz w:val="20"/>
        </w:rPr>
        <w:t xml:space="preserve">The occlusion analysis is annotation-free, runs over every external image, and reproduces each model's condition C specificity of record before reporting anything. It localizes M3's evidence for "authentic" to the photographic surround (border mass 0.760, 96 of 116 images above the 0.642 uniform reference) and both backbones' evidence for "counterfeit" to the product on the images they get wrong (0.856 and 0.803). For M4's correct external answers it returns 0.614 [0.585, 0.643], indistinguishable from uniform. Occlusion asks a local question — how far does hiding </w:t>
      </w:r>
      <w:r>
        <w:rPr>
          <w:rFonts w:ascii="Times New Roman" w:hAnsi="Times New Roman"/>
          <w:i/>
          <w:sz w:val="20"/>
        </w:rPr>
        <w:t>this patch</w:t>
      </w:r>
      <w:r>
        <w:rPr>
          <w:rFonts w:ascii="Times New Roman" w:hAnsi="Times New Roman"/>
          <w:sz w:val="20"/>
        </w:rPr>
        <w:t xml:space="preserve"> move the score — which a decision spread over a large region answers weakly wherever that region is, so the M4 result is uninformative rather than negative, and a global test settles it.</w:t>
      </w:r>
    </w:p>
    <w:p>
      <w:pPr>
        <w:spacing w:after="0" w:before="0" w:line="240" w:lineRule="exact"/>
        <w:ind w:firstLine="202"/>
        <w:jc w:val="both"/>
      </w:pPr>
      <w:r>
        <w:rPr>
          <w:rFonts w:ascii="Times New Roman" w:hAnsi="Times New Roman"/>
          <w:b/>
          <w:sz w:val="20"/>
        </w:rPr>
        <w:t>Region substitution identifies the region, and it is the outer one for both backbones.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7. </w:t>
      </w:r>
      <w:r>
        <w:rPr>
          <w:rFonts w:ascii="Arial" w:hAnsi="Arial"/>
          <w:color w:val="000000"/>
          <w:sz w:val="14"/>
        </w:rPr>
        <w:t xml:space="preserve">Region substitution on the two acquisition-shift conditions. Each cell is authentic-class specificity after overwriting one region of the model's input; the intact row is the unmodified production pipeline and reproduces the value of record exactly. "Outer" is everything outside a center square covering half the frame and "inner" is the square itself, so the two are area-matched (0.5025 against 0.4975) and the asymmetry is not an artifact of how much was destroyed. The last two rows instead reuse the occlusion analysis's 0.642 border ring and 0.161 center box, which are </w:t>
      </w:r>
      <w:r>
        <w:rPr>
          <w:rFonts w:ascii="Arial" w:hAnsi="Arial"/>
          <w:i/>
          <w:color w:val="000000"/>
          <w:sz w:val="14"/>
        </w:rPr>
        <w:t>not</w:t>
      </w:r>
      <w:r>
        <w:rPr>
          <w:rFonts w:ascii="Arial" w:hAnsi="Arial"/>
          <w:color w:val="000000"/>
          <w:sz w:val="14"/>
        </w:rPr>
        <w:t xml:space="preserve"> area-matched. Both conditions are authentic-only, so every figure is a specificity; parenthesized values are changes from intact, in points.</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Region overwritten</w:t>
            </w:r>
          </w:p>
        </w:tc>
        <w:tc>
          <w:tcPr>
            <w:tcW w:type="dxa" w:w="1677"/>
            <w:shd w:val="clear" w:color="auto" w:fill="DCE6EF"/>
          </w:tcPr>
          <w:p>
            <w:pPr>
              <w:spacing w:after="20" w:before="20"/>
              <w:jc w:val="center"/>
            </w:pPr>
            <w:r>
              <w:rPr>
                <w:b/>
              </w:rPr>
            </w:r>
            <w:r>
              <w:rPr>
                <w:rFonts w:ascii="Arial" w:hAnsi="Arial"/>
                <w:b/>
                <w:sz w:val="14"/>
              </w:rPr>
              <w:t>Fill</w:t>
            </w:r>
          </w:p>
        </w:tc>
        <w:tc>
          <w:tcPr>
            <w:tcW w:type="dxa" w:w="1677"/>
            <w:shd w:val="clear" w:color="auto" w:fill="DCE6EF"/>
          </w:tcPr>
          <w:p>
            <w:pPr>
              <w:spacing w:after="20" w:before="20"/>
              <w:jc w:val="center"/>
            </w:pPr>
            <w:r>
              <w:rPr>
                <w:b/>
              </w:rPr>
            </w:r>
            <w:r>
              <w:rPr>
                <w:rFonts w:ascii="Arial" w:hAnsi="Arial"/>
                <w:b/>
                <w:sz w:val="14"/>
              </w:rPr>
              <w:t>M3, cond. C</w:t>
            </w:r>
          </w:p>
        </w:tc>
        <w:tc>
          <w:tcPr>
            <w:tcW w:type="dxa" w:w="1677"/>
            <w:shd w:val="clear" w:color="auto" w:fill="DCE6EF"/>
          </w:tcPr>
          <w:p>
            <w:pPr>
              <w:spacing w:after="20" w:before="20"/>
              <w:jc w:val="center"/>
            </w:pPr>
            <w:r>
              <w:rPr>
                <w:b/>
              </w:rPr>
            </w:r>
            <w:r>
              <w:rPr>
                <w:rFonts w:ascii="Arial" w:hAnsi="Arial"/>
                <w:b/>
                <w:sz w:val="14"/>
              </w:rPr>
              <w:t>M3, cond. D</w:t>
            </w:r>
          </w:p>
        </w:tc>
        <w:tc>
          <w:tcPr>
            <w:tcW w:type="dxa" w:w="1677"/>
            <w:shd w:val="clear" w:color="auto" w:fill="DCE6EF"/>
          </w:tcPr>
          <w:p>
            <w:pPr>
              <w:spacing w:after="20" w:before="20"/>
              <w:jc w:val="center"/>
            </w:pPr>
            <w:r>
              <w:rPr>
                <w:b/>
              </w:rPr>
            </w:r>
            <w:r>
              <w:rPr>
                <w:rFonts w:ascii="Arial" w:hAnsi="Arial"/>
                <w:b/>
                <w:sz w:val="14"/>
              </w:rPr>
              <w:t>M4, cond. C</w:t>
            </w:r>
          </w:p>
        </w:tc>
        <w:tc>
          <w:tcPr>
            <w:tcW w:type="dxa" w:w="1677"/>
            <w:shd w:val="clear" w:color="auto" w:fill="DCE6EF"/>
          </w:tcPr>
          <w:p>
            <w:pPr>
              <w:spacing w:after="20" w:before="20"/>
              <w:jc w:val="center"/>
            </w:pPr>
            <w:r>
              <w:rPr>
                <w:b/>
              </w:rPr>
            </w:r>
            <w:r>
              <w:rPr>
                <w:rFonts w:ascii="Arial" w:hAnsi="Arial"/>
                <w:b/>
                <w:sz w:val="14"/>
              </w:rPr>
              <w:t>M4, cond. D</w:t>
            </w:r>
          </w:p>
        </w:tc>
      </w:tr>
      <w:tr>
        <w:tc>
          <w:tcPr>
            <w:tcW w:type="dxa" w:w="1677"/>
          </w:tcPr>
          <w:p>
            <w:pPr>
              <w:spacing w:after="20" w:before="20"/>
              <w:jc w:val="left"/>
            </w:pPr>
            <w:r/>
            <w:r>
              <w:rPr>
                <w:rFonts w:ascii="Arial" w:hAnsi="Arial"/>
                <w:sz w:val="14"/>
              </w:rPr>
              <w:t>— (intact)</w:t>
            </w:r>
          </w:p>
        </w:tc>
        <w:tc>
          <w:tcPr>
            <w:tcW w:type="dxa" w:w="1677"/>
          </w:tcPr>
          <w:p>
            <w:pPr>
              <w:spacing w:after="20" w:before="20"/>
              <w:jc w:val="center"/>
            </w:pPr>
            <w:r/>
            <w:r>
              <w:rPr>
                <w:rFonts w:ascii="Arial" w:hAnsi="Arial"/>
                <w:sz w:val="14"/>
              </w:rPr>
              <w:t>—</w:t>
            </w:r>
          </w:p>
        </w:tc>
        <w:tc>
          <w:tcPr>
            <w:tcW w:type="dxa" w:w="1677"/>
          </w:tcPr>
          <w:p>
            <w:pPr>
              <w:spacing w:after="20" w:before="20"/>
              <w:jc w:val="center"/>
            </w:pPr>
            <w:r/>
            <w:r>
              <w:rPr>
                <w:rFonts w:ascii="Arial" w:hAnsi="Arial"/>
                <w:sz w:val="14"/>
              </w:rPr>
              <w:t>0.773</w:t>
            </w:r>
          </w:p>
        </w:tc>
        <w:tc>
          <w:tcPr>
            <w:tcW w:type="dxa" w:w="1677"/>
          </w:tcPr>
          <w:p>
            <w:pPr>
              <w:spacing w:after="20" w:before="20"/>
              <w:jc w:val="center"/>
            </w:pPr>
            <w:r/>
            <w:r>
              <w:rPr>
                <w:rFonts w:ascii="Arial" w:hAnsi="Arial"/>
                <w:sz w:val="14"/>
              </w:rPr>
              <w:t>0.725</w:t>
            </w:r>
          </w:p>
        </w:tc>
        <w:tc>
          <w:tcPr>
            <w:tcW w:type="dxa" w:w="1677"/>
          </w:tcPr>
          <w:p>
            <w:pPr>
              <w:spacing w:after="20" w:before="20"/>
              <w:jc w:val="center"/>
            </w:pPr>
            <w:r/>
            <w:r>
              <w:rPr>
                <w:rFonts w:ascii="Arial" w:hAnsi="Arial"/>
                <w:sz w:val="14"/>
              </w:rPr>
              <w:t>0.807</w:t>
            </w:r>
          </w:p>
        </w:tc>
        <w:tc>
          <w:tcPr>
            <w:tcW w:type="dxa" w:w="1677"/>
          </w:tcPr>
          <w:p>
            <w:pPr>
              <w:spacing w:after="20" w:before="20"/>
              <w:jc w:val="center"/>
            </w:pPr>
            <w:r/>
            <w:r>
              <w:rPr>
                <w:rFonts w:ascii="Arial" w:hAnsi="Arial"/>
                <w:sz w:val="14"/>
              </w:rPr>
              <w:t>0.832</w:t>
            </w:r>
          </w:p>
        </w:tc>
      </w:tr>
      <w:tr>
        <w:tc>
          <w:tcPr>
            <w:tcW w:type="dxa" w:w="1677"/>
          </w:tcPr>
          <w:p>
            <w:pPr>
              <w:spacing w:after="20" w:before="20"/>
              <w:jc w:val="left"/>
            </w:pPr>
            <w:r/>
            <w:r>
              <w:rPr>
                <w:rFonts w:ascii="Arial" w:hAnsi="Arial"/>
                <w:sz w:val="14"/>
              </w:rPr>
              <w:t>Outer half-frame</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b/>
                <w:sz w:val="14"/>
              </w:rPr>
              <w:t>0.280</w:t>
            </w:r>
            <w:r>
              <w:rPr>
                <w:rFonts w:ascii="Arial" w:hAnsi="Arial"/>
                <w:sz w:val="14"/>
              </w:rPr>
              <w:t xml:space="preserve"> (−49.3)</w:t>
            </w:r>
          </w:p>
        </w:tc>
        <w:tc>
          <w:tcPr>
            <w:tcW w:type="dxa" w:w="1677"/>
          </w:tcPr>
          <w:p>
            <w:pPr>
              <w:spacing w:after="20" w:before="20"/>
              <w:jc w:val="center"/>
            </w:pPr>
            <w:r/>
            <w:r>
              <w:rPr>
                <w:rFonts w:ascii="Arial" w:hAnsi="Arial"/>
                <w:b/>
                <w:sz w:val="14"/>
              </w:rPr>
              <w:t>0.275</w:t>
            </w:r>
            <w:r>
              <w:rPr>
                <w:rFonts w:ascii="Arial" w:hAnsi="Arial"/>
                <w:sz w:val="14"/>
              </w:rPr>
              <w:t xml:space="preserve"> (−45.0)</w:t>
            </w:r>
          </w:p>
        </w:tc>
        <w:tc>
          <w:tcPr>
            <w:tcW w:type="dxa" w:w="1677"/>
          </w:tcPr>
          <w:p>
            <w:pPr>
              <w:spacing w:after="20" w:before="20"/>
              <w:jc w:val="center"/>
            </w:pPr>
            <w:r/>
            <w:r>
              <w:rPr>
                <w:rFonts w:ascii="Arial" w:hAnsi="Arial"/>
                <w:b/>
                <w:sz w:val="14"/>
              </w:rPr>
              <w:t>0.487</w:t>
            </w:r>
            <w:r>
              <w:rPr>
                <w:rFonts w:ascii="Arial" w:hAnsi="Arial"/>
                <w:sz w:val="14"/>
              </w:rPr>
              <w:t xml:space="preserve"> (−32.0)</w:t>
            </w:r>
          </w:p>
        </w:tc>
        <w:tc>
          <w:tcPr>
            <w:tcW w:type="dxa" w:w="1677"/>
          </w:tcPr>
          <w:p>
            <w:pPr>
              <w:spacing w:after="20" w:before="20"/>
              <w:jc w:val="center"/>
            </w:pPr>
            <w:r/>
            <w:r>
              <w:rPr>
                <w:rFonts w:ascii="Arial" w:hAnsi="Arial"/>
                <w:b/>
                <w:sz w:val="14"/>
              </w:rPr>
              <w:t>0.611</w:t>
            </w:r>
            <w:r>
              <w:rPr>
                <w:rFonts w:ascii="Arial" w:hAnsi="Arial"/>
                <w:sz w:val="14"/>
              </w:rPr>
              <w:t xml:space="preserve"> (−22.2)</w:t>
            </w:r>
          </w:p>
        </w:tc>
      </w:tr>
      <w:tr>
        <w:tc>
          <w:tcPr>
            <w:tcW w:type="dxa" w:w="1677"/>
          </w:tcPr>
          <w:p>
            <w:pPr>
              <w:spacing w:after="20" w:before="20"/>
              <w:jc w:val="left"/>
            </w:pPr>
            <w:r/>
            <w:r>
              <w:rPr>
                <w:rFonts w:ascii="Arial" w:hAnsi="Arial"/>
                <w:sz w:val="14"/>
              </w:rPr>
              <w:t>Inner half-frame</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0.800 (+2.7)</w:t>
            </w:r>
          </w:p>
        </w:tc>
        <w:tc>
          <w:tcPr>
            <w:tcW w:type="dxa" w:w="1677"/>
          </w:tcPr>
          <w:p>
            <w:pPr>
              <w:spacing w:after="20" w:before="20"/>
              <w:jc w:val="center"/>
            </w:pPr>
            <w:r/>
            <w:r>
              <w:rPr>
                <w:rFonts w:ascii="Arial" w:hAnsi="Arial"/>
                <w:sz w:val="14"/>
              </w:rPr>
              <w:t>0.738 (+1.3)</w:t>
            </w:r>
          </w:p>
        </w:tc>
        <w:tc>
          <w:tcPr>
            <w:tcW w:type="dxa" w:w="1677"/>
          </w:tcPr>
          <w:p>
            <w:pPr>
              <w:spacing w:after="20" w:before="20"/>
              <w:jc w:val="center"/>
            </w:pPr>
            <w:r/>
            <w:r>
              <w:rPr>
                <w:rFonts w:ascii="Arial" w:hAnsi="Arial"/>
                <w:sz w:val="14"/>
              </w:rPr>
              <w:t>0.807 (0.0)</w:t>
            </w:r>
          </w:p>
        </w:tc>
        <w:tc>
          <w:tcPr>
            <w:tcW w:type="dxa" w:w="1677"/>
          </w:tcPr>
          <w:p>
            <w:pPr>
              <w:spacing w:after="20" w:before="20"/>
              <w:jc w:val="center"/>
            </w:pPr>
            <w:r/>
            <w:r>
              <w:rPr>
                <w:rFonts w:ascii="Arial" w:hAnsi="Arial"/>
                <w:sz w:val="14"/>
              </w:rPr>
              <w:t>0.859 (+2.7)</w:t>
            </w:r>
          </w:p>
        </w:tc>
      </w:tr>
      <w:tr>
        <w:tc>
          <w:tcPr>
            <w:tcW w:type="dxa" w:w="1677"/>
          </w:tcPr>
          <w:p>
            <w:pPr>
              <w:spacing w:after="20" w:before="20"/>
              <w:jc w:val="left"/>
            </w:pPr>
            <w:r/>
            <w:r>
              <w:rPr>
                <w:rFonts w:ascii="Arial" w:hAnsi="Arial"/>
                <w:sz w:val="14"/>
              </w:rPr>
              <w:t>Outer half-frame</w:t>
            </w:r>
          </w:p>
        </w:tc>
        <w:tc>
          <w:tcPr>
            <w:tcW w:type="dxa" w:w="1677"/>
          </w:tcPr>
          <w:p>
            <w:pPr>
              <w:spacing w:after="20" w:before="20"/>
              <w:jc w:val="center"/>
            </w:pPr>
            <w:r/>
            <w:r>
              <w:rPr>
                <w:rFonts w:ascii="Arial" w:hAnsi="Arial"/>
                <w:sz w:val="14"/>
              </w:rPr>
              <w:t>noise</w:t>
            </w:r>
          </w:p>
        </w:tc>
        <w:tc>
          <w:tcPr>
            <w:tcW w:type="dxa" w:w="1677"/>
          </w:tcPr>
          <w:p>
            <w:pPr>
              <w:spacing w:after="20" w:before="20"/>
              <w:jc w:val="center"/>
            </w:pPr>
            <w:r/>
            <w:r>
              <w:rPr>
                <w:rFonts w:ascii="Arial" w:hAnsi="Arial"/>
                <w:b/>
                <w:sz w:val="14"/>
              </w:rPr>
              <w:t>0.273</w:t>
            </w:r>
            <w:r>
              <w:rPr>
                <w:rFonts w:ascii="Arial" w:hAnsi="Arial"/>
                <w:sz w:val="14"/>
              </w:rPr>
              <w:t xml:space="preserve"> (−50.0)</w:t>
            </w:r>
          </w:p>
        </w:tc>
        <w:tc>
          <w:tcPr>
            <w:tcW w:type="dxa" w:w="1677"/>
          </w:tcPr>
          <w:p>
            <w:pPr>
              <w:spacing w:after="20" w:before="20"/>
              <w:jc w:val="center"/>
            </w:pPr>
            <w:r/>
            <w:r>
              <w:rPr>
                <w:rFonts w:ascii="Arial" w:hAnsi="Arial"/>
                <w:sz w:val="14"/>
              </w:rPr>
              <w:t>0.483 (−24.2)</w:t>
            </w:r>
          </w:p>
        </w:tc>
        <w:tc>
          <w:tcPr>
            <w:tcW w:type="dxa" w:w="1677"/>
          </w:tcPr>
          <w:p>
            <w:pPr>
              <w:spacing w:after="20" w:before="20"/>
              <w:jc w:val="center"/>
            </w:pPr>
            <w:r/>
            <w:r>
              <w:rPr>
                <w:rFonts w:ascii="Arial" w:hAnsi="Arial"/>
                <w:b/>
                <w:sz w:val="14"/>
              </w:rPr>
              <w:t>0.373</w:t>
            </w:r>
            <w:r>
              <w:rPr>
                <w:rFonts w:ascii="Arial" w:hAnsi="Arial"/>
                <w:sz w:val="14"/>
              </w:rPr>
              <w:t xml:space="preserve"> (−43.3)</w:t>
            </w:r>
          </w:p>
        </w:tc>
        <w:tc>
          <w:tcPr>
            <w:tcW w:type="dxa" w:w="1677"/>
          </w:tcPr>
          <w:p>
            <w:pPr>
              <w:spacing w:after="20" w:before="20"/>
              <w:jc w:val="center"/>
            </w:pPr>
            <w:r/>
            <w:r>
              <w:rPr>
                <w:rFonts w:ascii="Arial" w:hAnsi="Arial"/>
                <w:sz w:val="14"/>
              </w:rPr>
              <w:t>0.530 (−30.2)</w:t>
            </w:r>
          </w:p>
        </w:tc>
      </w:tr>
      <w:tr>
        <w:tc>
          <w:tcPr>
            <w:tcW w:type="dxa" w:w="1677"/>
          </w:tcPr>
          <w:p>
            <w:pPr>
              <w:spacing w:after="20" w:before="20"/>
              <w:jc w:val="left"/>
            </w:pPr>
            <w:r/>
            <w:r>
              <w:rPr>
                <w:rFonts w:ascii="Arial" w:hAnsi="Arial"/>
                <w:sz w:val="14"/>
              </w:rPr>
              <w:t>Inner half-frame</w:t>
            </w:r>
          </w:p>
        </w:tc>
        <w:tc>
          <w:tcPr>
            <w:tcW w:type="dxa" w:w="1677"/>
          </w:tcPr>
          <w:p>
            <w:pPr>
              <w:spacing w:after="20" w:before="20"/>
              <w:jc w:val="center"/>
            </w:pPr>
            <w:r/>
            <w:r>
              <w:rPr>
                <w:rFonts w:ascii="Arial" w:hAnsi="Arial"/>
                <w:sz w:val="14"/>
              </w:rPr>
              <w:t>noise</w:t>
            </w:r>
          </w:p>
        </w:tc>
        <w:tc>
          <w:tcPr>
            <w:tcW w:type="dxa" w:w="1677"/>
          </w:tcPr>
          <w:p>
            <w:pPr>
              <w:spacing w:after="20" w:before="20"/>
              <w:jc w:val="center"/>
            </w:pPr>
            <w:r/>
            <w:r>
              <w:rPr>
                <w:rFonts w:ascii="Arial" w:hAnsi="Arial"/>
                <w:sz w:val="14"/>
              </w:rPr>
              <w:t>0.713 (−6.0)</w:t>
            </w:r>
          </w:p>
        </w:tc>
        <w:tc>
          <w:tcPr>
            <w:tcW w:type="dxa" w:w="1677"/>
          </w:tcPr>
          <w:p>
            <w:pPr>
              <w:spacing w:after="20" w:before="20"/>
              <w:jc w:val="center"/>
            </w:pPr>
            <w:r/>
            <w:r>
              <w:rPr>
                <w:rFonts w:ascii="Arial" w:hAnsi="Arial"/>
                <w:sz w:val="14"/>
              </w:rPr>
              <w:t>0.785 (+6.0)</w:t>
            </w:r>
          </w:p>
        </w:tc>
        <w:tc>
          <w:tcPr>
            <w:tcW w:type="dxa" w:w="1677"/>
          </w:tcPr>
          <w:p>
            <w:pPr>
              <w:spacing w:after="20" w:before="20"/>
              <w:jc w:val="center"/>
            </w:pPr>
            <w:r/>
            <w:r>
              <w:rPr>
                <w:rFonts w:ascii="Arial" w:hAnsi="Arial"/>
                <w:sz w:val="14"/>
              </w:rPr>
              <w:t>0.853 (+4.7)</w:t>
            </w:r>
          </w:p>
        </w:tc>
        <w:tc>
          <w:tcPr>
            <w:tcW w:type="dxa" w:w="1677"/>
          </w:tcPr>
          <w:p>
            <w:pPr>
              <w:spacing w:after="20" w:before="20"/>
              <w:jc w:val="center"/>
            </w:pPr>
            <w:r/>
            <w:r>
              <w:rPr>
                <w:rFonts w:ascii="Arial" w:hAnsi="Arial"/>
                <w:sz w:val="14"/>
              </w:rPr>
              <w:t>0.906 (+7.4)</w:t>
            </w:r>
          </w:p>
        </w:tc>
      </w:tr>
      <w:tr>
        <w:tc>
          <w:tcPr>
            <w:tcW w:type="dxa" w:w="1677"/>
          </w:tcPr>
          <w:p>
            <w:pPr>
              <w:spacing w:after="20" w:before="20"/>
              <w:jc w:val="left"/>
            </w:pPr>
            <w:r/>
            <w:r>
              <w:rPr>
                <w:rFonts w:ascii="Arial" w:hAnsi="Arial"/>
                <w:sz w:val="14"/>
              </w:rPr>
              <w:t>Border ring (0.642)</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0.233 (−54.0)</w:t>
            </w:r>
          </w:p>
        </w:tc>
        <w:tc>
          <w:tcPr>
            <w:tcW w:type="dxa" w:w="1677"/>
          </w:tcPr>
          <w:p>
            <w:pPr>
              <w:spacing w:after="20" w:before="20"/>
              <w:jc w:val="center"/>
            </w:pPr>
            <w:r/>
            <w:r>
              <w:rPr>
                <w:rFonts w:ascii="Arial" w:hAnsi="Arial"/>
                <w:sz w:val="14"/>
              </w:rPr>
              <w:t>0.201 (−52.4)</w:t>
            </w:r>
          </w:p>
        </w:tc>
        <w:tc>
          <w:tcPr>
            <w:tcW w:type="dxa" w:w="1677"/>
          </w:tcPr>
          <w:p>
            <w:pPr>
              <w:spacing w:after="20" w:before="20"/>
              <w:jc w:val="center"/>
            </w:pPr>
            <w:r/>
            <w:r>
              <w:rPr>
                <w:rFonts w:ascii="Arial" w:hAnsi="Arial"/>
                <w:sz w:val="14"/>
              </w:rPr>
              <w:t>0.260 (−54.7)</w:t>
            </w:r>
          </w:p>
        </w:tc>
        <w:tc>
          <w:tcPr>
            <w:tcW w:type="dxa" w:w="1677"/>
          </w:tcPr>
          <w:p>
            <w:pPr>
              <w:spacing w:after="20" w:before="20"/>
              <w:jc w:val="center"/>
            </w:pPr>
            <w:r/>
            <w:r>
              <w:rPr>
                <w:rFonts w:ascii="Arial" w:hAnsi="Arial"/>
                <w:sz w:val="14"/>
              </w:rPr>
              <w:t>0.396 (−43.6)</w:t>
            </w:r>
          </w:p>
        </w:tc>
      </w:tr>
      <w:tr>
        <w:tc>
          <w:tcPr>
            <w:tcW w:type="dxa" w:w="1677"/>
          </w:tcPr>
          <w:p>
            <w:pPr>
              <w:spacing w:after="20" w:before="20"/>
              <w:jc w:val="left"/>
            </w:pPr>
            <w:r/>
            <w:r>
              <w:rPr>
                <w:rFonts w:ascii="Arial" w:hAnsi="Arial"/>
                <w:sz w:val="14"/>
              </w:rPr>
              <w:t>Center box (0.161)</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0.887 (+11.3)</w:t>
            </w:r>
          </w:p>
        </w:tc>
        <w:tc>
          <w:tcPr>
            <w:tcW w:type="dxa" w:w="1677"/>
          </w:tcPr>
          <w:p>
            <w:pPr>
              <w:spacing w:after="20" w:before="20"/>
              <w:jc w:val="center"/>
            </w:pPr>
            <w:r/>
            <w:r>
              <w:rPr>
                <w:rFonts w:ascii="Arial" w:hAnsi="Arial"/>
                <w:sz w:val="14"/>
              </w:rPr>
              <w:t>0.852 (+12.8)</w:t>
            </w:r>
          </w:p>
        </w:tc>
        <w:tc>
          <w:tcPr>
            <w:tcW w:type="dxa" w:w="1677"/>
          </w:tcPr>
          <w:p>
            <w:pPr>
              <w:spacing w:after="20" w:before="20"/>
              <w:jc w:val="center"/>
            </w:pPr>
            <w:r/>
            <w:r>
              <w:rPr>
                <w:rFonts w:ascii="Arial" w:hAnsi="Arial"/>
                <w:sz w:val="14"/>
              </w:rPr>
              <w:t>0.853 (+4.7)</w:t>
            </w:r>
          </w:p>
        </w:tc>
        <w:tc>
          <w:tcPr>
            <w:tcW w:type="dxa" w:w="1677"/>
          </w:tcPr>
          <w:p>
            <w:pPr>
              <w:spacing w:after="20" w:before="20"/>
              <w:jc w:val="center"/>
            </w:pPr>
            <w:r/>
            <w:r>
              <w:rPr>
                <w:rFonts w:ascii="Arial" w:hAnsi="Arial"/>
                <w:sz w:val="14"/>
              </w:rPr>
              <w:t>0.920 (+8.7)</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result holds in all eight model-by-split-by-fill combinations and is large in every one. </w:t>
      </w:r>
      <w:r>
        <w:rPr>
          <w:rFonts w:ascii="Times New Roman" w:hAnsi="Times New Roman"/>
          <w:b/>
          <w:sz w:val="20"/>
        </w:rPr>
        <w:t>Destroying the outer region costs 22 to 50 points of external specificity; destroying an area-matched center region costs nothing and more often helps</w:t>
      </w:r>
      <w:r>
        <w:rPr>
          <w:rFonts w:ascii="Times New Roman" w:hAnsi="Times New Roman"/>
          <w:sz w:val="20"/>
        </w:rPr>
        <w:t>, and removing the occlusion analysis's small center box raises specificity by 5 to 13 points. Whatever these models read in order to call an external photograph authentic lies outside the middle of the frame, and the middle of the frame is where the packaging is. This settles M4, the case occlusion could not resolve, in the same direction as M3. Each condition is a single deterministic pass, so the small positive deltas on the inner rows are not a benefit; what carries the finding is the sign and size of the outer rows, an order of magnitude larger than anything else in the table.</w:t>
      </w:r>
    </w:p>
    <w:p>
      <w:pPr>
        <w:spacing w:after="0" w:before="0" w:line="240" w:lineRule="exact"/>
        <w:ind w:firstLine="202"/>
        <w:jc w:val="both"/>
      </w:pPr>
      <w:r>
        <w:rPr>
          <w:rFonts w:ascii="Times New Roman" w:hAnsi="Times New Roman"/>
          <w:b/>
          <w:sz w:val="20"/>
        </w:rPr>
        <w:t>What this establishes is outer-region dependence, not backdrop dependence.</w:t>
      </w:r>
      <w:r>
        <w:rPr>
          <w:rFonts w:ascii="Times New Roman" w:hAnsi="Times New Roman"/>
          <w:sz w:val="20"/>
        </w:rPr>
        <w:t xml:space="preserve"> Both corrected backbones depend strongly on the </w:t>
      </w:r>
      <w:r>
        <w:rPr>
          <w:rFonts w:ascii="Times New Roman" w:hAnsi="Times New Roman"/>
          <w:b/>
          <w:sz w:val="20"/>
        </w:rPr>
        <w:t>outer region of the frame</w:t>
      </w:r>
      <w:r>
        <w:rPr>
          <w:rFonts w:ascii="Times New Roman" w:hAnsi="Times New Roman"/>
          <w:sz w:val="20"/>
        </w:rPr>
        <w:t xml:space="preserve"> rather than on the center where the packaging sits. The experiment does not isolate </w:t>
      </w:r>
      <w:r>
        <w:rPr>
          <w:rFonts w:ascii="Times New Roman" w:hAnsi="Times New Roman"/>
          <w:i/>
          <w:sz w:val="20"/>
        </w:rPr>
        <w:t>which</w:t>
      </w:r>
      <w:r>
        <w:rPr>
          <w:rFonts w:ascii="Times New Roman" w:hAnsi="Times New Roman"/>
          <w:sz w:val="20"/>
        </w:rPr>
        <w:t xml:space="preserve"> property of that region they use: the outer region holds the dark backdrop, the lighting and shadow gradient, the staging, and whatever of the carton extends past the center square, and a geometric partition cannot separate these. Establishing that the backdrop specifically is the operative cue would need content-aware annotation — attribution mass inside an annotated product box — which is implemented but not run (Section V-C). We therefore describe the finding as outer-region dependence and treat backdrop, lighting and staging as candidate cues it is consistent with.</w:t>
      </w:r>
    </w:p>
    <w:p>
      <w:pPr>
        <w:spacing w:after="0" w:before="0" w:line="240" w:lineRule="exact"/>
        <w:ind w:firstLine="202"/>
        <w:jc w:val="both"/>
      </w:pPr>
      <w:r>
        <w:rPr>
          <w:rFonts w:ascii="Times New Roman" w:hAnsi="Times New Roman"/>
          <w:sz w:val="20"/>
        </w:rPr>
        <w:t xml:space="preserve">Two consequences follow. Conditions C and D hold that outer region approximately fixed, sharing one dark backdrop, so neither disturbs the region identified here, and the backbones' stability across that shift is what an outer-region rule predicts. And </w:t>
      </w:r>
      <w:r>
        <w:rPr>
          <w:rFonts w:ascii="Times New Roman" w:hAnsi="Times New Roman"/>
          <w:b/>
          <w:sz w:val="20"/>
        </w:rPr>
        <w:t>the models corrected by Eq. (8) have not stopped depending on acquisition; both now depend on a different acquisition-linked cue that the audit of Section IV-A does not test, because it leaves no trace in a file header.</w:t>
      </w:r>
    </w:p>
    <w:p>
      <w:pPr>
        <w:keepNext/>
        <w:spacing w:before="200" w:after="60" w:line="240" w:lineRule="exact"/>
        <w:jc w:val="left"/>
      </w:pPr>
      <w:r>
        <w:rPr>
          <w:rFonts w:ascii="Arial" w:hAnsi="Arial"/>
          <w:b/>
          <w:i w:val="0"/>
          <w:color w:val="00548F"/>
          <w:sz w:val="18"/>
        </w:rPr>
        <w:t>V. DISCUSSION</w:t>
      </w:r>
    </w:p>
    <w:p>
      <w:pPr>
        <w:keepNext/>
        <w:spacing w:before="160" w:after="60" w:line="240" w:lineRule="exact"/>
        <w:jc w:val="left"/>
      </w:pPr>
      <w:r>
        <w:rPr>
          <w:rFonts w:ascii="Arial" w:hAnsi="Arial"/>
          <w:b/>
          <w:i/>
          <w:color w:val="000000"/>
          <w:sz w:val="18"/>
        </w:rPr>
        <w:t>A. WHAT IN-DISTRIBUTION ACCURACY ON THIS DATASET MEASURES</w:t>
      </w:r>
    </w:p>
    <w:p>
      <w:pPr>
        <w:spacing w:after="0" w:before="0" w:line="240" w:lineRule="exact"/>
        <w:ind w:firstLine="202"/>
        <w:jc w:val="both"/>
      </w:pPr>
      <w:r>
        <w:rPr>
          <w:rFonts w:ascii="Times New Roman" w:hAnsi="Times New Roman"/>
          <w:sz w:val="20"/>
        </w:rPr>
        <w:t>Everything an in-distribution evaluation on this dataset can measure is available without looking at the packaging: three header fields reach 100% on the leakage-free partition, container format alone is correct on all 510 images, and M1's accuracy rests on a brightness proxy. This does not imply that prior work here is careless; it indicates a defect no in-distribution measure surfaces — not stratification, cross-validation, bootstrap intervals or near-duplicate grouping. Two checks do surface it: the metadata audit, which is not an accuracy at all, and evaluation on data someone else acquired.</w:t>
      </w:r>
    </w:p>
    <w:p>
      <w:pPr>
        <w:spacing w:after="0" w:before="0" w:line="240" w:lineRule="exact"/>
        <w:ind w:firstLine="202"/>
        <w:jc w:val="both"/>
      </w:pPr>
      <w:r>
        <w:rPr>
          <w:rFonts w:ascii="Times New Roman" w:hAnsi="Times New Roman"/>
          <w:sz w:val="20"/>
        </w:rPr>
        <w:t>We expected image-level leakage to dominate, because that is what the surrounding methodological literature emphasizes [11]. It did not, and the generalizable point concerns the ordering of audits: both checks are cheap, only the leakage one is routine, and here the other identified a substantially larger effect. That is an argument for running both, not for replacing one with the other.</w:t>
      </w:r>
    </w:p>
    <w:p>
      <w:pPr>
        <w:spacing w:after="0" w:before="0" w:line="240" w:lineRule="exact"/>
        <w:ind w:firstLine="202"/>
        <w:jc w:val="both"/>
      </w:pPr>
      <w:r>
        <w:rPr>
          <w:rFonts w:ascii="Times New Roman" w:hAnsi="Times New Roman"/>
          <w:sz w:val="20"/>
        </w:rPr>
        <w:t xml:space="preserve">External behavior was not monotonic with model capacity across the evaluated configurations, which suggests that access to acquisition-related features, and the specific distribution shifts tested, were more consequential than parameter count alone. M1's feature space </w:t>
      </w:r>
      <w:r>
        <w:rPr>
          <w:rFonts w:ascii="Times New Roman" w:hAnsi="Times New Roman"/>
          <w:i/>
          <w:sz w:val="20"/>
        </w:rPr>
        <w:t>is</w:t>
      </w:r>
      <w:r>
        <w:rPr>
          <w:rFonts w:ascii="Times New Roman" w:hAnsi="Times New Roman"/>
          <w:sz w:val="20"/>
        </w:rPr>
        <w:t xml:space="preserve"> the shortcut, so the correction unlocks nothing for it, while the two frozen backbones inherit ImageNet invariances that appear to afford partial protection (Section S-I-Q). With four architectures, one dataset and the shifts tested here, that is a reading consistent with the results, not something the design can establish.</w:t>
      </w:r>
    </w:p>
    <w:p>
      <w:pPr>
        <w:keepNext/>
        <w:spacing w:before="160" w:after="60" w:line="240" w:lineRule="exact"/>
        <w:jc w:val="left"/>
      </w:pPr>
      <w:r>
        <w:rPr>
          <w:rFonts w:ascii="Arial" w:hAnsi="Arial"/>
          <w:b/>
          <w:i/>
          <w:color w:val="000000"/>
          <w:sz w:val="18"/>
        </w:rPr>
        <w:t>B. WHAT THE AUDIT SETTLES, AND WHAT IT DOES NOT</w:t>
      </w:r>
    </w:p>
    <w:p>
      <w:pPr>
        <w:spacing w:after="0" w:before="0" w:line="240" w:lineRule="exact"/>
        <w:ind w:firstLine="202"/>
        <w:jc w:val="both"/>
      </w:pPr>
      <w:r>
        <w:rPr>
          <w:rFonts w:ascii="Times New Roman" w:hAnsi="Times New Roman"/>
          <w:sz w:val="20"/>
        </w:rPr>
        <w:t xml:space="preserve">The audit settles one thing on this dataset: a provenance shortcut is available, completely, from header fields alone, and no in-distribution accuracy on the pool can therefore be read as evidence of authentication ability. What it does not settle is whether a given model took the shortcut, and the exploratory normalization was run to probe that. It does what it was designed to do — intervening on the three audited statistics changes the external result — and its own results are why it is an instrument rather than a remedy: the recovered specificity rests on the outer region of the frame rather than on the packaging; the recovery is not stable across a second capture of the same products for the model it helped most; and permuting operator order alone moves the external result far more than the in-distribution one (Section S-I-X). The experiment supports an </w:t>
      </w:r>
      <w:r>
        <w:rPr>
          <w:rFonts w:ascii="Times New Roman" w:hAnsi="Times New Roman"/>
          <w:i/>
          <w:sz w:val="20"/>
        </w:rPr>
        <w:t>interventional</w:t>
      </w:r>
      <w:r>
        <w:rPr>
          <w:rFonts w:ascii="Times New Roman" w:hAnsi="Times New Roman"/>
          <w:sz w:val="20"/>
        </w:rPr>
        <w:t xml:space="preserve"> claim about three named statistics, does not identify which of them the models were responding to, and is not evidence that they learned to recognize packaging.</w:t>
      </w:r>
    </w:p>
    <w:p>
      <w:pPr>
        <w:spacing w:after="0" w:before="0" w:line="240" w:lineRule="exact"/>
        <w:ind w:firstLine="202"/>
        <w:jc w:val="both"/>
      </w:pPr>
      <w:r>
        <w:rPr>
          <w:rFonts w:ascii="Times New Roman" w:hAnsi="Times New Roman"/>
          <w:sz w:val="20"/>
        </w:rPr>
        <w:t xml:space="preserve">The conclusion we would defend is accordingly not that a preprocessing solution was developed, but the narrower one: </w:t>
      </w:r>
      <w:r>
        <w:rPr>
          <w:rFonts w:ascii="Times New Roman" w:hAnsi="Times New Roman"/>
          <w:b/>
          <w:sz w:val="20"/>
        </w:rPr>
        <w:t>eliminating one provenance signal can expose another, so a correction is itself dataset construction and is owed the same audit as a dataset.</w:t>
      </w:r>
    </w:p>
    <w:p>
      <w:pPr>
        <w:spacing w:after="0" w:before="0" w:line="240" w:lineRule="exact"/>
        <w:ind w:firstLine="202"/>
        <w:jc w:val="both"/>
      </w:pPr>
      <w:r>
        <w:rPr>
          <w:rFonts w:ascii="Times New Roman" w:hAnsi="Times New Roman"/>
          <w:b/>
          <w:sz w:val="20"/>
        </w:rPr>
        <w:t>The evidence for that conclusion is interventional.</w:t>
      </w:r>
      <w:r>
        <w:rPr>
          <w:rFonts w:ascii="Times New Roman" w:hAnsi="Times New Roman"/>
          <w:sz w:val="20"/>
        </w:rPr>
        <w:t xml:space="preserve"> The audit named three acquisition statistics and Eq. (8) removed them; region substitution then located what the corrected models rely on outside the middle of the frame (Section IV-E). That region is acquisition-linked — backdrop, staging and lighting are chosen by whoever took the photograph, not by the manufacturer — and the audit does not test it, because it leaves no trace in a file header. A practitioner who ran the audit, applied the correction and reported the resulting external number would have reported a real improvement produced by a mechanism they had not audited. </w:t>
      </w:r>
      <w:r>
        <w:rPr>
          <w:rFonts w:ascii="Times New Roman" w:hAnsi="Times New Roman"/>
          <w:b/>
          <w:sz w:val="20"/>
        </w:rPr>
        <w:t>Provenance auditing is therefore better understood as an iterative dataset-quality check, repeated after each intervention, than as a one-time preprocessing step.</w:t>
      </w:r>
    </w:p>
    <w:p>
      <w:pPr>
        <w:spacing w:after="0" w:before="0" w:line="240" w:lineRule="exact"/>
        <w:ind w:firstLine="202"/>
        <w:jc w:val="both"/>
      </w:pPr>
      <w:r>
        <w:rPr>
          <w:rFonts w:ascii="Times New Roman" w:hAnsi="Times New Roman"/>
          <w:sz w:val="20"/>
        </w:rPr>
        <w:t xml:space="preserve">That iteration is needed because "provenance confound" is not one defect but a small family, each needing a different check. </w:t>
      </w:r>
      <w:r>
        <w:rPr>
          <w:rFonts w:ascii="Times New Roman" w:hAnsi="Times New Roman"/>
          <w:b/>
          <w:sz w:val="20"/>
        </w:rPr>
        <w:t>Type A</w:t>
      </w:r>
      <w:r>
        <w:rPr>
          <w:rFonts w:ascii="Times New Roman" w:hAnsi="Times New Roman"/>
          <w:sz w:val="20"/>
        </w:rPr>
        <w:t xml:space="preserve"> is the acquisition-statistic confound, which metadata detects (the Kaggle pool, 1.000). </w:t>
      </w:r>
      <w:r>
        <w:rPr>
          <w:rFonts w:ascii="Times New Roman" w:hAnsi="Times New Roman"/>
          <w:b/>
          <w:sz w:val="20"/>
        </w:rPr>
        <w:t>Type B</w:t>
      </w:r>
      <w:r>
        <w:rPr>
          <w:rFonts w:ascii="Times New Roman" w:hAnsi="Times New Roman"/>
          <w:sz w:val="20"/>
        </w:rPr>
        <w:t xml:space="preserve"> is a content or modality confound, on which metadata may be silent and which only a content pass over each class finds (the Roboflow archive, 0.717). </w:t>
      </w:r>
      <w:r>
        <w:rPr>
          <w:rFonts w:ascii="Times New Roman" w:hAnsi="Times New Roman"/>
          <w:b/>
          <w:sz w:val="20"/>
        </w:rPr>
        <w:t>Type C</w:t>
      </w:r>
      <w:r>
        <w:rPr>
          <w:rFonts w:ascii="Times New Roman" w:hAnsi="Times New Roman"/>
          <w:sz w:val="20"/>
        </w:rPr>
        <w:t xml:space="preserve"> is one reintroduced when a </w:t>
      </w:r>
      <w:r>
        <w:rPr>
          <w:rFonts w:ascii="Times New Roman" w:hAnsi="Times New Roman"/>
          <w:i/>
          <w:sz w:val="20"/>
        </w:rPr>
        <w:t>derived</w:t>
      </w:r>
      <w:r>
        <w:rPr>
          <w:rFonts w:ascii="Times New Roman" w:hAnsi="Times New Roman"/>
          <w:sz w:val="20"/>
        </w:rPr>
        <w:t xml:space="preserve"> set is drawn from a differently-acquired part of a clean source, which near-duplicate and source auditing catch. </w:t>
      </w:r>
      <w:r>
        <w:rPr>
          <w:rFonts w:ascii="Times New Roman" w:hAnsi="Times New Roman"/>
          <w:b/>
          <w:sz w:val="20"/>
        </w:rPr>
        <w:t>Type D</w:t>
      </w:r>
      <w:r>
        <w:rPr>
          <w:rFonts w:ascii="Times New Roman" w:hAnsi="Times New Roman"/>
          <w:sz w:val="20"/>
        </w:rPr>
        <w:t xml:space="preserve"> is a shipped split whose partitions do not partition, and </w:t>
      </w:r>
      <w:r>
        <w:rPr>
          <w:rFonts w:ascii="Times New Roman" w:hAnsi="Times New Roman"/>
          <w:b/>
          <w:sz w:val="20"/>
        </w:rPr>
        <w:t>Type E</w:t>
      </w:r>
      <w:r>
        <w:rPr>
          <w:rFonts w:ascii="Times New Roman" w:hAnsi="Times New Roman"/>
          <w:sz w:val="20"/>
        </w:rPr>
        <w:t xml:space="preserve"> the audit's own false-positive mode on the mixed axes. Section S-I-T gives each its detector, its cost when undetected and its repair.</w:t>
      </w:r>
    </w:p>
    <w:p>
      <w:pPr>
        <w:spacing w:after="0" w:before="0" w:line="240" w:lineRule="exact"/>
        <w:ind w:firstLine="202"/>
        <w:jc w:val="both"/>
      </w:pPr>
      <w:r>
        <w:rPr>
          <w:rFonts w:ascii="Times New Roman" w:hAnsi="Times New Roman"/>
          <w:b/>
          <w:sz w:val="20"/>
        </w:rPr>
        <w:t>The lesson cutting across the five is that no single check is sufficient.</w:t>
      </w:r>
      <w:r>
        <w:rPr>
          <w:rFonts w:ascii="Times New Roman" w:hAnsi="Times New Roman"/>
          <w:sz w:val="20"/>
        </w:rPr>
        <w:t xml:space="preserve"> Metadata auditing does not replace content and modality inspection, near-duplicate analysis, or source and acquisition auditing; each of the three caught something on our own data that the others missed. Publisher-side tidying compounds this, suppressing the symptom a metadata audit reads while leaving the disease in place.</w:t>
      </w:r>
    </w:p>
    <w:p>
      <w:pPr>
        <w:spacing w:after="0" w:before="0" w:line="240" w:lineRule="exact"/>
        <w:ind w:firstLine="202"/>
        <w:jc w:val="both"/>
      </w:pPr>
      <w:r>
        <w:rPr>
          <w:rFonts w:ascii="Times New Roman" w:hAnsi="Times New Roman"/>
          <w:b/>
          <w:sz w:val="20"/>
        </w:rPr>
        <w:t>What would count against the mechanism.</w:t>
      </w:r>
      <w:r>
        <w:rPr>
          <w:rFonts w:ascii="Times New Roman" w:hAnsi="Times New Roman"/>
          <w:sz w:val="20"/>
        </w:rPr>
        <w:t xml:space="preserve"> The claim of Section I-A is that asymmetric class availability can create class-conditional acquisition differences that confound the intended task. Datasets whose scarce class was obtained by the same procedure as the abundant one should show no Type A confound; [3], which photographed both classes on one Raspberry Pi rig, is the one study in Table S26 plausibly meeting that condition, and it also reports the lowest accuracy there, which is a single observation across heterogeneous studies and suggestive rather than evidence. Conversely, a survey finding the audit firing no more often on separately-sourced collections than on jointly-sourced ones would refute the mechanism. That survey is the natural next study and we have not performed it.</w:t>
      </w:r>
    </w:p>
    <w:p>
      <w:pPr>
        <w:keepNext/>
        <w:spacing w:before="160" w:after="60" w:line="240" w:lineRule="exact"/>
        <w:jc w:val="left"/>
      </w:pPr>
      <w:r>
        <w:rPr>
          <w:rFonts w:ascii="Arial" w:hAnsi="Arial"/>
          <w:b/>
          <w:i/>
          <w:color w:val="000000"/>
          <w:sz w:val="18"/>
        </w:rPr>
        <w:t>C. PRACTICAL IMPLICATIONS AND NEXT STEPS</w:t>
      </w:r>
    </w:p>
    <w:p>
      <w:pPr>
        <w:spacing w:after="0" w:before="0" w:line="240" w:lineRule="exact"/>
        <w:ind w:firstLine="202"/>
        <w:jc w:val="both"/>
      </w:pPr>
      <w:r>
        <w:rPr>
          <w:rFonts w:ascii="Times New Roman" w:hAnsi="Times New Roman"/>
          <w:b/>
          <w:sz w:val="20"/>
        </w:rPr>
        <w:t>A checklist for publishing an authenticity dataset.</w:t>
      </w:r>
      <w:r>
        <w:rPr>
          <w:rFonts w:ascii="Times New Roman" w:hAnsi="Times New Roman"/>
          <w:sz w:val="20"/>
        </w:rPr>
        <w:t xml:space="preserve"> Documenting the acquisition procedure for each class, and stating whether both came from the same one, is a single sentence that would have made this study's central finding visible without any of its analysis. Each item below would have surfaced a defect reported here, and none requires a model to be trained:</w:t>
      </w:r>
    </w:p>
    <w:p>
      <w:pPr>
        <w:pStyle w:val="ListBullet"/>
        <w:spacing w:after="40" w:line="240" w:lineRule="exact"/>
      </w:pPr>
      <w:r>
        <w:rPr>
          <w:rFonts w:ascii="Times New Roman" w:hAnsi="Times New Roman"/>
          <w:b/>
          <w:sz w:val="20"/>
        </w:rPr>
        <w:t>Acquisition-source balance.</w:t>
      </w:r>
      <w:r>
        <w:rPr>
          <w:rFonts w:ascii="Times New Roman" w:hAnsi="Times New Roman"/>
          <w:sz w:val="20"/>
        </w:rPr>
        <w:t xml:space="preserve"> Every capture condition — rig, camera, operator, location, lighting — must contribute </w:t>
      </w:r>
      <w:r>
        <w:rPr>
          <w:rFonts w:ascii="Times New Roman" w:hAnsi="Times New Roman"/>
          <w:i/>
          <w:sz w:val="20"/>
        </w:rPr>
        <w:t>both</w:t>
      </w:r>
      <w:r>
        <w:rPr>
          <w:rFonts w:ascii="Times New Roman" w:hAnsi="Times New Roman"/>
          <w:sz w:val="20"/>
        </w:rPr>
        <w:t xml:space="preserve"> classes. If authentic items are photographed on rig A, counterfeit items must be photographed on rig A too, and vice versa. A class obtained by a different route than the other is the mechanism this paper describes.</w:t>
      </w:r>
    </w:p>
    <w:p>
      <w:pPr>
        <w:pStyle w:val="ListBullet"/>
        <w:spacing w:after="40" w:line="240" w:lineRule="exact"/>
      </w:pPr>
      <w:r>
        <w:rPr>
          <w:rFonts w:ascii="Times New Roman" w:hAnsi="Times New Roman"/>
          <w:b/>
          <w:sz w:val="20"/>
        </w:rPr>
        <w:t>Format and encoding parity.</w:t>
      </w:r>
      <w:r>
        <w:rPr>
          <w:rFonts w:ascii="Times New Roman" w:hAnsi="Times New Roman"/>
          <w:sz w:val="20"/>
        </w:rPr>
        <w:t xml:space="preserve"> Store both classes in one container format at one encoder setting. Mixed </w:t>
      </w:r>
      <w:r>
        <w:rPr>
          <w:rFonts w:ascii="Consolas" w:hAnsi="Consolas"/>
          <w:sz w:val="18"/>
        </w:rPr>
        <w:t>.png</w:t>
      </w:r>
      <w:r>
        <w:rPr>
          <w:rFonts w:ascii="Times New Roman" w:hAnsi="Times New Roman"/>
          <w:sz w:val="20"/>
        </w:rPr>
        <w:t>/</w:t>
      </w:r>
      <w:r>
        <w:rPr>
          <w:rFonts w:ascii="Consolas" w:hAnsi="Consolas"/>
          <w:sz w:val="18"/>
        </w:rPr>
        <w:t>.jpg</w:t>
      </w:r>
      <w:r>
        <w:rPr>
          <w:rFonts w:ascii="Times New Roman" w:hAnsi="Times New Roman"/>
          <w:sz w:val="20"/>
        </w:rPr>
        <w:t>, native-resolution discrepancies and per-class filename conventions each reproduce the label without a pixel being read.</w:t>
      </w:r>
    </w:p>
    <w:p>
      <w:pPr>
        <w:pStyle w:val="ListBullet"/>
        <w:spacing w:after="40" w:line="240" w:lineRule="exact"/>
      </w:pPr>
      <w:r>
        <w:rPr>
          <w:rFonts w:ascii="Times New Roman" w:hAnsi="Times New Roman"/>
          <w:b/>
          <w:sz w:val="20"/>
        </w:rPr>
        <w:t>Report the audit score before the model score.</w:t>
      </w:r>
      <w:r>
        <w:rPr>
          <w:rFonts w:ascii="Times New Roman" w:hAnsi="Times New Roman"/>
          <w:sz w:val="20"/>
        </w:rPr>
        <w:t xml:space="preserve"> Publish the </w:t>
      </w:r>
      <w:r>
        <w:rPr>
          <w:rFonts w:ascii="Times New Roman" w:hAnsi="Times New Roman"/>
          <w:i/>
          <w:sz w:val="20"/>
        </w:rPr>
        <w:t>A_(pure)</w:t>
      </w:r>
      <w:r>
        <w:rPr>
          <w:rFonts w:ascii="Times New Roman" w:hAnsi="Times New Roman"/>
          <w:sz w:val="20"/>
        </w:rPr>
        <w:t xml:space="preserve"> audit result — container format at minimum — alongside baseline performance, and state the partition it was computed on. A dataset card that reports 1.000 is more useful than one that reports nothing.</w:t>
      </w:r>
    </w:p>
    <w:p>
      <w:pPr>
        <w:pStyle w:val="ListBullet"/>
        <w:spacing w:after="40" w:line="240" w:lineRule="exact"/>
      </w:pPr>
      <w:r>
        <w:rPr>
          <w:rFonts w:ascii="Times New Roman" w:hAnsi="Times New Roman"/>
          <w:b/>
          <w:sz w:val="20"/>
        </w:rPr>
        <w:t>Ship a raw archive, and document the collection protocol.</w:t>
      </w:r>
      <w:r>
        <w:rPr>
          <w:rFonts w:ascii="Times New Roman" w:hAnsi="Times New Roman"/>
          <w:sz w:val="20"/>
        </w:rPr>
        <w:t xml:space="preserve"> Publisher-side resizing and re-encoding erase the traces a cheap audit reads without removing the confound beneath them, which is how one archive audited here scores at chance while being confounded at least as severely as the case study.</w:t>
      </w:r>
    </w:p>
    <w:p>
      <w:pPr>
        <w:pStyle w:val="ListBullet"/>
        <w:spacing w:after="40" w:line="240" w:lineRule="exact"/>
      </w:pPr>
      <w:r>
        <w:rPr>
          <w:rFonts w:ascii="Times New Roman" w:hAnsi="Times New Roman"/>
          <w:b/>
          <w:sz w:val="20"/>
        </w:rPr>
        <w:t>Partition the shipped split, and say so.</w:t>
      </w:r>
      <w:r>
        <w:rPr>
          <w:rFonts w:ascii="Times New Roman" w:hAnsi="Times New Roman"/>
          <w:sz w:val="20"/>
        </w:rPr>
        <w:t xml:space="preserve"> Verify that the train, validation and test folders are disjoint; one archive audited here ships a training folder that is a superset of both others.</w:t>
      </w:r>
    </w:p>
    <w:p>
      <w:pPr>
        <w:spacing w:after="0" w:before="0" w:line="240" w:lineRule="exact"/>
        <w:ind w:firstLine="202"/>
        <w:jc w:val="both"/>
      </w:pPr>
      <w:r>
        <w:rPr>
          <w:rFonts w:ascii="Times New Roman" w:hAnsi="Times New Roman"/>
          <w:b/>
          <w:sz w:val="20"/>
        </w:rPr>
        <w:t>For reviewers.</w:t>
      </w:r>
      <w:r>
        <w:rPr>
          <w:rFonts w:ascii="Times New Roman" w:hAnsi="Times New Roman"/>
          <w:sz w:val="20"/>
        </w:rPr>
        <w:t xml:space="preserve"> Ask how each class was obtained, and whether the model was evaluated on data the authors did not collect. On this dataset either question would have been decisive.</w:t>
      </w:r>
    </w:p>
    <w:p>
      <w:pPr>
        <w:spacing w:after="0" w:before="0" w:line="240" w:lineRule="exact"/>
        <w:ind w:firstLine="202"/>
        <w:jc w:val="both"/>
      </w:pPr>
      <w:r>
        <w:rPr>
          <w:rFonts w:ascii="Times New Roman" w:hAnsi="Times New Roman"/>
          <w:b/>
          <w:sz w:val="20"/>
        </w:rPr>
        <w:t>For practitioners.</w:t>
      </w:r>
      <w:r>
        <w:rPr>
          <w:rFonts w:ascii="Times New Roman" w:hAnsi="Times New Roman"/>
          <w:sz w:val="20"/>
        </w:rPr>
        <w:t xml:space="preserve"> Run the audit of Section III-E before training; treat a high score on container format as disqualifying for any in-distribution claim about the intended task; and re-run the audit after any correction.</w:t>
      </w:r>
    </w:p>
    <w:p>
      <w:pPr>
        <w:spacing w:after="0" w:before="0" w:line="240" w:lineRule="exact"/>
        <w:ind w:firstLine="202"/>
        <w:jc w:val="both"/>
      </w:pPr>
      <w:r>
        <w:rPr>
          <w:rFonts w:ascii="Times New Roman" w:hAnsi="Times New Roman"/>
          <w:b/>
          <w:sz w:val="20"/>
        </w:rPr>
        <w:t>Next steps.</w:t>
      </w:r>
      <w:r>
        <w:rPr>
          <w:rFonts w:ascii="Times New Roman" w:hAnsi="Times New Roman"/>
          <w:sz w:val="20"/>
        </w:rPr>
        <w:t xml:space="preserve"> The evaluation this study most needs is one it could not build: a </w:t>
      </w:r>
      <w:r>
        <w:rPr>
          <w:rFonts w:ascii="Times New Roman" w:hAnsi="Times New Roman"/>
          <w:b/>
          <w:sz w:val="20"/>
        </w:rPr>
        <w:t>two-class external set that varies the photographic setting</w:t>
      </w:r>
      <w:r>
        <w:rPr>
          <w:rFonts w:ascii="Times New Roman" w:hAnsi="Times New Roman"/>
          <w:sz w:val="20"/>
        </w:rPr>
        <w:t xml:space="preserve"> — both classes photographed against varied surfaces, cameras and lighting by people unconnected to the training data. It would test the outer-region cue of Section IV-E directly and fill the cell of the matrix in Section V-D that no experiment here reaches; building it needs photography, not harvesting, and the durable fix is at collection time — several independent photography setups, each contributing both classes. Further directions are fine-tuning the backbones, a survey of authenticity datasets with a defined sampling frame, and a content-aware attribution measure using annotated product boxes.</w:t>
      </w:r>
    </w:p>
    <w:p>
      <w:pPr>
        <w:keepNext/>
        <w:spacing w:before="160" w:after="60" w:line="240" w:lineRule="exact"/>
        <w:jc w:val="left"/>
      </w:pPr>
      <w:r>
        <w:rPr>
          <w:rFonts w:ascii="Arial" w:hAnsi="Arial"/>
          <w:b/>
          <w:i/>
          <w:color w:val="000000"/>
          <w:sz w:val="18"/>
        </w:rPr>
        <w:t>D. LIMITATIONS</w:t>
      </w:r>
    </w:p>
    <w:p>
      <w:pPr>
        <w:spacing w:after="0" w:before="0" w:line="240" w:lineRule="exact"/>
        <w:ind w:firstLine="202"/>
        <w:jc w:val="both"/>
      </w:pPr>
      <w:r>
        <w:rPr>
          <w:rFonts w:ascii="Times New Roman" w:hAnsi="Times New Roman"/>
          <w:sz w:val="20"/>
        </w:rPr>
        <w:t>Table 8 separates what this study demonstrates from what it hypothesizes or leaves unmeasured; Section S-II gives the evidence for and against each limitation stated below.</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8. </w:t>
      </w:r>
      <w:r>
        <w:rPr>
          <w:rFonts w:ascii="Arial" w:hAnsi="Arial"/>
          <w:color w:val="000000"/>
          <w:sz w:val="14"/>
        </w:rPr>
        <w:t>Evidence status of the claims in this paper, on the three levels set out in Section I-A. "Demonstrated" means measured here on the data named; "supported" means consistent with evidence reported here or elsewhere but not measured as a claim in its own right; "not established" means the paper does not settle the claim, either arguing for it without measuring it or measuring something that leaves it open; "not measured" means the quantity was never estimated at all.</w:t>
      </w: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r>
              <w:rPr>
                <w:rFonts w:ascii="Arial" w:hAnsi="Arial"/>
                <w:b/>
                <w:sz w:val="14"/>
              </w:rPr>
              <w:t>Claim</w:t>
            </w:r>
          </w:p>
        </w:tc>
        <w:tc>
          <w:tcPr>
            <w:tcW w:type="dxa" w:w="3355"/>
            <w:shd w:val="clear" w:color="auto" w:fill="DCE6EF"/>
          </w:tcPr>
          <w:p>
            <w:pPr>
              <w:spacing w:after="20" w:before="20"/>
              <w:jc w:val="center"/>
            </w:pPr>
            <w:r>
              <w:rPr>
                <w:b/>
              </w:rPr>
            </w:r>
            <w:r>
              <w:rPr>
                <w:rFonts w:ascii="Arial" w:hAnsi="Arial"/>
                <w:b/>
                <w:sz w:val="14"/>
              </w:rPr>
              <w:t>Status</w:t>
            </w:r>
          </w:p>
        </w:tc>
        <w:tc>
          <w:tcPr>
            <w:tcW w:type="dxa" w:w="3355"/>
            <w:shd w:val="clear" w:color="auto" w:fill="DCE6EF"/>
          </w:tcPr>
          <w:p>
            <w:pPr>
              <w:spacing w:after="20" w:before="20"/>
              <w:jc w:val="center"/>
            </w:pPr>
            <w:r>
              <w:rPr>
                <w:b/>
              </w:rPr>
            </w:r>
            <w:r>
              <w:rPr>
                <w:rFonts w:ascii="Arial" w:hAnsi="Arial"/>
                <w:b/>
                <w:sz w:val="14"/>
              </w:rPr>
              <w:t>Where</w:t>
            </w:r>
          </w:p>
        </w:tc>
      </w:tr>
      <w:tr>
        <w:tc>
          <w:tcPr>
            <w:tcW w:type="dxa" w:w="3355"/>
          </w:tcPr>
          <w:p>
            <w:pPr>
              <w:spacing w:after="20" w:before="20"/>
              <w:jc w:val="left"/>
            </w:pPr>
            <w:r/>
            <w:r>
              <w:rPr>
                <w:rFonts w:ascii="Arial" w:hAnsi="Arial"/>
                <w:sz w:val="14"/>
              </w:rPr>
              <w:t>The case-study dataset is provenance-confounded</w:t>
            </w:r>
          </w:p>
        </w:tc>
        <w:tc>
          <w:tcPr>
            <w:tcW w:type="dxa" w:w="3355"/>
          </w:tcPr>
          <w:p>
            <w:pPr>
              <w:spacing w:after="20" w:before="20"/>
              <w:jc w:val="center"/>
            </w:pPr>
            <w:r/>
            <w:r>
              <w:rPr>
                <w:rFonts w:ascii="Arial" w:hAnsi="Arial"/>
                <w:sz w:val="14"/>
              </w:rPr>
              <w:t>Demonstrated: container format predicts the label on 510/510 images</w:t>
            </w:r>
          </w:p>
        </w:tc>
        <w:tc>
          <w:tcPr>
            <w:tcW w:type="dxa" w:w="3355"/>
          </w:tcPr>
          <w:p>
            <w:pPr>
              <w:spacing w:after="20" w:before="20"/>
              <w:jc w:val="center"/>
            </w:pPr>
            <w:r/>
            <w:r>
              <w:rPr>
                <w:rFonts w:ascii="Arial" w:hAnsi="Arial"/>
                <w:sz w:val="14"/>
              </w:rPr>
              <w:t>Section IV-A</w:t>
            </w:r>
          </w:p>
        </w:tc>
      </w:tr>
      <w:tr>
        <w:tc>
          <w:tcPr>
            <w:tcW w:type="dxa" w:w="3355"/>
          </w:tcPr>
          <w:p>
            <w:pPr>
              <w:spacing w:after="20" w:before="20"/>
              <w:jc w:val="left"/>
            </w:pPr>
            <w:r/>
            <w:r>
              <w:rPr>
                <w:rFonts w:ascii="Arial" w:hAnsi="Arial"/>
                <w:sz w:val="14"/>
              </w:rPr>
              <w:t>Acquisition variables alone reproduce its labels</w:t>
            </w:r>
          </w:p>
        </w:tc>
        <w:tc>
          <w:tcPr>
            <w:tcW w:type="dxa" w:w="3355"/>
          </w:tcPr>
          <w:p>
            <w:pPr>
              <w:spacing w:after="20" w:before="20"/>
              <w:jc w:val="center"/>
            </w:pPr>
            <w:r/>
            <w:r>
              <w:rPr>
                <w:rFonts w:ascii="Arial" w:hAnsi="Arial"/>
                <w:sz w:val="14"/>
              </w:rPr>
              <w:t>Demonstrated: 1.000 on the leakage-free partition, no pixels decoded</w:t>
            </w:r>
          </w:p>
        </w:tc>
        <w:tc>
          <w:tcPr>
            <w:tcW w:type="dxa" w:w="3355"/>
          </w:tcPr>
          <w:p>
            <w:pPr>
              <w:spacing w:after="20" w:before="20"/>
              <w:jc w:val="center"/>
            </w:pPr>
            <w:r/>
            <w:r>
              <w:rPr>
                <w:rFonts w:ascii="Arial" w:hAnsi="Arial"/>
                <w:sz w:val="14"/>
              </w:rPr>
              <w:t>Table 2</w:t>
            </w:r>
          </w:p>
        </w:tc>
      </w:tr>
      <w:tr>
        <w:tc>
          <w:tcPr>
            <w:tcW w:type="dxa" w:w="3355"/>
          </w:tcPr>
          <w:p>
            <w:pPr>
              <w:spacing w:after="20" w:before="20"/>
              <w:jc w:val="left"/>
            </w:pPr>
            <w:r/>
            <w:r>
              <w:rPr>
                <w:rFonts w:ascii="Arial" w:hAnsi="Arial"/>
                <w:sz w:val="14"/>
              </w:rPr>
              <w:t>In-distribution validation does not surface the confound</w:t>
            </w:r>
          </w:p>
        </w:tc>
        <w:tc>
          <w:tcPr>
            <w:tcW w:type="dxa" w:w="3355"/>
          </w:tcPr>
          <w:p>
            <w:pPr>
              <w:spacing w:after="20" w:before="20"/>
              <w:jc w:val="center"/>
            </w:pPr>
            <w:r/>
            <w:r>
              <w:rPr>
                <w:rFonts w:ascii="Arial" w:hAnsi="Arial"/>
                <w:sz w:val="14"/>
              </w:rPr>
              <w:t>Demonstrated on this dataset: stratification, grouped cross-validation, bootstrap intervals and near-duplicate grouping all pass</w:t>
            </w:r>
          </w:p>
        </w:tc>
        <w:tc>
          <w:tcPr>
            <w:tcW w:type="dxa" w:w="3355"/>
          </w:tcPr>
          <w:p>
            <w:pPr>
              <w:spacing w:after="20" w:before="20"/>
              <w:jc w:val="center"/>
            </w:pPr>
            <w:r/>
            <w:r>
              <w:rPr>
                <w:rFonts w:ascii="Arial" w:hAnsi="Arial"/>
                <w:sz w:val="14"/>
              </w:rPr>
              <w:t>Sections IV-A, IV-B</w:t>
            </w:r>
          </w:p>
        </w:tc>
      </w:tr>
      <w:tr>
        <w:tc>
          <w:tcPr>
            <w:tcW w:type="dxa" w:w="3355"/>
          </w:tcPr>
          <w:p>
            <w:pPr>
              <w:spacing w:after="20" w:before="20"/>
              <w:jc w:val="left"/>
            </w:pPr>
            <w:r/>
            <w:r>
              <w:rPr>
                <w:rFonts w:ascii="Arial" w:hAnsi="Arial"/>
                <w:sz w:val="14"/>
              </w:rPr>
              <w:t>Near-duplicate leakage is the smaller effect here</w:t>
            </w:r>
          </w:p>
        </w:tc>
        <w:tc>
          <w:tcPr>
            <w:tcW w:type="dxa" w:w="3355"/>
          </w:tcPr>
          <w:p>
            <w:pPr>
              <w:spacing w:after="20" w:before="20"/>
              <w:jc w:val="center"/>
            </w:pPr>
            <w:r/>
            <w:r>
              <w:rPr>
                <w:rFonts w:ascii="Arial" w:hAnsi="Arial"/>
                <w:sz w:val="14"/>
              </w:rPr>
              <w:t>Demonstrated: +0.3 points [−1.9, +2.4] on a fixed test set</w:t>
            </w:r>
          </w:p>
        </w:tc>
        <w:tc>
          <w:tcPr>
            <w:tcW w:type="dxa" w:w="3355"/>
          </w:tcPr>
          <w:p>
            <w:pPr>
              <w:spacing w:after="20" w:before="20"/>
              <w:jc w:val="center"/>
            </w:pPr>
            <w:r/>
            <w:r>
              <w:rPr>
                <w:rFonts w:ascii="Arial" w:hAnsi="Arial"/>
                <w:sz w:val="14"/>
              </w:rPr>
              <w:t>Section IV-B</w:t>
            </w:r>
          </w:p>
        </w:tc>
      </w:tr>
      <w:tr>
        <w:tc>
          <w:tcPr>
            <w:tcW w:type="dxa" w:w="3355"/>
          </w:tcPr>
          <w:p>
            <w:pPr>
              <w:spacing w:after="20" w:before="20"/>
              <w:jc w:val="left"/>
            </w:pPr>
            <w:r/>
            <w:r>
              <w:rPr>
                <w:rFonts w:ascii="Arial" w:hAnsi="Arial"/>
                <w:sz w:val="14"/>
              </w:rPr>
              <w:t>External acquisition shift exposes the failure</w:t>
            </w:r>
          </w:p>
        </w:tc>
        <w:tc>
          <w:tcPr>
            <w:tcW w:type="dxa" w:w="3355"/>
          </w:tcPr>
          <w:p>
            <w:pPr>
              <w:spacing w:after="20" w:before="20"/>
              <w:jc w:val="center"/>
            </w:pPr>
            <w:r/>
            <w:r>
              <w:rPr>
                <w:rFonts w:ascii="Arial" w:hAnsi="Arial"/>
                <w:sz w:val="14"/>
              </w:rPr>
              <w:t>Demonstrated for authentic-class specificity: the model reaching 97.4% authentic-class accuracy on its own internal test partition returns 6.0% authentic-class specificity under the acquisition shift; the two are separate evaluations, not a paired measurement</w:t>
            </w:r>
          </w:p>
        </w:tc>
        <w:tc>
          <w:tcPr>
            <w:tcW w:type="dxa" w:w="3355"/>
          </w:tcPr>
          <w:p>
            <w:pPr>
              <w:spacing w:after="20" w:before="20"/>
              <w:jc w:val="center"/>
            </w:pPr>
            <w:r/>
            <w:r>
              <w:rPr>
                <w:rFonts w:ascii="Arial" w:hAnsi="Arial"/>
                <w:sz w:val="14"/>
              </w:rPr>
              <w:t>Table 5</w:t>
            </w:r>
          </w:p>
        </w:tc>
      </w:tr>
      <w:tr>
        <w:tc>
          <w:tcPr>
            <w:tcW w:type="dxa" w:w="3355"/>
          </w:tcPr>
          <w:p>
            <w:pPr>
              <w:spacing w:after="20" w:before="20"/>
              <w:jc w:val="left"/>
            </w:pPr>
            <w:r/>
            <w:r>
              <w:rPr>
                <w:rFonts w:ascii="Arial" w:hAnsi="Arial"/>
                <w:sz w:val="14"/>
              </w:rPr>
              <w:t>Normalization removes much of the acquisition signal</w:t>
            </w:r>
          </w:p>
        </w:tc>
        <w:tc>
          <w:tcPr>
            <w:tcW w:type="dxa" w:w="3355"/>
          </w:tcPr>
          <w:p>
            <w:pPr>
              <w:spacing w:after="20" w:before="20"/>
              <w:jc w:val="center"/>
            </w:pPr>
            <w:r/>
            <w:r>
              <w:rPr>
                <w:rFonts w:ascii="Arial" w:hAnsi="Arial"/>
                <w:sz w:val="14"/>
              </w:rPr>
              <w:t>Demonstrated for M2 and M4; not demonstrated for M3</w:t>
            </w:r>
          </w:p>
        </w:tc>
        <w:tc>
          <w:tcPr>
            <w:tcW w:type="dxa" w:w="3355"/>
          </w:tcPr>
          <w:p>
            <w:pPr>
              <w:spacing w:after="20" w:before="20"/>
              <w:jc w:val="center"/>
            </w:pPr>
            <w:r/>
            <w:r>
              <w:rPr>
                <w:rFonts w:ascii="Arial" w:hAnsi="Arial"/>
                <w:sz w:val="14"/>
              </w:rPr>
              <w:t>Tables 5 and 6</w:t>
            </w:r>
          </w:p>
        </w:tc>
      </w:tr>
      <w:tr>
        <w:tc>
          <w:tcPr>
            <w:tcW w:type="dxa" w:w="3355"/>
          </w:tcPr>
          <w:p>
            <w:pPr>
              <w:spacing w:after="20" w:before="20"/>
              <w:jc w:val="left"/>
            </w:pPr>
            <w:r/>
            <w:r>
              <w:rPr>
                <w:rFonts w:ascii="Arial" w:hAnsi="Arial"/>
                <w:sz w:val="14"/>
              </w:rPr>
              <w:t>The corrected models recognize packaging</w:t>
            </w:r>
          </w:p>
        </w:tc>
        <w:tc>
          <w:tcPr>
            <w:tcW w:type="dxa" w:w="3355"/>
          </w:tcPr>
          <w:p>
            <w:pPr>
              <w:spacing w:after="20" w:before="20"/>
              <w:jc w:val="center"/>
            </w:pPr>
            <w:r/>
            <w:r>
              <w:rPr>
                <w:rFonts w:ascii="Arial" w:hAnsi="Arial"/>
                <w:sz w:val="14"/>
              </w:rPr>
              <w:t>Not established: a center substitution costing neither backbone anything does not demonstrate packaging recognition</w:t>
            </w:r>
          </w:p>
        </w:tc>
        <w:tc>
          <w:tcPr>
            <w:tcW w:type="dxa" w:w="3355"/>
          </w:tcPr>
          <w:p>
            <w:pPr>
              <w:spacing w:after="20" w:before="20"/>
              <w:jc w:val="center"/>
            </w:pPr>
            <w:r/>
            <w:r>
              <w:rPr>
                <w:rFonts w:ascii="Arial" w:hAnsi="Arial"/>
                <w:sz w:val="14"/>
              </w:rPr>
              <w:t>Table 7</w:t>
            </w:r>
          </w:p>
        </w:tc>
      </w:tr>
      <w:tr>
        <w:tc>
          <w:tcPr>
            <w:tcW w:type="dxa" w:w="3355"/>
          </w:tcPr>
          <w:p>
            <w:pPr>
              <w:spacing w:after="20" w:before="20"/>
              <w:jc w:val="left"/>
            </w:pPr>
            <w:r/>
            <w:r>
              <w:rPr>
                <w:rFonts w:ascii="Arial" w:hAnsi="Arial"/>
                <w:sz w:val="14"/>
              </w:rPr>
              <w:t>The corrected models depend on the outer region of the frame</w:t>
            </w:r>
          </w:p>
        </w:tc>
        <w:tc>
          <w:tcPr>
            <w:tcW w:type="dxa" w:w="3355"/>
          </w:tcPr>
          <w:p>
            <w:pPr>
              <w:spacing w:after="20" w:before="20"/>
              <w:jc w:val="center"/>
            </w:pPr>
            <w:r/>
            <w:r>
              <w:rPr>
                <w:rFonts w:ascii="Arial" w:hAnsi="Arial"/>
                <w:sz w:val="14"/>
              </w:rPr>
              <w:t>Demonstrated in both acquisition-shift conditions: overwriting the outer half costs 22–50 points; which property of that region is not isolated</w:t>
            </w:r>
          </w:p>
        </w:tc>
        <w:tc>
          <w:tcPr>
            <w:tcW w:type="dxa" w:w="3355"/>
          </w:tcPr>
          <w:p>
            <w:pPr>
              <w:spacing w:after="20" w:before="20"/>
              <w:jc w:val="center"/>
            </w:pPr>
            <w:r/>
            <w:r>
              <w:rPr>
                <w:rFonts w:ascii="Arial" w:hAnsi="Arial"/>
                <w:sz w:val="14"/>
              </w:rPr>
              <w:t>Table 7</w:t>
            </w:r>
          </w:p>
        </w:tc>
      </w:tr>
      <w:tr>
        <w:tc>
          <w:tcPr>
            <w:tcW w:type="dxa" w:w="3355"/>
          </w:tcPr>
          <w:p>
            <w:pPr>
              <w:spacing w:after="20" w:before="20"/>
              <w:jc w:val="left"/>
            </w:pPr>
            <w:r/>
            <w:r>
              <w:rPr>
                <w:rFonts w:ascii="Arial" w:hAnsi="Arial"/>
                <w:sz w:val="14"/>
              </w:rPr>
              <w:t>Correcting one provenance signal can expose another</w:t>
            </w:r>
          </w:p>
        </w:tc>
        <w:tc>
          <w:tcPr>
            <w:tcW w:type="dxa" w:w="3355"/>
          </w:tcPr>
          <w:p>
            <w:pPr>
              <w:spacing w:after="20" w:before="20"/>
              <w:jc w:val="center"/>
            </w:pPr>
            <w:r/>
            <w:r>
              <w:rPr>
                <w:rFonts w:ascii="Arial" w:hAnsi="Arial"/>
                <w:sz w:val="14"/>
              </w:rPr>
              <w:t>Demonstrated on this dataset: the corrected models' recovered specificity localizes to the outer region of the frame, an acquisition-linked property the audit does not test</w:t>
            </w:r>
          </w:p>
        </w:tc>
        <w:tc>
          <w:tcPr>
            <w:tcW w:type="dxa" w:w="3355"/>
          </w:tcPr>
          <w:p>
            <w:pPr>
              <w:spacing w:after="20" w:before="20"/>
              <w:jc w:val="center"/>
            </w:pPr>
            <w:r/>
            <w:r>
              <w:rPr>
                <w:rFonts w:ascii="Arial" w:hAnsi="Arial"/>
                <w:sz w:val="14"/>
              </w:rPr>
              <w:t>Table 7, Section V-B</w:t>
            </w:r>
          </w:p>
        </w:tc>
      </w:tr>
      <w:tr>
        <w:tc>
          <w:tcPr>
            <w:tcW w:type="dxa" w:w="3355"/>
          </w:tcPr>
          <w:p>
            <w:pPr>
              <w:spacing w:after="20" w:before="20"/>
              <w:jc w:val="left"/>
            </w:pPr>
            <w:r/>
            <w:r>
              <w:rPr>
                <w:rFonts w:ascii="Arial" w:hAnsi="Arial"/>
                <w:sz w:val="14"/>
              </w:rPr>
              <w:t>The corrected models generalize across acquisition</w:t>
            </w:r>
          </w:p>
        </w:tc>
        <w:tc>
          <w:tcPr>
            <w:tcW w:type="dxa" w:w="3355"/>
          </w:tcPr>
          <w:p>
            <w:pPr>
              <w:spacing w:after="20" w:before="20"/>
              <w:jc w:val="center"/>
            </w:pPr>
            <w:r/>
            <w:r>
              <w:rPr>
                <w:rFonts w:ascii="Arial" w:hAnsi="Arial"/>
                <w:sz w:val="14"/>
              </w:rPr>
              <w:t>Not established: conditions C and D come from one archive and share one backdrop, so only a device and lighting shift was tested</w:t>
            </w:r>
          </w:p>
        </w:tc>
        <w:tc>
          <w:tcPr>
            <w:tcW w:type="dxa" w:w="3355"/>
          </w:tcPr>
          <w:p>
            <w:pPr>
              <w:spacing w:after="20" w:before="20"/>
              <w:jc w:val="center"/>
            </w:pPr>
            <w:r/>
            <w:r>
              <w:rPr>
                <w:rFonts w:ascii="Arial" w:hAnsi="Arial"/>
                <w:sz w:val="14"/>
              </w:rPr>
              <w:t>Sections III-D, IV-D</w:t>
            </w:r>
          </w:p>
        </w:tc>
      </w:tr>
      <w:tr>
        <w:tc>
          <w:tcPr>
            <w:tcW w:type="dxa" w:w="3355"/>
          </w:tcPr>
          <w:p>
            <w:pPr>
              <w:spacing w:after="20" w:before="20"/>
              <w:jc w:val="left"/>
            </w:pPr>
            <w:r/>
            <w:r>
              <w:rPr>
                <w:rFonts w:ascii="Arial" w:hAnsi="Arial"/>
                <w:sz w:val="14"/>
              </w:rPr>
              <w:t>Two-class performance on an independent balanced set</w:t>
            </w:r>
          </w:p>
        </w:tc>
        <w:tc>
          <w:tcPr>
            <w:tcW w:type="dxa" w:w="3355"/>
          </w:tcPr>
          <w:p>
            <w:pPr>
              <w:spacing w:after="20" w:before="20"/>
              <w:jc w:val="center"/>
            </w:pPr>
            <w:r/>
            <w:r>
              <w:rPr>
                <w:rFonts w:ascii="Arial" w:hAnsi="Arial"/>
                <w:sz w:val="14"/>
              </w:rPr>
              <w:t>Demonstrated against an authentic-labeled, unverified reference class: balanced accuracy 0.478, 0.478, 0.543 and 0.652, only M4's interval excluding chance; ROC-AUC 0.403 to 0.713</w:t>
            </w:r>
          </w:p>
        </w:tc>
        <w:tc>
          <w:tcPr>
            <w:tcW w:type="dxa" w:w="3355"/>
          </w:tcPr>
          <w:p>
            <w:pPr>
              <w:spacing w:after="20" w:before="20"/>
              <w:jc w:val="center"/>
            </w:pPr>
            <w:r/>
            <w:r>
              <w:rPr>
                <w:rFonts w:ascii="Arial" w:hAnsi="Arial"/>
                <w:sz w:val="14"/>
              </w:rPr>
              <w:t>Table 4</w:t>
            </w:r>
          </w:p>
        </w:tc>
      </w:tr>
      <w:tr>
        <w:tc>
          <w:tcPr>
            <w:tcW w:type="dxa" w:w="3355"/>
          </w:tcPr>
          <w:p>
            <w:pPr>
              <w:spacing w:after="20" w:before="20"/>
              <w:jc w:val="left"/>
            </w:pPr>
            <w:r/>
            <w:r>
              <w:rPr>
                <w:rFonts w:ascii="Arial" w:hAnsi="Arial"/>
                <w:sz w:val="14"/>
              </w:rPr>
              <w:t>One of the four models is the degenerate all-counterfeit classifier</w:t>
            </w:r>
          </w:p>
        </w:tc>
        <w:tc>
          <w:tcPr>
            <w:tcW w:type="dxa" w:w="3355"/>
          </w:tcPr>
          <w:p>
            <w:pPr>
              <w:spacing w:after="20" w:before="20"/>
              <w:jc w:val="center"/>
            </w:pPr>
            <w:r/>
            <w:r>
              <w:rPr>
                <w:rFonts w:ascii="Arial" w:hAnsi="Arial"/>
                <w:sz w:val="14"/>
              </w:rPr>
              <w:t>Demonstrated: M1 calls 90 of 92 images counterfeit, for 0.957 recall at 0.000 specificity and 0.478 balanced accuracy</w:t>
            </w:r>
          </w:p>
        </w:tc>
        <w:tc>
          <w:tcPr>
            <w:tcW w:type="dxa" w:w="3355"/>
          </w:tcPr>
          <w:p>
            <w:pPr>
              <w:spacing w:after="20" w:before="20"/>
              <w:jc w:val="center"/>
            </w:pPr>
            <w:r/>
            <w:r>
              <w:rPr>
                <w:rFonts w:ascii="Arial" w:hAnsi="Arial"/>
                <w:sz w:val="14"/>
              </w:rPr>
              <w:t>Table 4</w:t>
            </w:r>
          </w:p>
        </w:tc>
      </w:tr>
      <w:tr>
        <w:tc>
          <w:tcPr>
            <w:tcW w:type="dxa" w:w="3355"/>
          </w:tcPr>
          <w:p>
            <w:pPr>
              <w:spacing w:after="20" w:before="20"/>
              <w:jc w:val="left"/>
            </w:pPr>
            <w:r/>
            <w:r>
              <w:rPr>
                <w:rFonts w:ascii="Arial" w:hAnsi="Arial"/>
                <w:sz w:val="14"/>
              </w:rPr>
              <w:t>These models detect counterfeit medicine in the field</w:t>
            </w:r>
          </w:p>
        </w:tc>
        <w:tc>
          <w:tcPr>
            <w:tcW w:type="dxa" w:w="3355"/>
          </w:tcPr>
          <w:p>
            <w:pPr>
              <w:spacing w:after="20" w:before="20"/>
              <w:jc w:val="center"/>
            </w:pPr>
            <w:r/>
            <w:r>
              <w:rPr>
                <w:rFonts w:ascii="Arial" w:hAnsi="Arial"/>
                <w:sz w:val="14"/>
              </w:rPr>
              <w:t>Not established: 92 images from two archives, chosen by a regulator and by volunteer uploaders, are not a sample of any supply chain</w:t>
            </w:r>
          </w:p>
        </w:tc>
        <w:tc>
          <w:tcPr>
            <w:tcW w:type="dxa" w:w="3355"/>
          </w:tcPr>
          <w:p>
            <w:pPr>
              <w:spacing w:after="20" w:before="20"/>
              <w:jc w:val="center"/>
            </w:pPr>
            <w:r/>
            <w:r>
              <w:rPr>
                <w:rFonts w:ascii="Arial" w:hAnsi="Arial"/>
                <w:sz w:val="14"/>
              </w:rPr>
              <w:t>Sections IV-C, V-D</w:t>
            </w:r>
          </w:p>
        </w:tc>
      </w:tr>
      <w:tr>
        <w:tc>
          <w:tcPr>
            <w:tcW w:type="dxa" w:w="3355"/>
          </w:tcPr>
          <w:p>
            <w:pPr>
              <w:spacing w:after="20" w:before="20"/>
              <w:jc w:val="left"/>
            </w:pPr>
            <w:r/>
            <w:r>
              <w:rPr>
                <w:rFonts w:ascii="Arial" w:hAnsi="Arial"/>
                <w:sz w:val="14"/>
              </w:rPr>
              <w:t>Two-class performance under acquisition shift</w:t>
            </w:r>
          </w:p>
        </w:tc>
        <w:tc>
          <w:tcPr>
            <w:tcW w:type="dxa" w:w="3355"/>
          </w:tcPr>
          <w:p>
            <w:pPr>
              <w:spacing w:after="20" w:before="20"/>
              <w:jc w:val="center"/>
            </w:pPr>
            <w:r/>
            <w:r>
              <w:rPr>
                <w:rFonts w:ascii="Arial" w:hAnsi="Arial"/>
                <w:sz w:val="14"/>
              </w:rPr>
              <w:t>Not measured: the balanced set shifts source and standardizes file-level encoding conditions only; the acquisition-shift conditions hold no counterfeit image</w:t>
            </w:r>
          </w:p>
        </w:tc>
        <w:tc>
          <w:tcPr>
            <w:tcW w:type="dxa" w:w="3355"/>
          </w:tcPr>
          <w:p>
            <w:pPr>
              <w:spacing w:after="20" w:before="20"/>
              <w:jc w:val="center"/>
            </w:pPr>
            <w:r/>
            <w:r>
              <w:rPr>
                <w:rFonts w:ascii="Arial" w:hAnsi="Arial"/>
                <w:sz w:val="14"/>
              </w:rPr>
              <w:t>Sections III-D, IV-C, IV-D</w:t>
            </w:r>
          </w:p>
        </w:tc>
      </w:tr>
      <w:tr>
        <w:tc>
          <w:tcPr>
            <w:tcW w:type="dxa" w:w="3355"/>
          </w:tcPr>
          <w:p>
            <w:pPr>
              <w:spacing w:after="20" w:before="20"/>
              <w:jc w:val="left"/>
            </w:pPr>
            <w:r/>
            <w:r>
              <w:rPr>
                <w:rFonts w:ascii="Arial" w:hAnsi="Arial"/>
                <w:sz w:val="14"/>
              </w:rPr>
              <w:t>Asymmetric sourcing produces this confound in general</w:t>
            </w:r>
          </w:p>
        </w:tc>
        <w:tc>
          <w:tcPr>
            <w:tcW w:type="dxa" w:w="3355"/>
          </w:tcPr>
          <w:p>
            <w:pPr>
              <w:spacing w:after="20" w:before="20"/>
              <w:jc w:val="center"/>
            </w:pPr>
            <w:r/>
            <w:r>
              <w:rPr>
                <w:rFonts w:ascii="Arial" w:hAnsi="Arial"/>
                <w:sz w:val="14"/>
              </w:rPr>
              <w:t>Not established: a mechanism with a stated falsifier</w:t>
            </w:r>
          </w:p>
        </w:tc>
        <w:tc>
          <w:tcPr>
            <w:tcW w:type="dxa" w:w="3355"/>
          </w:tcPr>
          <w:p>
            <w:pPr>
              <w:spacing w:after="20" w:before="20"/>
              <w:jc w:val="center"/>
            </w:pPr>
            <w:r/>
            <w:r>
              <w:rPr>
                <w:rFonts w:ascii="Arial" w:hAnsi="Arial"/>
                <w:sz w:val="14"/>
              </w:rPr>
              <w:t>Section V-B</w:t>
            </w:r>
          </w:p>
        </w:tc>
      </w:tr>
      <w:tr>
        <w:tc>
          <w:tcPr>
            <w:tcW w:type="dxa" w:w="3355"/>
          </w:tcPr>
          <w:p>
            <w:pPr>
              <w:spacing w:after="20" w:before="20"/>
              <w:jc w:val="left"/>
            </w:pPr>
            <w:r/>
            <w:r>
              <w:rPr>
                <w:rFonts w:ascii="Arial" w:hAnsi="Arial"/>
                <w:sz w:val="14"/>
              </w:rPr>
              <w:t>How often the confound occurs across image datasets</w:t>
            </w:r>
          </w:p>
        </w:tc>
        <w:tc>
          <w:tcPr>
            <w:tcW w:type="dxa" w:w="3355"/>
          </w:tcPr>
          <w:p>
            <w:pPr>
              <w:spacing w:after="20" w:before="20"/>
              <w:jc w:val="center"/>
            </w:pPr>
            <w:r/>
            <w:r>
              <w:rPr>
                <w:rFonts w:ascii="Arial" w:hAnsi="Arial"/>
                <w:sz w:val="14"/>
              </w:rPr>
              <w:t>Not established: seven datasets audited, no sampling frame</w:t>
            </w:r>
          </w:p>
        </w:tc>
        <w:tc>
          <w:tcPr>
            <w:tcW w:type="dxa" w:w="3355"/>
          </w:tcPr>
          <w:p>
            <w:pPr>
              <w:spacing w:after="20" w:before="20"/>
              <w:jc w:val="center"/>
            </w:pPr>
            <w:r/>
            <w:r>
              <w:rPr>
                <w:rFonts w:ascii="Arial" w:hAnsi="Arial"/>
                <w:sz w:val="14"/>
              </w:rPr>
              <w:t>Section S-I-W</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The most important missing measurement is two-class performance under acquisition shift.</w:t>
      </w:r>
      <w:r>
        <w:rPr>
          <w:rFonts w:ascii="Times New Roman" w:hAnsi="Times New Roman"/>
          <w:sz w:val="20"/>
        </w:rPr>
        <w:t xml:space="preserve"> The two external evaluations occupy different halves of one matrix. The balanced test holds both classes but standardizes file-level acquisition across them by construction; the acquisition-shift experiment varies capture but holds one class. Neither fills the cell the central thesis is about:</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p>
        </w:tc>
        <w:tc>
          <w:tcPr>
            <w:tcW w:type="dxa" w:w="3355"/>
            <w:shd w:val="clear" w:color="auto" w:fill="DCE6EF"/>
          </w:tcPr>
          <w:p>
            <w:pPr>
              <w:spacing w:after="20" w:before="20"/>
              <w:jc w:val="center"/>
            </w:pPr>
            <w:r>
              <w:rPr>
                <w:b/>
              </w:rPr>
            </w:r>
            <w:r>
              <w:rPr>
                <w:rFonts w:ascii="Arial" w:hAnsi="Arial"/>
                <w:b/>
                <w:sz w:val="14"/>
              </w:rPr>
              <w:t>Both classes</w:t>
            </w:r>
          </w:p>
        </w:tc>
        <w:tc>
          <w:tcPr>
            <w:tcW w:type="dxa" w:w="3355"/>
            <w:shd w:val="clear" w:color="auto" w:fill="DCE6EF"/>
          </w:tcPr>
          <w:p>
            <w:pPr>
              <w:spacing w:after="20" w:before="20"/>
              <w:jc w:val="center"/>
            </w:pPr>
            <w:r>
              <w:rPr>
                <w:b/>
              </w:rPr>
            </w:r>
            <w:r>
              <w:rPr>
                <w:rFonts w:ascii="Arial" w:hAnsi="Arial"/>
                <w:b/>
                <w:sz w:val="14"/>
              </w:rPr>
              <w:t>Authentic only</w:t>
            </w:r>
          </w:p>
        </w:tc>
      </w:tr>
      <w:tr>
        <w:tc>
          <w:tcPr>
            <w:tcW w:type="dxa" w:w="3355"/>
          </w:tcPr>
          <w:p>
            <w:pPr>
              <w:spacing w:after="20" w:before="20"/>
              <w:jc w:val="left"/>
            </w:pPr>
            <w:r/>
            <w:r>
              <w:rPr>
                <w:rFonts w:ascii="Arial" w:hAnsi="Arial"/>
                <w:sz w:val="14"/>
              </w:rPr>
              <w:t>Acquisition standardized (source shift)</w:t>
            </w:r>
          </w:p>
        </w:tc>
        <w:tc>
          <w:tcPr>
            <w:tcW w:type="dxa" w:w="3355"/>
          </w:tcPr>
          <w:p>
            <w:pPr>
              <w:spacing w:after="20" w:before="20"/>
              <w:jc w:val="center"/>
            </w:pPr>
            <w:r/>
            <w:r>
              <w:rPr>
                <w:rFonts w:ascii="Arial" w:hAnsi="Arial"/>
                <w:sz w:val="14"/>
              </w:rPr>
              <w:t>Balanced test, Table 4</w:t>
            </w:r>
          </w:p>
        </w:tc>
        <w:tc>
          <w:tcPr>
            <w:tcW w:type="dxa" w:w="3355"/>
          </w:tcPr>
          <w:p>
            <w:pPr>
              <w:spacing w:after="20" w:before="20"/>
              <w:jc w:val="center"/>
            </w:pPr>
            <w:r/>
            <w:r>
              <w:rPr>
                <w:rFonts w:ascii="Arial" w:hAnsi="Arial"/>
                <w:sz w:val="14"/>
              </w:rPr>
              <w:t>—</w:t>
            </w:r>
          </w:p>
        </w:tc>
      </w:tr>
      <w:tr>
        <w:tc>
          <w:tcPr>
            <w:tcW w:type="dxa" w:w="3355"/>
          </w:tcPr>
          <w:p>
            <w:pPr>
              <w:spacing w:after="20" w:before="20"/>
              <w:jc w:val="left"/>
            </w:pPr>
            <w:r/>
            <w:r>
              <w:rPr>
                <w:rFonts w:ascii="Arial" w:hAnsi="Arial"/>
                <w:sz w:val="14"/>
              </w:rPr>
              <w:t>Acquisition varied (capture shift)</w:t>
            </w:r>
          </w:p>
        </w:tc>
        <w:tc>
          <w:tcPr>
            <w:tcW w:type="dxa" w:w="3355"/>
          </w:tcPr>
          <w:p>
            <w:pPr>
              <w:spacing w:after="20" w:before="20"/>
              <w:jc w:val="center"/>
            </w:pPr>
            <w:r/>
            <w:r>
              <w:rPr>
                <w:rFonts w:ascii="Arial" w:hAnsi="Arial"/>
                <w:b/>
                <w:sz w:val="14"/>
              </w:rPr>
              <w:t>not measured</w:t>
            </w:r>
          </w:p>
        </w:tc>
        <w:tc>
          <w:tcPr>
            <w:tcW w:type="dxa" w:w="3355"/>
          </w:tcPr>
          <w:p>
            <w:pPr>
              <w:spacing w:after="20" w:before="20"/>
              <w:jc w:val="center"/>
            </w:pPr>
            <w:r/>
            <w:r>
              <w:rPr>
                <w:rFonts w:ascii="Arial" w:hAnsi="Arial"/>
                <w:sz w:val="14"/>
              </w:rPr>
              <w:t>Acquisition-shift test, Table 5</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The consequence is that nothing here estimates how these models would behave on medicines a patient might be handed, and the external evidence supports two narrower statements only: the models fail to recognize independently sourced authentic photographs as authentic under a capture shift, and they run at or near chance on an independent balanced set. The synthetic proxy is a corruption-robustness test in the spirit of ImageNet-C [12], never a recall measurement.</w:t>
      </w:r>
    </w:p>
    <w:p>
      <w:pPr>
        <w:spacing w:after="0" w:before="0" w:line="240" w:lineRule="exact"/>
        <w:ind w:firstLine="202"/>
        <w:jc w:val="both"/>
      </w:pPr>
      <w:r>
        <w:rPr>
          <w:rFonts w:ascii="Times New Roman" w:hAnsi="Times New Roman"/>
          <w:b/>
          <w:sz w:val="20"/>
        </w:rPr>
        <w:t>The authentic class of the balanced set is not verified, and this is the principal limitation of Table 4.</w:t>
      </w:r>
      <w:r>
        <w:rPr>
          <w:rFonts w:ascii="Times New Roman" w:hAnsi="Times New Roman"/>
          <w:sz w:val="20"/>
        </w:rPr>
        <w:t xml:space="preserve"> Every counterfeit frame carries a regulator's finding that the product is falsified; no authentic-labeled image carries any corresponding assurance, and none was checked against the manufacturer. A photograph of manufacturer-consistent retail packaging is the best negative class available without physical samples, but it is a label, not a verification: a counterfeit among the 46 would be scored as a false positive when a model calls it counterfeit, we cannot bound how many there are, and the direction of the resulting bias in any one model's row is unknown. The central audit result is unaffected, since it is computed on the case-study pool; what the limitation weakens is the balanced classification experiment, whose specificity column measures agreement with the label rather than with ground truth. </w:t>
      </w:r>
      <w:r>
        <w:rPr>
          <w:rFonts w:ascii="Times New Roman" w:hAnsi="Times New Roman"/>
          <w:b/>
          <w:sz w:val="20"/>
        </w:rPr>
        <w:t>The set supports the comparison Table 4 makes and does not support a claim about counterfeit medicine in general.</w:t>
      </w:r>
    </w:p>
    <w:p>
      <w:pPr>
        <w:spacing w:after="0" w:before="0" w:line="240" w:lineRule="exact"/>
        <w:ind w:firstLine="202"/>
        <w:jc w:val="both"/>
      </w:pPr>
      <w:r>
        <w:rPr>
          <w:rFonts w:ascii="Times New Roman" w:hAnsi="Times New Roman"/>
          <w:b/>
          <w:sz w:val="20"/>
        </w:rPr>
        <w:t>The balanced set is also small, and its audit is not zero.</w:t>
      </w:r>
      <w:r>
        <w:rPr>
          <w:rFonts w:ascii="Times New Roman" w:hAnsi="Times New Roman"/>
          <w:sz w:val="20"/>
        </w:rPr>
        <w:t xml:space="preserve"> Each class is 46, so every interval in Table 4 is wide — M4's balanced accuracy spans [0.554, 0.750] — and no pair of models is separated by more than sampling noise. The provenance audit on the finished set returns 0.620 jointly, above chance, with encoded file size the residual axis — expected at fixed resolution and quality, where file size tracks scene complexity, but not nothing. Both classes are convenience samples of what someone chose to publish: what regulators photograph and release, and what volunteers upload.</w:t>
      </w:r>
    </w:p>
    <w:p>
      <w:pPr>
        <w:spacing w:after="0" w:before="0" w:line="240" w:lineRule="exact"/>
        <w:ind w:firstLine="202"/>
        <w:jc w:val="both"/>
      </w:pPr>
      <w:r>
        <w:rPr>
          <w:rFonts w:ascii="Times New Roman" w:hAnsi="Times New Roman"/>
          <w:b/>
          <w:sz w:val="20"/>
        </w:rPr>
        <w:t>AI-assisted eligibility screening is not ground-truth labeling, and the distinction bears stating.</w:t>
      </w:r>
      <w:r>
        <w:rPr>
          <w:rFonts w:ascii="Times New Roman" w:hAnsi="Times New Roman"/>
          <w:sz w:val="20"/>
        </w:rPr>
        <w:t xml:space="preserve"> The authentic class's subject-matter screen was performed by the AI assistant named in the Acknowledgment, working to the codes of Section S-IX under the author's protocol, rather than by a second human reviewer, and no inter-rater agreement was measured. It accepted 174 of 438 candidates. It decided one thing only — is this a photograph, of a medicine package, of a current retail product — on candidates already filtered by the deterministic screens of Section S-IX-B; every class label in the set comes from its source, and the assistant made no judgement of authenticity, which no inspection of a photograph could supply. Selection bias from the screen, if any, would act through which kinds of photographs survive, not through their labels; the brightness matching that follows the screen removes the one acquisition statistic it could shift, and the audit on the finished set (0.620) bounds what remains. The full per-image record — decision, code and reason — is published so that any call can be overruled, and the 46 selected images are regenerated by committed code. The counterfeit side carries the corresponding limitation: its eligibility screen is one reviewer's single pass, excluding 52 of 202 candidates on per-frame judgements whose codes correlate with class by construction; Table S28 bounds the effect at 0.06 of recall on the full 150-image source, and that screen too is published per image.</w:t>
      </w:r>
    </w:p>
    <w:p>
      <w:pPr>
        <w:spacing w:after="0" w:before="0" w:line="240" w:lineRule="exact"/>
        <w:ind w:firstLine="202"/>
        <w:jc w:val="both"/>
      </w:pPr>
      <w:r>
        <w:rPr>
          <w:rFonts w:ascii="Times New Roman" w:hAnsi="Times New Roman"/>
          <w:b/>
          <w:sz w:val="20"/>
        </w:rPr>
        <w:t>The two acquisition-shift conditions share one backdrop.</w:t>
      </w:r>
      <w:r>
        <w:rPr>
          <w:rFonts w:ascii="Times New Roman" w:hAnsi="Times New Roman"/>
          <w:sz w:val="20"/>
        </w:rPr>
        <w:t xml:space="preserve"> They vary device and lighting on the same products, so the outer-region cue of Section IV-E is untested, which qualifies every claim that the correction "holds" across a capture shift.</w:t>
      </w:r>
    </w:p>
    <w:p>
      <w:pPr>
        <w:spacing w:after="0" w:before="0" w:line="240" w:lineRule="exact"/>
        <w:ind w:firstLine="202"/>
        <w:jc w:val="both"/>
      </w:pPr>
      <w:r>
        <w:rPr>
          <w:rFonts w:ascii="Times New Roman" w:hAnsi="Times New Roman"/>
          <w:b/>
          <w:sz w:val="20"/>
        </w:rPr>
        <w:t>Region substitution establishes which region a decision requires, not which feature inside it.</w:t>
      </w:r>
      <w:r>
        <w:rPr>
          <w:rFonts w:ascii="Times New Roman" w:hAnsi="Times New Roman"/>
          <w:sz w:val="20"/>
        </w:rPr>
        <w:t xml:space="preserve"> The outer region holds the backdrop and also whatever of the carton extends past the center square, and it speaks to the acquisition-shift conditions only. The attribution evidence in Section IV-E is the two annotation-free analyses; the qualitative Grad-CAM categorization is reported in Section S-I-J, is not a reproducible measurement, and carries no finding.</w:t>
      </w:r>
    </w:p>
    <w:p>
      <w:pPr>
        <w:spacing w:after="0" w:before="0" w:line="240" w:lineRule="exact"/>
        <w:ind w:firstLine="202"/>
        <w:jc w:val="both"/>
      </w:pPr>
      <w:r>
        <w:rPr>
          <w:rFonts w:ascii="Times New Roman" w:hAnsi="Times New Roman"/>
          <w:b/>
          <w:sz w:val="20"/>
        </w:rPr>
        <w:t>The normalization axes were chosen with knowledge of an external set</w:t>
      </w:r>
      <w:r>
        <w:rPr>
          <w:rFonts w:ascii="Times New Roman" w:hAnsi="Times New Roman"/>
          <w:sz w:val="20"/>
        </w:rPr>
        <w:t>, making condition C target-informed development data for that one experiment. The train-only rule of Section S-I-S nominates the same axes from the training partition alone, which answers the objection on this dataset and not in general: no training-set procedure can nominate an axis confounded only in deployment.</w:t>
      </w:r>
    </w:p>
    <w:p>
      <w:pPr>
        <w:spacing w:after="0" w:before="0" w:line="240" w:lineRule="exact"/>
        <w:ind w:firstLine="202"/>
        <w:jc w:val="both"/>
      </w:pPr>
      <w:r>
        <w:rPr>
          <w:rFonts w:ascii="Times New Roman" w:hAnsi="Times New Roman"/>
          <w:b/>
          <w:sz w:val="20"/>
        </w:rPr>
        <w:t>"Leakage-free" means near-duplicate leakage only</w:t>
      </w:r>
      <w:r>
        <w:rPr>
          <w:rFonts w:ascii="Times New Roman" w:hAnsi="Times New Roman"/>
          <w:sz w:val="20"/>
        </w:rPr>
        <w:t>, at Hamming distance ≤ 8 (Section S-I-Y). No partition of this pool can decorrelate acquisition, because the counterfeit class exists in exactly one capture pipeline; cross-validation across sources fails for the same reason.</w:t>
      </w:r>
    </w:p>
    <w:p>
      <w:pPr>
        <w:spacing w:after="0" w:before="0" w:line="240" w:lineRule="exact"/>
        <w:ind w:firstLine="202"/>
        <w:jc w:val="both"/>
      </w:pPr>
      <w:r>
        <w:rPr>
          <w:rFonts w:ascii="Times New Roman" w:hAnsi="Times New Roman"/>
          <w:b/>
          <w:sz w:val="20"/>
        </w:rPr>
        <w:t>The correction is not compared against a domain-adaptation method.</w:t>
      </w:r>
      <w:r>
        <w:rPr>
          <w:rFonts w:ascii="Times New Roman" w:hAnsi="Times New Roman"/>
          <w:sz w:val="20"/>
        </w:rPr>
        <w:t xml:space="preserve"> Eq. (8) is a zero-target-sample baseline; representation-level alignment should be expected to beat it, and the margin is unmeasured because every such method consumes target data, which would forfeit condition C as an external evaluation.</w:t>
      </w:r>
    </w:p>
    <w:p>
      <w:pPr>
        <w:spacing w:after="0" w:before="0" w:line="240" w:lineRule="exact"/>
        <w:ind w:firstLine="202"/>
        <w:jc w:val="both"/>
      </w:pPr>
      <w:r>
        <w:rPr>
          <w:rFonts w:ascii="Times New Roman" w:hAnsi="Times New Roman"/>
          <w:b/>
          <w:sz w:val="20"/>
        </w:rPr>
        <w:t>The generality of the mechanism is plausible and supported by examples, not established at population level.</w:t>
      </w:r>
      <w:r>
        <w:rPr>
          <w:rFonts w:ascii="Times New Roman" w:hAnsi="Times New Roman"/>
          <w:sz w:val="20"/>
        </w:rPr>
        <w:t xml:space="preserve"> The direct evidence is one dataset; the seven further archives were chosen for accessibility, four were scorable, and no prevalence can be estimated from them. What the paper offers beyond the case study is a mechanism with a stated falsifier (Section V-B), two independent instances, and one convergent report [30].</w:t>
      </w:r>
    </w:p>
    <w:p>
      <w:pPr>
        <w:spacing w:after="0" w:before="0" w:line="240" w:lineRule="exact"/>
        <w:ind w:firstLine="202"/>
        <w:jc w:val="both"/>
      </w:pPr>
      <w:r>
        <w:rPr>
          <w:rFonts w:ascii="Times New Roman" w:hAnsi="Times New Roman"/>
          <w:b/>
          <w:sz w:val="20"/>
        </w:rPr>
        <w:t>Statistical power is thin throughout, so no architecture is ranked.</w:t>
      </w:r>
      <w:r>
        <w:rPr>
          <w:rFonts w:ascii="Times New Roman" w:hAnsi="Times New Roman"/>
          <w:sz w:val="20"/>
        </w:rPr>
        <w:t xml:space="preserve"> Test partitions hold 74–76 images and the balanced set 92; no pairwise model comparison reaches significance in-distribution (Table S5), no pair of intervals in Table 4 separates, and the ablations and region substitutions are single executions. Statements of the form "M4 achieved the highest point estimate on this set" are supported; statements of the form "M4 is the better architecture" are not, and none is made. Table 6 repeats the production and baseline conditions at five seeds, which assesses seed sensitivity rather than characterizing it; the ablations' own seed variance is unmeasured. </w:t>
      </w:r>
      <w:r>
        <w:rPr>
          <w:rFonts w:ascii="Times New Roman" w:hAnsi="Times New Roman"/>
          <w:b/>
          <w:sz w:val="20"/>
        </w:rPr>
        <w:t>Both transfer models are frozen backbones</w:t>
      </w:r>
      <w:r>
        <w:rPr>
          <w:rFonts w:ascii="Times New Roman" w:hAnsi="Times New Roman"/>
          <w:sz w:val="20"/>
        </w:rPr>
        <w:t>, so nothing here measures a fine-tuned network; adaptable features could discard the confounded statistics or specialize onto them, and the results bound neither.</w:t>
      </w:r>
    </w:p>
    <w:p>
      <w:pPr>
        <w:spacing w:after="0" w:before="0" w:line="240" w:lineRule="exact"/>
        <w:ind w:firstLine="202"/>
        <w:jc w:val="both"/>
      </w:pPr>
      <w:r>
        <w:rPr>
          <w:rFonts w:ascii="Times New Roman" w:hAnsi="Times New Roman"/>
          <w:b/>
          <w:sz w:val="20"/>
        </w:rPr>
        <w:t>Every number reported in this paper derives from the current deterministic repository harness and its persisted checkpoints.</w:t>
      </w:r>
      <w:r>
        <w:rPr>
          <w:rFonts w:ascii="Times New Roman" w:hAnsi="Times New Roman"/>
          <w:sz w:val="20"/>
        </w:rPr>
        <w:t xml:space="preserve"> Four reproducibility defects in earlier versions of the pipeline were identified and fixed, every affected analysis was re-run, and two superseded measurements are retained as an audit trail rather than reported as results; Sections S-I-G and S-I-U give each defect, its effect and its diagnosis.</w:t>
      </w:r>
    </w:p>
    <w:p>
      <w:pPr>
        <w:keepNext/>
        <w:spacing w:before="200" w:after="60" w:line="240" w:lineRule="exact"/>
        <w:jc w:val="left"/>
      </w:pPr>
      <w:r>
        <w:rPr>
          <w:rFonts w:ascii="Arial" w:hAnsi="Arial"/>
          <w:b/>
          <w:i w:val="0"/>
          <w:color w:val="00548F"/>
          <w:sz w:val="18"/>
        </w:rPr>
        <w:t>VI. CONCLUSION</w:t>
      </w:r>
    </w:p>
    <w:p>
      <w:pPr>
        <w:spacing w:after="0" w:before="0" w:line="240" w:lineRule="exact"/>
        <w:ind w:firstLine="202"/>
        <w:jc w:val="both"/>
      </w:pPr>
      <w:r>
        <w:rPr>
          <w:rFonts w:ascii="Times New Roman" w:hAnsi="Times New Roman"/>
          <w:sz w:val="20"/>
        </w:rPr>
        <w:t xml:space="preserve">This paper formalized and operationalized a pre-training provenance audit for image-authentication datasets and demonstrated it through a counterfeit-medicine case study. The audit is simple — fit the classifier you intend to use to acquisition variables alone, on your own leakage-free partition, and read attributes the object cannot influence separately from those that mix acquisition with content — and its value lies in when it runs and how its score is read. It tells you whether a provenance shortcut is </w:t>
      </w:r>
      <w:r>
        <w:rPr>
          <w:rFonts w:ascii="Times New Roman" w:hAnsi="Times New Roman"/>
          <w:i/>
          <w:sz w:val="20"/>
        </w:rPr>
        <w:t>available</w:t>
      </w:r>
      <w:r>
        <w:rPr>
          <w:rFonts w:ascii="Times New Roman" w:hAnsi="Times New Roman"/>
          <w:sz w:val="20"/>
        </w:rPr>
        <w:t>, not whether your model takes it; but where it is high, no in-distribution accuracy on that dataset can distinguish the intended task from provenance recognition.</w:t>
      </w:r>
    </w:p>
    <w:p>
      <w:pPr>
        <w:spacing w:after="0" w:before="0" w:line="240" w:lineRule="exact"/>
        <w:ind w:firstLine="202"/>
        <w:jc w:val="both"/>
      </w:pPr>
      <w:r>
        <w:rPr>
          <w:rFonts w:ascii="Times New Roman" w:hAnsi="Times New Roman"/>
          <w:sz w:val="20"/>
        </w:rPr>
        <w:t>On the dataset audited here it returns 1.000: every counterfeit-labeled file is a screen capture and every authentic-labeled file a JPEG photograph across all 510 images, and three header fields with no decoded pixels reproduce the labels on the leakage-free partition. Stratification, grouped cross-validation, bootstrap intervals and a near-duplicate-grouped split all failed to surface this, and near-duplicate leakage — the correction this literature emphasizes — proved much the smaller effect. Independently acquired photographs expose the consequence twice over: a model scoring 97.4% on the authentic class of its own test partition recovers 6.0% of 150 independently sourced authentic photographs, and on an independent balanced set of 46 regulator-confirmed falsified products against 46 authentic-labeled photographs, the four models return balanced accuracies of 0.478 to 0.652, only one excluding chance. A one-sided external test could not have revealed that the 97-parameter baseline holds 0.957 counterfeit recall while never once answering "authentic"; only a two-class set does.</w:t>
      </w:r>
    </w:p>
    <w:p>
      <w:pPr>
        <w:spacing w:after="0" w:before="0" w:line="240" w:lineRule="exact"/>
        <w:ind w:firstLine="202"/>
        <w:jc w:val="both"/>
      </w:pPr>
      <w:r>
        <w:rPr>
          <w:rFonts w:ascii="Times New Roman" w:hAnsi="Times New Roman"/>
          <w:sz w:val="20"/>
        </w:rPr>
        <w:t>The audit is necessary and not sufficient. On a second pharmaceutical dataset it returned a middling score while that dataset was confounded at least as badly, its publisher having normalized the acquisition traces away without removing the confound. And an exploratory correction that removed the three statistics the audit named recovered most of the lost external specificity for two of three models while leaving both pretrained backbones depending on the outer region of the frame rather than on the packaging at its center — a signal consistent with acquisition-linked cues the audit cannot see. Eliminating one provenance signal can expose another, so a correction is itself dataset construction and is owed the same audit.</w:t>
      </w:r>
    </w:p>
    <w:p>
      <w:pPr>
        <w:spacing w:after="0" w:before="0" w:line="240" w:lineRule="exact"/>
        <w:ind w:firstLine="202"/>
        <w:jc w:val="both"/>
      </w:pPr>
      <w:r>
        <w:rPr>
          <w:rFonts w:ascii="Times New Roman" w:hAnsi="Times New Roman"/>
          <w:sz w:val="20"/>
        </w:rPr>
        <w:t>What this study establishes is a case-study finding and a procedure, not a prevalence. The mechanism that produced the confound — asymmetric class sourcing — is plausible wherever an authenticity dataset's scarce class was obtained by a different route, and it was observed independently in a generated-image dataset, but how often it occurs remains to be measured against a defined sampling frame. The measurement this study most needs is the one it could not make: both classes, photographed under varied conditions, by people unconnected to the training data. Until an evaluation of that kind exists, none of the models examined here should be regarded as an authenticator of anything.</w:t>
      </w:r>
    </w:p>
    <w:p>
      <w:pPr>
        <w:keepNext/>
        <w:spacing w:before="200" w:after="60" w:line="240" w:lineRule="exact"/>
        <w:jc w:val="left"/>
      </w:pPr>
      <w:r>
        <w:rPr>
          <w:rFonts w:ascii="Arial" w:hAnsi="Arial"/>
          <w:b/>
          <w:i w:val="0"/>
          <w:color w:val="00548F"/>
          <w:sz w:val="18"/>
        </w:rPr>
        <w:t>ACKNOWLEDGMENT</w:t>
      </w:r>
    </w:p>
    <w:p>
      <w:pPr>
        <w:spacing w:after="0" w:before="0" w:line="240" w:lineRule="exact"/>
        <w:ind w:firstLine="202"/>
        <w:jc w:val="both"/>
      </w:pPr>
      <w:r>
        <w:rPr>
          <w:rFonts w:ascii="Times New Roman" w:hAnsi="Times New Roman"/>
          <w:sz w:val="20"/>
        </w:rPr>
        <w:t>This work was carried out on a single consumer laptop, and the CPU-only constraint that shapes several of this paper's design decisions follows from that. We thank the maintainers of the three public datasets used here [19], [20], [21]. The Mendeley and Roboflow datasets are distributed under CC BY 4.0; the Kaggle dataset carries no license, so it is attributed to its uploader, nothing from it is redistributed, and readers reproducing the pool must obtain it from the original listing.</w:t>
      </w:r>
    </w:p>
    <w:p>
      <w:pPr>
        <w:spacing w:after="0" w:before="0" w:line="240" w:lineRule="exact"/>
        <w:ind w:firstLine="202"/>
        <w:jc w:val="both"/>
      </w:pPr>
      <w:r>
        <w:rPr>
          <w:rFonts w:ascii="Times New Roman" w:hAnsi="Times New Roman"/>
          <w:sz w:val="20"/>
        </w:rPr>
        <w:t>This paper is critical of the construction of a dataset whose uploader made it publicly accessible and made no research claim about it. That criticism is directed at a property of the artifact and at the practice of adopting such artifacts unaudited; it is not directed at the uploader, and nothing here suggests bad faith. The same applies to the prior studies of Section II-A, whose reported accuracies we do not dispute and have not re-derived.</w:t>
      </w:r>
    </w:p>
    <w:p>
      <w:pPr>
        <w:spacing w:after="0" w:before="0" w:line="240" w:lineRule="exact"/>
        <w:ind w:firstLine="202"/>
        <w:jc w:val="both"/>
      </w:pPr>
      <w:r>
        <w:rPr>
          <w:rFonts w:ascii="Times New Roman" w:hAnsi="Times New Roman"/>
          <w:b/>
          <w:sz w:val="20"/>
        </w:rPr>
        <w:t>Generative-AI disclosure.</w:t>
      </w:r>
      <w:r>
        <w:rPr>
          <w:rFonts w:ascii="Times New Roman" w:hAnsi="Times New Roman"/>
          <w:sz w:val="20"/>
        </w:rPr>
        <w:t xml:space="preserve"> This manuscript and the accompanying code were prepared with the assistance of Claude, an AI assistant developed by Anthropic, accessed through the Claude Code command-line interface over the course of the project; the specific model version varied across that period and is not recorded per session. It assisted in drafting and revising the text of every section and in writing and debugging the analysis and figure-generation code; it identified several defects in earlier versions of the pipeline that are disclosed in Section S-I-G; and it performed one task that produced data rather than text: the per-image subject-matter eligibility screen of the balanced external test's authentic candidates, performed to the author's protocol and published in full per image (Sections V-D, S-IX-B). That screen decided whether a candidate was a photograph of a retail medicine package; it assigned no class label and made no authenticity judgement. All experimental design decisions, all interpretations, and the decision to report each negative and superseded result rather than remove it are the author's. Every number reported here is produced by committed code from committed data and was verified by re-execution, and no result, citation or reference was generated by a language model without verification against a primary source. The author takes full responsibility for the content.</w:t>
      </w:r>
    </w:p>
    <w:p>
      <w:pPr>
        <w:keepNext/>
        <w:spacing w:before="200" w:after="60" w:line="240" w:lineRule="exact"/>
        <w:jc w:val="left"/>
      </w:pPr>
      <w:r>
        <w:rPr>
          <w:rFonts w:ascii="Arial" w:hAnsi="Arial"/>
          <w:b/>
          <w:i w:val="0"/>
          <w:color w:val="00548F"/>
          <w:sz w:val="18"/>
        </w:rPr>
        <w:t>ETHICS, CONFLICTS OF INTEREST, AND DATA PROVENANCE</w:t>
      </w:r>
    </w:p>
    <w:p>
      <w:pPr>
        <w:spacing w:after="0" w:before="0" w:line="240" w:lineRule="exact"/>
        <w:ind w:firstLine="202"/>
        <w:jc w:val="both"/>
      </w:pPr>
      <w:r>
        <w:rPr>
          <w:rFonts w:ascii="Times New Roman" w:hAnsi="Times New Roman"/>
          <w:b/>
          <w:sz w:val="20"/>
        </w:rPr>
        <w:t>Human and animal subjects.</w:t>
      </w:r>
      <w:r>
        <w:rPr>
          <w:rFonts w:ascii="Times New Roman" w:hAnsi="Times New Roman"/>
          <w:sz w:val="20"/>
        </w:rPr>
        <w:t xml:space="preserve"> This study involves neither. All images are photographs of pharmaceutical packaging from public archives; none depicts an identifiable person, and no personal or patient data was accessed.</w:t>
      </w:r>
    </w:p>
    <w:p>
      <w:pPr>
        <w:spacing w:after="0" w:before="0" w:line="240" w:lineRule="exact"/>
        <w:ind w:firstLine="202"/>
        <w:jc w:val="both"/>
      </w:pPr>
      <w:r>
        <w:rPr>
          <w:rFonts w:ascii="Times New Roman" w:hAnsi="Times New Roman"/>
          <w:b/>
          <w:sz w:val="20"/>
        </w:rPr>
        <w:t>Data provenance and permissions.</w:t>
      </w:r>
      <w:r>
        <w:rPr>
          <w:rFonts w:ascii="Times New Roman" w:hAnsi="Times New Roman"/>
          <w:sz w:val="20"/>
        </w:rPr>
        <w:t xml:space="preserve"> Every image originates from a third-party public archive, used within its stated terms: Mendeley Data and Roboflow under CC BY 4.0 with attribution, and the Kaggle archive under no stated license, from which nothing is redistributed. No data was scraped or purchased.</w:t>
      </w:r>
    </w:p>
    <w:p>
      <w:pPr>
        <w:spacing w:after="0" w:before="0" w:line="240" w:lineRule="exact"/>
        <w:ind w:firstLine="202"/>
        <w:jc w:val="both"/>
      </w:pPr>
      <w:r>
        <w:rPr>
          <w:rFonts w:ascii="Times New Roman" w:hAnsi="Times New Roman"/>
          <w:b/>
          <w:sz w:val="20"/>
        </w:rPr>
        <w:t>Intended use and misuse.</w:t>
      </w:r>
      <w:r>
        <w:rPr>
          <w:rFonts w:ascii="Times New Roman" w:hAnsi="Times New Roman"/>
          <w:sz w:val="20"/>
        </w:rPr>
        <w:t xml:space="preserve"> No model examined here is fit to authenticate medicine, and a falsely reassuring authentication tool is more dangerous than no tool.</w:t>
      </w:r>
    </w:p>
    <w:p>
      <w:pPr>
        <w:spacing w:after="0" w:before="0" w:line="240" w:lineRule="exact"/>
        <w:ind w:firstLine="202"/>
        <w:jc w:val="both"/>
      </w:pPr>
      <w:r>
        <w:rPr>
          <w:rFonts w:ascii="Times New Roman" w:hAnsi="Times New Roman"/>
          <w:b/>
          <w:sz w:val="20"/>
        </w:rPr>
        <w:t>Conflicts of interest.</w:t>
      </w:r>
      <w:r>
        <w:rPr>
          <w:rFonts w:ascii="Times New Roman" w:hAnsi="Times New Roman"/>
          <w:sz w:val="20"/>
        </w:rPr>
        <w:t xml:space="preserve"> The author declares none, has no affiliation with the maintainers of any dataset examined here, and no commercial interest in any authentication product.</w:t>
      </w:r>
    </w:p>
    <w:p>
      <w:pPr>
        <w:spacing w:after="0" w:before="0" w:line="240" w:lineRule="exact"/>
        <w:ind w:firstLine="202"/>
        <w:jc w:val="both"/>
      </w:pPr>
      <w:r>
        <w:rPr>
          <w:rFonts w:ascii="Times New Roman" w:hAnsi="Times New Roman"/>
          <w:b/>
          <w:sz w:val="20"/>
        </w:rPr>
        <w:t>Funding.</w:t>
      </w:r>
      <w:r>
        <w:rPr>
          <w:rFonts w:ascii="Times New Roman" w:hAnsi="Times New Roman"/>
          <w:sz w:val="20"/>
        </w:rPr>
        <w:t xml:space="preserve"> This work received no specific grant from any funding agency in the public, commercial, or not-for-profit sectors.</w:t>
      </w:r>
    </w:p>
    <w:p>
      <w:pPr>
        <w:keepNext/>
        <w:spacing w:before="200" w:after="60" w:line="240" w:lineRule="exact"/>
        <w:jc w:val="left"/>
      </w:pPr>
      <w:r>
        <w:rPr>
          <w:rFonts w:ascii="Arial" w:hAnsi="Arial"/>
          <w:b/>
          <w:i w:val="0"/>
          <w:color w:val="00548F"/>
          <w:sz w:val="18"/>
        </w:rPr>
        <w:t>DATA AND CODE AVAILABILITY</w:t>
      </w:r>
    </w:p>
    <w:p>
      <w:pPr>
        <w:spacing w:after="0" w:before="0" w:line="240" w:lineRule="exact"/>
        <w:ind w:firstLine="202"/>
        <w:jc w:val="both"/>
      </w:pPr>
      <w:r>
        <w:rPr>
          <w:rFonts w:ascii="Times New Roman" w:hAnsi="Times New Roman"/>
          <w:b/>
          <w:sz w:val="20"/>
        </w:rPr>
        <w:t>Repository and release.</w:t>
      </w:r>
      <w:r>
        <w:rPr>
          <w:rFonts w:ascii="Times New Roman" w:hAnsi="Times New Roman"/>
          <w:sz w:val="20"/>
        </w:rPr>
        <w:t xml:space="preserve"> All code and derived artifacts are at </w:t>
      </w:r>
      <w:r>
        <w:rPr>
          <w:rFonts w:ascii="Consolas" w:hAnsi="Consolas"/>
          <w:sz w:val="18"/>
        </w:rPr>
        <w:t>https://github.com/sophiezla/counterfeit-drug</w:t>
      </w:r>
      <w:r>
        <w:rPr>
          <w:rFonts w:ascii="Times New Roman" w:hAnsi="Times New Roman"/>
          <w:sz w:val="20"/>
        </w:rPr>
        <w:t xml:space="preserve">, archived at the concept DOI </w:t>
      </w:r>
      <w:r>
        <w:rPr>
          <w:rFonts w:ascii="Times New Roman" w:hAnsi="Times New Roman"/>
          <w:b/>
          <w:sz w:val="20"/>
        </w:rPr>
        <w:t>10.5281/zenodo.21936720</w:t>
      </w:r>
      <w:r>
        <w:rPr>
          <w:rFonts w:ascii="Times New Roman" w:hAnsi="Times New Roman"/>
          <w:sz w:val="20"/>
        </w:rPr>
        <w:t xml:space="preserve">, which resolves to the most recent release. The release accompanying this manuscript is the one that concept DOI resolves to; it is the exact state of the code that produced every number reported here, and </w:t>
      </w:r>
      <w:r>
        <w:rPr>
          <w:rFonts w:ascii="Consolas" w:hAnsi="Consolas"/>
          <w:sz w:val="18"/>
        </w:rPr>
        <w:t>README.md</w:t>
      </w:r>
      <w:r>
        <w:rPr>
          <w:rFonts w:ascii="Times New Roman" w:hAnsi="Times New Roman"/>
          <w:sz w:val="20"/>
        </w:rPr>
        <w:t xml:space="preserve"> and </w:t>
      </w:r>
      <w:r>
        <w:rPr>
          <w:rFonts w:ascii="Consolas" w:hAnsi="Consolas"/>
          <w:sz w:val="18"/>
        </w:rPr>
        <w:t>CITATION.cff</w:t>
      </w:r>
      <w:r>
        <w:rPr>
          <w:rFonts w:ascii="Times New Roman" w:hAnsi="Times New Roman"/>
          <w:sz w:val="20"/>
        </w:rPr>
        <w:t xml:space="preserve"> name it, with the earlier releases they list marked superseded. Releases before </w:t>
      </w:r>
      <w:r>
        <w:rPr>
          <w:rFonts w:ascii="Times New Roman" w:hAnsi="Times New Roman"/>
          <w:b/>
          <w:sz w:val="20"/>
        </w:rPr>
        <w:t>v1.4.0</w:t>
      </w:r>
      <w:r>
        <w:rPr>
          <w:rFonts w:ascii="Times New Roman" w:hAnsi="Times New Roman"/>
          <w:sz w:val="20"/>
        </w:rPr>
        <w:t xml:space="preserve"> predate the regulatory counterfeit source of Section S-VIII and the balanced external test of Section IV-C with its five construction and evaluation scripts, and are listed there as superseded. The release holds the data pipeline, the four model implementations, every analysis and figure script, the per-image statistics and split assignments, the persisted checkpoints, and the sources of this manuscript and its supplement.</w:t>
      </w:r>
    </w:p>
    <w:p>
      <w:pPr>
        <w:spacing w:after="0" w:before="0" w:line="240" w:lineRule="exact"/>
        <w:ind w:firstLine="202"/>
        <w:jc w:val="both"/>
      </w:pPr>
      <w:r>
        <w:rPr>
          <w:rFonts w:ascii="Times New Roman" w:hAnsi="Times New Roman"/>
          <w:b/>
          <w:sz w:val="20"/>
        </w:rPr>
        <w:t>Environment.</w:t>
      </w:r>
      <w:r>
        <w:rPr>
          <w:rFonts w:ascii="Times New Roman" w:hAnsi="Times New Roman"/>
          <w:sz w:val="20"/>
        </w:rPr>
        <w:t xml:space="preserve"> Every library that affects a reported number is pinned in the committed </w:t>
      </w:r>
      <w:r>
        <w:rPr>
          <w:rFonts w:ascii="Consolas" w:hAnsi="Consolas"/>
          <w:sz w:val="18"/>
        </w:rPr>
        <w:t>requirements.txt</w:t>
      </w:r>
      <w:r>
        <w:rPr>
          <w:rFonts w:ascii="Times New Roman" w:hAnsi="Times New Roman"/>
          <w:sz w:val="20"/>
        </w:rPr>
        <w:t xml:space="preserve">: PyTorch 2.7.1 [17] and torchvision 0.22.1, both CPU builds, scikit-learn 1.9.0 [18], NumPy 2.3.2, pandas 3.0.3, SciPy 1.18.0, Pillow 11.3.0 and imagehash 4.3.2. All runs are CPU-only on a single consumer laptop; no CUDA was available, so non-deterministic GPU kernels are not a factor. Seed 42 is set for Python, NumPy and PyTorch before every training run, every fold and every augmented feature-extraction pass, and </w:t>
      </w:r>
      <w:r>
        <w:rPr>
          <w:rFonts w:ascii="Consolas" w:hAnsi="Consolas"/>
          <w:sz w:val="18"/>
        </w:rPr>
        <w:t>torch.use_deterministic_algorithms</w:t>
      </w:r>
      <w:r>
        <w:rPr>
          <w:rFonts w:ascii="Times New Roman" w:hAnsi="Times New Roman"/>
          <w:sz w:val="20"/>
        </w:rPr>
        <w:t xml:space="preserve"> is left off only because some CPU operators lack deterministic kernels (Section S-I-C).</w:t>
      </w:r>
    </w:p>
    <w:p>
      <w:pPr>
        <w:spacing w:after="0" w:before="0" w:line="240" w:lineRule="exact"/>
        <w:ind w:firstLine="202"/>
        <w:jc w:val="both"/>
      </w:pPr>
      <w:r>
        <w:rPr>
          <w:rFonts w:ascii="Times New Roman" w:hAnsi="Times New Roman"/>
          <w:b/>
          <w:sz w:val="20"/>
        </w:rPr>
        <w:t>Mapping results to the code that produced them.</w:t>
      </w:r>
      <w:r>
        <w:rPr>
          <w:rFonts w:ascii="Times New Roman" w:hAnsi="Times New Roman"/>
          <w:sz w:val="20"/>
        </w:rPr>
        <w:t xml:space="preserve"> Because this study discloses and corrects earlier pipeline defects (Section S-I-G), every reported figure is traceable to the corrected pipeline rather than to a description of it. Each persisted checkpoint records the model tag, run tag, learning rate, seed, best validation loss, best epoch and epochs run under which it was produced, and the loader refuses a checkpoint whose recorded learning rate differs from the one the caller expects. The external evaluations of Sections IV-C and IV-D are scored from those checkpoints rather than from a retrained copy, so the model tested is provably the one that produced the in-distribution numbers. Section S-V lists, table by table and figure by figure, the command that regenerates each from committed artifacts.</w:t>
      </w:r>
    </w:p>
    <w:p>
      <w:pPr>
        <w:spacing w:after="0" w:before="0" w:line="240" w:lineRule="exact"/>
        <w:ind w:firstLine="202"/>
        <w:jc w:val="both"/>
      </w:pPr>
      <w:r>
        <w:rPr>
          <w:rFonts w:ascii="Times New Roman" w:hAnsi="Times New Roman"/>
          <w:b/>
          <w:sz w:val="20"/>
        </w:rPr>
        <w:t>What is deliberately absent.</w:t>
      </w:r>
      <w:r>
        <w:rPr>
          <w:rFonts w:ascii="Times New Roman" w:hAnsi="Times New Roman"/>
          <w:sz w:val="20"/>
        </w:rPr>
        <w:t xml:space="preserve"> The repository contains </w:t>
      </w:r>
      <w:r>
        <w:rPr>
          <w:rFonts w:ascii="Times New Roman" w:hAnsi="Times New Roman"/>
          <w:b/>
          <w:sz w:val="20"/>
        </w:rPr>
        <w:t>no images</w:t>
      </w:r>
      <w:r>
        <w:rPr>
          <w:rFonts w:ascii="Times New Roman" w:hAnsi="Times New Roman"/>
          <w:sz w:val="20"/>
        </w:rPr>
        <w:t>: the Kaggle archive carries no license grant, so only derived per-image statistics, split assignments and filenames are redistributed. Grad-CAM overlays and the manual-review contact sheets are excluded for the same reason, and are regenerated by committed scripts from a reader's own copy of the archives. The balanced external test is absent for two further reasons and is a reproducible recipe rather than a publishable dataset: 140 of the 150 regulatory photographs are held under metadata-only permission, and the Commons files carry per-file license terms that vary. What is published for it is the candidate manifest with every license and source URL, the per-image screen record with every decision and reason, the per-image predictions, and the five scripts that rebuild it (Section S-V). Six analysis scripts read only committed artifacts, need no image data and no training, and reproduce Table 2, Tables S18, S20 and S22, the direct exposure count and the external intervals in seconds, covering the paper's two central quantitative claims without requiring a reader to obtain the images or run a model (Section S-V).</w:t>
      </w:r>
    </w:p>
    <w:p>
      <w:pPr>
        <w:keepNext/>
        <w:spacing w:before="200" w:after="60" w:line="240" w:lineRule="exact"/>
        <w:jc w:val="left"/>
      </w:pPr>
      <w:r>
        <w:rPr>
          <w:rFonts w:ascii="Arial" w:hAnsi="Arial"/>
          <w:b/>
          <w:i w:val="0"/>
          <w:color w:val="00548F"/>
          <w:sz w:val="18"/>
        </w:rPr>
        <w:t>REFERENCES</w:t>
      </w:r>
    </w:p>
    <w:p>
      <w:pPr>
        <w:spacing w:after="0" w:before="0" w:line="240" w:lineRule="exact"/>
        <w:ind w:firstLine="202"/>
        <w:jc w:val="both"/>
      </w:pPr>
      <w:r>
        <w:rPr>
          <w:rFonts w:ascii="Times New Roman" w:hAnsi="Times New Roman"/>
          <w:sz w:val="20"/>
        </w:rPr>
        <w:t>This list is shared with the supplementary material, which cites it by the same numbers; references [17], [18], [22] and [24] are cited there rather than here.</w:t>
      </w:r>
    </w:p>
    <w:p>
      <w:pPr>
        <w:spacing w:after="60" w:before="0" w:line="180" w:lineRule="exact"/>
        <w:ind w:left="283" w:hanging="283"/>
        <w:jc w:val="both"/>
      </w:pPr>
      <w:r>
        <w:rPr>
          <w:rFonts w:ascii="Times New Roman" w:hAnsi="Times New Roman"/>
          <w:sz w:val="15"/>
        </w:rPr>
        <w:t>[1] World Health Organization, "Substandard and falsified medical products," WHO fact sheet, 3 Dec. 2024. Accessed: Sep. 13, 2026. [Online]. Available: https://www.who.int/news-room/fact-sheets/detail/substandard-and-falsified-medical-products.</w:t>
      </w:r>
    </w:p>
    <w:p>
      <w:pPr>
        <w:spacing w:after="60" w:before="0" w:line="180" w:lineRule="exact"/>
        <w:ind w:left="283" w:hanging="283"/>
        <w:jc w:val="both"/>
      </w:pPr>
      <w:r>
        <w:rPr>
          <w:rFonts w:ascii="Times New Roman" w:hAnsi="Times New Roman"/>
          <w:sz w:val="15"/>
        </w:rPr>
        <w:t xml:space="preserve">[2] S. Ozawa, D. R. Evans, S. Bessias, D. G. Haynie, T. T. Yemeke, S. K. Laing, and J. E. Herrington, "Prevalence and estimated economic burden of substandard and falsified medicines in low- and middle-income countries: A systematic review and meta-analysis," </w:t>
      </w:r>
      <w:r>
        <w:rPr>
          <w:rFonts w:ascii="Times New Roman" w:hAnsi="Times New Roman"/>
          <w:i/>
          <w:sz w:val="15"/>
        </w:rPr>
        <w:t>JAMA Network Open</w:t>
      </w:r>
      <w:r>
        <w:rPr>
          <w:rFonts w:ascii="Times New Roman" w:hAnsi="Times New Roman"/>
          <w:sz w:val="15"/>
        </w:rPr>
        <w:t>, vol. 1, no. 4, e181662, 2018, doi: 10.1001/jamanetworkopen.2018.1662.</w:t>
      </w:r>
    </w:p>
    <w:p>
      <w:pPr>
        <w:spacing w:after="60" w:before="0" w:line="180" w:lineRule="exact"/>
        <w:ind w:left="283" w:hanging="283"/>
        <w:jc w:val="both"/>
      </w:pPr>
      <w:r>
        <w:rPr>
          <w:rFonts w:ascii="Times New Roman" w:hAnsi="Times New Roman"/>
          <w:sz w:val="15"/>
        </w:rPr>
        <w:t xml:space="preserve">[3] R. R. T. Ramos, K. R. B. Samonte, and C. O. Manlises, "Medicine authentication based on image processing using convolutional neural networks," in </w:t>
      </w:r>
      <w:r>
        <w:rPr>
          <w:rFonts w:ascii="Times New Roman" w:hAnsi="Times New Roman"/>
          <w:i/>
          <w:sz w:val="15"/>
        </w:rPr>
        <w:t>Proc. 16th Int. Conf. Computer and Automation Engineering (ICCAE)</w:t>
      </w:r>
      <w:r>
        <w:rPr>
          <w:rFonts w:ascii="Times New Roman" w:hAnsi="Times New Roman"/>
          <w:sz w:val="15"/>
        </w:rPr>
        <w:t>, 2024, pp. 278–282, doi: 10.1109/ICCAE59995.2024.10569752.</w:t>
      </w:r>
    </w:p>
    <w:p>
      <w:pPr>
        <w:spacing w:after="60" w:before="0" w:line="180" w:lineRule="exact"/>
        <w:ind w:left="283" w:hanging="283"/>
        <w:jc w:val="both"/>
      </w:pPr>
      <w:r>
        <w:rPr>
          <w:rFonts w:ascii="Times New Roman" w:hAnsi="Times New Roman"/>
          <w:sz w:val="15"/>
        </w:rPr>
        <w:t xml:space="preserve">[4] H.-W. Ting, S.-L. Chung, C.-F. Chen, H.-Y. Chiu, and Y.-W. Hsieh, "A drug identification model developed using deep learning technologies: Experience of a medical center in Taiwan," </w:t>
      </w:r>
      <w:r>
        <w:rPr>
          <w:rFonts w:ascii="Times New Roman" w:hAnsi="Times New Roman"/>
          <w:i/>
          <w:sz w:val="15"/>
        </w:rPr>
        <w:t>BMC Health Services Research</w:t>
      </w:r>
      <w:r>
        <w:rPr>
          <w:rFonts w:ascii="Times New Roman" w:hAnsi="Times New Roman"/>
          <w:sz w:val="15"/>
        </w:rPr>
        <w:t>, vol. 20, art. 312, 2020, doi: 10.1186/s12913-020-05166-w.</w:t>
      </w:r>
    </w:p>
    <w:p>
      <w:pPr>
        <w:spacing w:after="60" w:before="0" w:line="180" w:lineRule="exact"/>
        <w:ind w:left="283" w:hanging="283"/>
        <w:jc w:val="both"/>
      </w:pPr>
      <w:r>
        <w:rPr>
          <w:rFonts w:ascii="Times New Roman" w:hAnsi="Times New Roman"/>
          <w:sz w:val="15"/>
        </w:rPr>
        <w:t xml:space="preserve">[5] K. Al-Hussaeni, I. Karamitsos, E. Adewumi, and R. M. Amawi, "CNN-based pill image recognition for retrieval systems," </w:t>
      </w:r>
      <w:r>
        <w:rPr>
          <w:rFonts w:ascii="Times New Roman" w:hAnsi="Times New Roman"/>
          <w:i/>
          <w:sz w:val="15"/>
        </w:rPr>
        <w:t>Applied Sciences</w:t>
      </w:r>
      <w:r>
        <w:rPr>
          <w:rFonts w:ascii="Times New Roman" w:hAnsi="Times New Roman"/>
          <w:sz w:val="15"/>
        </w:rPr>
        <w:t>, vol. 13, no. 8, art. 5050, 2023, doi: 10.3390/app13085050.</w:t>
      </w:r>
    </w:p>
    <w:p>
      <w:pPr>
        <w:spacing w:after="60" w:before="0" w:line="180" w:lineRule="exact"/>
        <w:ind w:left="283" w:hanging="283"/>
        <w:jc w:val="both"/>
      </w:pPr>
      <w:r>
        <w:rPr>
          <w:rFonts w:ascii="Times New Roman" w:hAnsi="Times New Roman"/>
          <w:sz w:val="15"/>
        </w:rPr>
        <w:t xml:space="preserve">[6] R. Geirhos, J.-H. Jacobsen, C. Michaelis, R. Zemel, W. Brendel, M. Bethge, and F. A. Wichmann, "Shortcut learning in deep neural networks," </w:t>
      </w:r>
      <w:r>
        <w:rPr>
          <w:rFonts w:ascii="Times New Roman" w:hAnsi="Times New Roman"/>
          <w:i/>
          <w:sz w:val="15"/>
        </w:rPr>
        <w:t>Nature Machine Intelligence</w:t>
      </w:r>
      <w:r>
        <w:rPr>
          <w:rFonts w:ascii="Times New Roman" w:hAnsi="Times New Roman"/>
          <w:sz w:val="15"/>
        </w:rPr>
        <w:t>, vol. 2, pp. 665–673, 2020, arXiv:2004.07780.</w:t>
      </w:r>
    </w:p>
    <w:p>
      <w:pPr>
        <w:spacing w:after="60" w:before="0" w:line="180" w:lineRule="exact"/>
        <w:ind w:left="283" w:hanging="283"/>
        <w:jc w:val="both"/>
      </w:pPr>
      <w:r>
        <w:rPr>
          <w:rFonts w:ascii="Times New Roman" w:hAnsi="Times New Roman"/>
          <w:sz w:val="15"/>
        </w:rPr>
        <w:t xml:space="preserve">[7] J. R. Zech, M. A. Badgeley, M. Liu, A. B. Costa, J. J. Titano, and E. K. Oermann, "Variable generalization performance of a deep learning model to detect pneumonia in chest radiographs: A cross-sectional study," </w:t>
      </w:r>
      <w:r>
        <w:rPr>
          <w:rFonts w:ascii="Times New Roman" w:hAnsi="Times New Roman"/>
          <w:i/>
          <w:sz w:val="15"/>
        </w:rPr>
        <w:t>PLOS Medicine</w:t>
      </w:r>
      <w:r>
        <w:rPr>
          <w:rFonts w:ascii="Times New Roman" w:hAnsi="Times New Roman"/>
          <w:sz w:val="15"/>
        </w:rPr>
        <w:t>, vol. 15, no. 11, e1002683, 2018, doi: 10.1371/journal.pmed.1002683.</w:t>
      </w:r>
    </w:p>
    <w:p>
      <w:pPr>
        <w:spacing w:after="60" w:before="0" w:line="180" w:lineRule="exact"/>
        <w:ind w:left="283" w:hanging="283"/>
        <w:jc w:val="both"/>
      </w:pPr>
      <w:r>
        <w:rPr>
          <w:rFonts w:ascii="Times New Roman" w:hAnsi="Times New Roman"/>
          <w:sz w:val="15"/>
        </w:rPr>
        <w:t xml:space="preserve">[8] B. G. Hill, F. L. Koback, and P. L. Schilling, "The risk of shortcutting in deep learning algorithms for medical imaging research," </w:t>
      </w:r>
      <w:r>
        <w:rPr>
          <w:rFonts w:ascii="Times New Roman" w:hAnsi="Times New Roman"/>
          <w:i/>
          <w:sz w:val="15"/>
        </w:rPr>
        <w:t>Scientific Reports</w:t>
      </w:r>
      <w:r>
        <w:rPr>
          <w:rFonts w:ascii="Times New Roman" w:hAnsi="Times New Roman"/>
          <w:sz w:val="15"/>
        </w:rPr>
        <w:t>, vol. 14, no. 1, art. 29224, 2024, doi: 10.1038/s41598-024-79838-6.</w:t>
      </w:r>
    </w:p>
    <w:p>
      <w:pPr>
        <w:spacing w:after="60" w:before="0" w:line="180" w:lineRule="exact"/>
        <w:ind w:left="283" w:hanging="283"/>
        <w:jc w:val="both"/>
      </w:pPr>
      <w:r>
        <w:rPr>
          <w:rFonts w:ascii="Times New Roman" w:hAnsi="Times New Roman"/>
          <w:sz w:val="15"/>
        </w:rPr>
        <w:t xml:space="preserve">[9] J. Seah, C. Tang, Q. D. Buchlak, M. R. Milne, X. Holt, H. Ahmad, J. Lambert, N. Esmaili, L. Oakden-Rayner, P. Brotchie, and C. M. Jones, "Do comprehensive deep learning algorithms suffer from hidden stratification? A retrospective study on pneumothorax detection in chest radiography," </w:t>
      </w:r>
      <w:r>
        <w:rPr>
          <w:rFonts w:ascii="Times New Roman" w:hAnsi="Times New Roman"/>
          <w:i/>
          <w:sz w:val="15"/>
        </w:rPr>
        <w:t>BMJ Open</w:t>
      </w:r>
      <w:r>
        <w:rPr>
          <w:rFonts w:ascii="Times New Roman" w:hAnsi="Times New Roman"/>
          <w:sz w:val="15"/>
        </w:rPr>
        <w:t>, vol. 11, no. 12, e053024, 2021, doi: 10.1136/bmjopen-2021-053024.</w:t>
      </w:r>
    </w:p>
    <w:p>
      <w:pPr>
        <w:spacing w:after="60" w:before="0" w:line="180" w:lineRule="exact"/>
        <w:ind w:left="283" w:hanging="283"/>
        <w:jc w:val="both"/>
      </w:pPr>
      <w:r>
        <w:rPr>
          <w:rFonts w:ascii="Times New Roman" w:hAnsi="Times New Roman"/>
          <w:sz w:val="15"/>
        </w:rPr>
        <w:t xml:space="preserve">[10] A. Trivedi, C. Robinson, M. Blazes, A. Ortiz, J. Desbiens, S. Gupta, R. Dodhia, P. K. Bhatraju, W. C. Liles, J. Kalpathy-Cramer, A. Y. Lee, and J. M. Lavista Ferres, "Deep learning models for COVID-19 chest x-ray classification: Preventing shortcut learning using feature disentanglement," </w:t>
      </w:r>
      <w:r>
        <w:rPr>
          <w:rFonts w:ascii="Times New Roman" w:hAnsi="Times New Roman"/>
          <w:i/>
          <w:sz w:val="15"/>
        </w:rPr>
        <w:t>PLOS ONE</w:t>
      </w:r>
      <w:r>
        <w:rPr>
          <w:rFonts w:ascii="Times New Roman" w:hAnsi="Times New Roman"/>
          <w:sz w:val="15"/>
        </w:rPr>
        <w:t>, vol. 17, no. 10, e0274098, 2022, doi: 10.1371/journal.pone.0274098.</w:t>
      </w:r>
    </w:p>
    <w:p>
      <w:pPr>
        <w:spacing w:after="60" w:before="0" w:line="180" w:lineRule="exact"/>
        <w:ind w:left="283" w:hanging="283"/>
        <w:jc w:val="both"/>
      </w:pPr>
      <w:r>
        <w:rPr>
          <w:rFonts w:ascii="Times New Roman" w:hAnsi="Times New Roman"/>
          <w:sz w:val="15"/>
        </w:rPr>
        <w:t>[11] M. Ü. Öner, Y.-C. Cheng, H. K. Lee, and W.-K. Sung, "Training machine learning models on patient level data segregation is crucial in practical clinical applications," medRxiv preprint, 2020, doi: 10.1101/2020.04.23.20076406.</w:t>
      </w:r>
    </w:p>
    <w:p>
      <w:pPr>
        <w:spacing w:after="60" w:before="0" w:line="180" w:lineRule="exact"/>
        <w:ind w:left="283" w:hanging="283"/>
        <w:jc w:val="both"/>
      </w:pPr>
      <w:r>
        <w:rPr>
          <w:rFonts w:ascii="Times New Roman" w:hAnsi="Times New Roman"/>
          <w:sz w:val="15"/>
        </w:rPr>
        <w:t xml:space="preserve">[12] D. Hendrycks and T. Dietterich, "Benchmarking neural network robustness to common corruptions and perturbations," in </w:t>
      </w:r>
      <w:r>
        <w:rPr>
          <w:rFonts w:ascii="Times New Roman" w:hAnsi="Times New Roman"/>
          <w:i/>
          <w:sz w:val="15"/>
        </w:rPr>
        <w:t>Proc. Int. Conf. Learning Representations (ICLR)</w:t>
      </w:r>
      <w:r>
        <w:rPr>
          <w:rFonts w:ascii="Times New Roman" w:hAnsi="Times New Roman"/>
          <w:sz w:val="15"/>
        </w:rPr>
        <w:t>, 2019, arXiv:1903.12261.</w:t>
      </w:r>
    </w:p>
    <w:p>
      <w:pPr>
        <w:spacing w:after="60" w:before="0" w:line="180" w:lineRule="exact"/>
        <w:ind w:left="283" w:hanging="283"/>
        <w:jc w:val="both"/>
      </w:pPr>
      <w:r>
        <w:rPr>
          <w:rFonts w:ascii="Times New Roman" w:hAnsi="Times New Roman"/>
          <w:sz w:val="15"/>
        </w:rPr>
        <w:t xml:space="preserve">[13] A. Howard, M. Sandler, G. Chu, L.-C. Chen, B. Chen, M. Tan, W. Wang, Y. Zhu, R. Pang, V. Vasudevan, Q. V. Le, and H. Adam, "Searching for MobileNetV3," in </w:t>
      </w:r>
      <w:r>
        <w:rPr>
          <w:rFonts w:ascii="Times New Roman" w:hAnsi="Times New Roman"/>
          <w:i/>
          <w:sz w:val="15"/>
        </w:rPr>
        <w:t>Proc. IEEE Int. Conf. Computer Vision (ICCV)</w:t>
      </w:r>
      <w:r>
        <w:rPr>
          <w:rFonts w:ascii="Times New Roman" w:hAnsi="Times New Roman"/>
          <w:sz w:val="15"/>
        </w:rPr>
        <w:t>, 2019, pp. 1314–1324, arXiv:1905.02244.</w:t>
      </w:r>
    </w:p>
    <w:p>
      <w:pPr>
        <w:spacing w:after="60" w:before="0" w:line="180" w:lineRule="exact"/>
        <w:ind w:left="283" w:hanging="283"/>
        <w:jc w:val="both"/>
      </w:pPr>
      <w:r>
        <w:rPr>
          <w:rFonts w:ascii="Times New Roman" w:hAnsi="Times New Roman"/>
          <w:sz w:val="15"/>
        </w:rPr>
        <w:t xml:space="preserve">[14] M. Tan and Q. V. Le, "EfficientNet: Rethinking model scaling for convolutional neural networks," in </w:t>
      </w:r>
      <w:r>
        <w:rPr>
          <w:rFonts w:ascii="Times New Roman" w:hAnsi="Times New Roman"/>
          <w:i/>
          <w:sz w:val="15"/>
        </w:rPr>
        <w:t>Proc. Int. Conf. Machine Learning (ICML)</w:t>
      </w:r>
      <w:r>
        <w:rPr>
          <w:rFonts w:ascii="Times New Roman" w:hAnsi="Times New Roman"/>
          <w:sz w:val="15"/>
        </w:rPr>
        <w:t>, 2019, arXiv:1905.11946.</w:t>
      </w:r>
    </w:p>
    <w:p>
      <w:pPr>
        <w:spacing w:after="60" w:before="0" w:line="180" w:lineRule="exact"/>
        <w:ind w:left="283" w:hanging="283"/>
        <w:jc w:val="both"/>
      </w:pPr>
      <w:r>
        <w:rPr>
          <w:rFonts w:ascii="Times New Roman" w:hAnsi="Times New Roman"/>
          <w:sz w:val="15"/>
        </w:rPr>
        <w:t xml:space="preserve">[15] R. R. Selvaraju, M. Cogswell, A. Das, R. Vedantam, D. Parikh, and D. Batra, "Grad-CAM: Visual explanations from deep networks via gradient-based localization," in </w:t>
      </w:r>
      <w:r>
        <w:rPr>
          <w:rFonts w:ascii="Times New Roman" w:hAnsi="Times New Roman"/>
          <w:i/>
          <w:sz w:val="15"/>
        </w:rPr>
        <w:t>Proc. IEEE Int. Conf. Computer Vision (ICCV)</w:t>
      </w:r>
      <w:r>
        <w:rPr>
          <w:rFonts w:ascii="Times New Roman" w:hAnsi="Times New Roman"/>
          <w:sz w:val="15"/>
        </w:rPr>
        <w:t>, 2017, arXiv:1610.02391.</w:t>
      </w:r>
    </w:p>
    <w:p>
      <w:pPr>
        <w:spacing w:after="60" w:before="0" w:line="180" w:lineRule="exact"/>
        <w:ind w:left="283" w:hanging="283"/>
        <w:jc w:val="both"/>
      </w:pPr>
      <w:r>
        <w:rPr>
          <w:rFonts w:ascii="Times New Roman" w:hAnsi="Times New Roman"/>
          <w:sz w:val="15"/>
        </w:rPr>
        <w:t xml:space="preserve">[16] S. M. Lundberg and S.-I. Lee, "A unified approach to interpreting model predictions," in </w:t>
      </w:r>
      <w:r>
        <w:rPr>
          <w:rFonts w:ascii="Times New Roman" w:hAnsi="Times New Roman"/>
          <w:i/>
          <w:sz w:val="15"/>
        </w:rPr>
        <w:t>Advances in Neural Information Processing Systems (NeurIPS)</w:t>
      </w:r>
      <w:r>
        <w:rPr>
          <w:rFonts w:ascii="Times New Roman" w:hAnsi="Times New Roman"/>
          <w:sz w:val="15"/>
        </w:rPr>
        <w:t>, 2017, arXiv:1705.07874.</w:t>
      </w:r>
    </w:p>
    <w:p>
      <w:pPr>
        <w:spacing w:after="60" w:before="0" w:line="180" w:lineRule="exact"/>
        <w:ind w:left="283" w:hanging="283"/>
        <w:jc w:val="both"/>
      </w:pPr>
      <w:r>
        <w:rPr>
          <w:rFonts w:ascii="Times New Roman" w:hAnsi="Times New Roman"/>
          <w:sz w:val="15"/>
        </w:rPr>
        <w:t xml:space="preserve">[17] A. Paszke, S. Gross, F. Massa, et al., "PyTorch: An imperative style, high-performance deep learning library," in </w:t>
      </w:r>
      <w:r>
        <w:rPr>
          <w:rFonts w:ascii="Times New Roman" w:hAnsi="Times New Roman"/>
          <w:i/>
          <w:sz w:val="15"/>
        </w:rPr>
        <w:t>Advances in Neural Information Processing Systems (NeurIPS)</w:t>
      </w:r>
      <w:r>
        <w:rPr>
          <w:rFonts w:ascii="Times New Roman" w:hAnsi="Times New Roman"/>
          <w:sz w:val="15"/>
        </w:rPr>
        <w:t>, 2019.</w:t>
      </w:r>
    </w:p>
    <w:p>
      <w:pPr>
        <w:spacing w:after="60" w:before="0" w:line="180" w:lineRule="exact"/>
        <w:ind w:left="283" w:hanging="283"/>
        <w:jc w:val="both"/>
      </w:pPr>
      <w:r>
        <w:rPr>
          <w:rFonts w:ascii="Times New Roman" w:hAnsi="Times New Roman"/>
          <w:sz w:val="15"/>
        </w:rPr>
        <w:t xml:space="preserve">[18] F. Pedregosa, G. Varoquaux, A. Gramfort, et al., "Scikit-learn: Machine learning in Python," </w:t>
      </w:r>
      <w:r>
        <w:rPr>
          <w:rFonts w:ascii="Times New Roman" w:hAnsi="Times New Roman"/>
          <w:i/>
          <w:sz w:val="15"/>
        </w:rPr>
        <w:t>Journal of Machine Learning Research</w:t>
      </w:r>
      <w:r>
        <w:rPr>
          <w:rFonts w:ascii="Times New Roman" w:hAnsi="Times New Roman"/>
          <w:sz w:val="15"/>
        </w:rPr>
        <w:t>, vol. 12, pp. 2825–2830, 2011.</w:t>
      </w:r>
    </w:p>
    <w:p>
      <w:pPr>
        <w:spacing w:after="60" w:before="0" w:line="180" w:lineRule="exact"/>
        <w:ind w:left="283" w:hanging="283"/>
        <w:jc w:val="both"/>
      </w:pPr>
      <w:r>
        <w:rPr>
          <w:rFonts w:ascii="Times New Roman" w:hAnsi="Times New Roman"/>
          <w:sz w:val="15"/>
        </w:rPr>
        <w:t xml:space="preserve">[19] S. K. Jha, "Fake vs Real Medicine Dataset (images)," Kaggle, dataset </w:t>
      </w:r>
      <w:r>
        <w:rPr>
          <w:rFonts w:ascii="Consolas" w:hAnsi="Consolas"/>
          <w:sz w:val="13"/>
        </w:rPr>
        <w:t>surajkumarjha1/fake-vs-real-medicine-datasets-images</w:t>
      </w:r>
      <w:r>
        <w:rPr>
          <w:rFonts w:ascii="Times New Roman" w:hAnsi="Times New Roman"/>
          <w:sz w:val="15"/>
        </w:rPr>
        <w:t>, last updated 13 Oct. 2025, license stated as "Unknown". [Online]. Available: https://www.kaggle.com/datasets/surajkumarjha1/fake-vs-real-medicine-datasets-images.</w:t>
      </w:r>
    </w:p>
    <w:p>
      <w:pPr>
        <w:spacing w:after="60" w:before="0" w:line="180" w:lineRule="exact"/>
        <w:ind w:left="283" w:hanging="283"/>
        <w:jc w:val="both"/>
      </w:pPr>
      <w:r>
        <w:rPr>
          <w:rFonts w:ascii="Times New Roman" w:hAnsi="Times New Roman"/>
          <w:sz w:val="15"/>
        </w:rPr>
        <w:t>[20] E. Abdelmaksoud, A. Gadallah, and A. Asad, "Mobile-captured pharmaceutical medication packages," Mendeley Data, V1, 2022, doi: 10.17632/bjy2svvmn8.1, CC BY 4.0.</w:t>
      </w:r>
    </w:p>
    <w:p>
      <w:pPr>
        <w:spacing w:after="60" w:before="0" w:line="180" w:lineRule="exact"/>
        <w:ind w:left="283" w:hanging="283"/>
        <w:jc w:val="both"/>
      </w:pPr>
      <w:r>
        <w:rPr>
          <w:rFonts w:ascii="Times New Roman" w:hAnsi="Times New Roman"/>
          <w:sz w:val="15"/>
        </w:rPr>
        <w:t>[21] Harshini T. G. R., "Counterfeit_med_detection," Roboflow Universe, version 4 (multiclass export), Nov. 2022, CC BY 4.0. Accessed: Aug. 28, 2026. [Online]. Available: https://universe.roboflow.com/harshini-t-g-r/counterfeit_med_detection.</w:t>
      </w:r>
    </w:p>
    <w:p>
      <w:pPr>
        <w:spacing w:after="60" w:before="0" w:line="180" w:lineRule="exact"/>
        <w:ind w:left="283" w:hanging="283"/>
        <w:jc w:val="both"/>
      </w:pPr>
      <w:r>
        <w:rPr>
          <w:rFonts w:ascii="Times New Roman" w:hAnsi="Times New Roman"/>
          <w:sz w:val="15"/>
        </w:rPr>
        <w:t xml:space="preserve">[22] Q. McNemar, "Note on the sampling error of the difference between correlated proportions or percentages," </w:t>
      </w:r>
      <w:r>
        <w:rPr>
          <w:rFonts w:ascii="Times New Roman" w:hAnsi="Times New Roman"/>
          <w:i/>
          <w:sz w:val="15"/>
        </w:rPr>
        <w:t>Psychometrika</w:t>
      </w:r>
      <w:r>
        <w:rPr>
          <w:rFonts w:ascii="Times New Roman" w:hAnsi="Times New Roman"/>
          <w:sz w:val="15"/>
        </w:rPr>
        <w:t>, vol. 12, no. 2, pp. 153–157, 1947.</w:t>
      </w:r>
    </w:p>
    <w:p>
      <w:pPr>
        <w:spacing w:after="60" w:before="0" w:line="180" w:lineRule="exact"/>
        <w:ind w:left="283" w:hanging="283"/>
        <w:jc w:val="both"/>
      </w:pPr>
      <w:r>
        <w:rPr>
          <w:rFonts w:ascii="Times New Roman" w:hAnsi="Times New Roman"/>
          <w:sz w:val="15"/>
        </w:rPr>
        <w:t xml:space="preserve">[23] K. Zhou, Z. Liu, Y. Qiao, T. Xiang, and C. C. Loy, "Domain generalization: A survey," </w:t>
      </w:r>
      <w:r>
        <w:rPr>
          <w:rFonts w:ascii="Times New Roman" w:hAnsi="Times New Roman"/>
          <w:i/>
          <w:sz w:val="15"/>
        </w:rPr>
        <w:t>IEEE Transactions on Pattern Analysis and Machine Intelligence</w:t>
      </w:r>
      <w:r>
        <w:rPr>
          <w:rFonts w:ascii="Times New Roman" w:hAnsi="Times New Roman"/>
          <w:sz w:val="15"/>
        </w:rPr>
        <w:t>, vol. 45, no. 4, pp. 4396–4415, 2023, doi: 10.1109/TPAMI.2022.3195549, arXiv:2103.02503.</w:t>
      </w:r>
    </w:p>
    <w:p>
      <w:pPr>
        <w:spacing w:after="60" w:before="0" w:line="180" w:lineRule="exact"/>
        <w:ind w:left="283" w:hanging="283"/>
        <w:jc w:val="both"/>
      </w:pPr>
      <w:r>
        <w:rPr>
          <w:rFonts w:ascii="Times New Roman" w:hAnsi="Times New Roman"/>
          <w:sz w:val="15"/>
        </w:rPr>
        <w:t xml:space="preserve">[24] B. Efron and R. J. Tibshirani, </w:t>
      </w:r>
      <w:r>
        <w:rPr>
          <w:rFonts w:ascii="Times New Roman" w:hAnsi="Times New Roman"/>
          <w:i/>
          <w:sz w:val="15"/>
        </w:rPr>
        <w:t>An Introduction to the Bootstrap</w:t>
      </w:r>
      <w:r>
        <w:rPr>
          <w:rFonts w:ascii="Times New Roman" w:hAnsi="Times New Roman"/>
          <w:sz w:val="15"/>
        </w:rPr>
        <w:t>. New York, NY, USA: Chapman &amp; Hall, 1993.</w:t>
      </w:r>
    </w:p>
    <w:p>
      <w:pPr>
        <w:spacing w:after="60" w:before="0" w:line="180" w:lineRule="exact"/>
        <w:ind w:left="283" w:hanging="283"/>
        <w:jc w:val="both"/>
      </w:pPr>
      <w:r>
        <w:rPr>
          <w:rFonts w:ascii="Times New Roman" w:hAnsi="Times New Roman"/>
          <w:sz w:val="15"/>
        </w:rPr>
        <w:t>[25] C. Zauner, "Implementation and benchmarking of perceptual image hash functions," M.Sc. thesis, Upper Austria University of Applied Sciences Hagenberg, Jul. 2010. [Online]. Available: https://www.phash.org/docs/pubs/thesis_zauner.pdf.</w:t>
      </w:r>
    </w:p>
    <w:p>
      <w:pPr>
        <w:spacing w:after="60" w:before="0" w:line="180" w:lineRule="exact"/>
        <w:ind w:left="283" w:hanging="283"/>
        <w:jc w:val="both"/>
      </w:pPr>
      <w:r>
        <w:rPr>
          <w:rFonts w:ascii="Times New Roman" w:hAnsi="Times New Roman"/>
          <w:sz w:val="15"/>
        </w:rPr>
        <w:t xml:space="preserve">[26] K. Motwani, R. Dsouza, R. Dsouza, and J. Jose, "Counterfeit medicine detection using deep learning," </w:t>
      </w:r>
      <w:r>
        <w:rPr>
          <w:rFonts w:ascii="Times New Roman" w:hAnsi="Times New Roman"/>
          <w:i/>
          <w:sz w:val="15"/>
        </w:rPr>
        <w:t>International Journal of Innovative Research in Technology (IJIRT)</w:t>
      </w:r>
      <w:r>
        <w:rPr>
          <w:rFonts w:ascii="Times New Roman" w:hAnsi="Times New Roman"/>
          <w:sz w:val="15"/>
        </w:rPr>
        <w:t>, vol. 9, no. 3, pp. 818–821, Aug. 2022, ISSN 2349-6002.</w:t>
      </w:r>
    </w:p>
    <w:p>
      <w:pPr>
        <w:spacing w:after="60" w:before="0" w:line="180" w:lineRule="exact"/>
        <w:ind w:left="283" w:hanging="283"/>
        <w:jc w:val="both"/>
      </w:pPr>
      <w:r>
        <w:rPr>
          <w:rFonts w:ascii="Times New Roman" w:hAnsi="Times New Roman"/>
          <w:sz w:val="15"/>
        </w:rPr>
        <w:t xml:space="preserve">[27] B. S. Thomson and W. R. Varuna, "An intelligent counterfeit medicine classification prediction system using modified YOLO: A single stage object detector," </w:t>
      </w:r>
      <w:r>
        <w:rPr>
          <w:rFonts w:ascii="Times New Roman" w:hAnsi="Times New Roman"/>
          <w:i/>
          <w:sz w:val="15"/>
        </w:rPr>
        <w:t>TPM (Testing, Psychometrics, Methodology in Applied Psychology)</w:t>
      </w:r>
      <w:r>
        <w:rPr>
          <w:rFonts w:ascii="Times New Roman" w:hAnsi="Times New Roman"/>
          <w:sz w:val="15"/>
        </w:rPr>
        <w:t>, vol. 32, no. S2, pp. 1073–1088, 2025, ISSN 1972-6325.</w:t>
      </w:r>
    </w:p>
    <w:p>
      <w:pPr>
        <w:spacing w:after="60" w:before="0" w:line="180" w:lineRule="exact"/>
        <w:ind w:left="283" w:hanging="283"/>
        <w:jc w:val="both"/>
      </w:pPr>
      <w:r>
        <w:rPr>
          <w:rFonts w:ascii="Times New Roman" w:hAnsi="Times New Roman"/>
          <w:sz w:val="15"/>
        </w:rPr>
        <w:t xml:space="preserve">[28] B. S. Thomson and W. R. Varuna, "Detecting counterfeit medicines utilizing artificial intelligence technique," </w:t>
      </w:r>
      <w:r>
        <w:rPr>
          <w:rFonts w:ascii="Times New Roman" w:hAnsi="Times New Roman"/>
          <w:i/>
          <w:sz w:val="15"/>
        </w:rPr>
        <w:t>International Journal of Creative Research Thoughts (IJCRT)</w:t>
      </w:r>
      <w:r>
        <w:rPr>
          <w:rFonts w:ascii="Times New Roman" w:hAnsi="Times New Roman"/>
          <w:sz w:val="15"/>
        </w:rPr>
        <w:t>, vol. 13, no. 4, pp. i322–i329, Apr. 2025, ISSN 2320-2882.</w:t>
      </w:r>
    </w:p>
    <w:p>
      <w:pPr>
        <w:spacing w:after="60" w:before="0" w:line="180" w:lineRule="exact"/>
        <w:ind w:left="283" w:hanging="283"/>
        <w:jc w:val="both"/>
      </w:pPr>
      <w:r>
        <w:rPr>
          <w:rFonts w:ascii="Times New Roman" w:hAnsi="Times New Roman"/>
          <w:sz w:val="15"/>
        </w:rPr>
        <w:t>[29] H. Garcia-Cotte, D. Mellouli, A. Rehman, L. Wang, and D. G. Stork, "Deep neural network-based detection of counterfeit products from smartphone images," arXiv:2410.05969, 2024.</w:t>
      </w:r>
    </w:p>
    <w:p>
      <w:pPr>
        <w:spacing w:after="60" w:before="0" w:line="180" w:lineRule="exact"/>
        <w:ind w:left="283" w:hanging="283"/>
        <w:jc w:val="both"/>
      </w:pPr>
      <w:r>
        <w:rPr>
          <w:rFonts w:ascii="Times New Roman" w:hAnsi="Times New Roman"/>
          <w:sz w:val="15"/>
        </w:rPr>
        <w:t xml:space="preserve">[30] P. Grommelt, L. Weiss, F.-J. Pfreundt, and J. Keuper, "Fake or JPEG? Revealing common biases in generated image detection datasets," in </w:t>
      </w:r>
      <w:r>
        <w:rPr>
          <w:rFonts w:ascii="Times New Roman" w:hAnsi="Times New Roman"/>
          <w:i/>
          <w:sz w:val="15"/>
        </w:rPr>
        <w:t>Computer Vision – ECCV 2024 Workshops</w:t>
      </w:r>
      <w:r>
        <w:rPr>
          <w:rFonts w:ascii="Times New Roman" w:hAnsi="Times New Roman"/>
          <w:sz w:val="15"/>
        </w:rPr>
        <w:t>, Lecture Notes in Computer Science. Cham, Switzerland: Springer, 2025, pp. 80–95, doi: 10.1007/978-3-031-92089-9_6, arXiv:2403.17608.</w:t>
      </w:r>
    </w:p>
    <w:p>
      <w:pPr>
        <w:spacing w:after="60" w:before="0" w:line="180" w:lineRule="exact"/>
        <w:ind w:left="283" w:hanging="283"/>
        <w:jc w:val="both"/>
      </w:pPr>
      <w:r>
        <w:rPr>
          <w:rFonts w:ascii="Times New Roman" w:hAnsi="Times New Roman"/>
          <w:sz w:val="15"/>
        </w:rPr>
        <w:t xml:space="preserve">[31] A. J. DeGrave, J. D. Janizek, and S.-I. Lee, "AI for radiographic COVID-19 detection selects shortcuts over signal," </w:t>
      </w:r>
      <w:r>
        <w:rPr>
          <w:rFonts w:ascii="Times New Roman" w:hAnsi="Times New Roman"/>
          <w:i/>
          <w:sz w:val="15"/>
        </w:rPr>
        <w:t>Nature Machine Intelligence</w:t>
      </w:r>
      <w:r>
        <w:rPr>
          <w:rFonts w:ascii="Times New Roman" w:hAnsi="Times New Roman"/>
          <w:sz w:val="15"/>
        </w:rPr>
        <w:t>, vol. 3, no. 7, pp. 610–619, 2021, doi: 10.1038/s42256-021-00338-7.</w:t>
      </w:r>
    </w:p>
    <w:p>
      <w:pPr>
        <w:spacing w:after="60" w:before="0" w:line="180" w:lineRule="exact"/>
        <w:ind w:left="283" w:hanging="283"/>
        <w:jc w:val="both"/>
      </w:pPr>
      <w:r>
        <w:rPr>
          <w:rFonts w:ascii="Times New Roman" w:hAnsi="Times New Roman"/>
          <w:sz w:val="15"/>
        </w:rPr>
        <w:t xml:space="preserve">[32] A. Torralba and A. A. Efros, "Unbiased look at dataset bias," in </w:t>
      </w:r>
      <w:r>
        <w:rPr>
          <w:rFonts w:ascii="Times New Roman" w:hAnsi="Times New Roman"/>
          <w:i/>
          <w:sz w:val="15"/>
        </w:rPr>
        <w:t>Proc. IEEE Conf. Computer Vision and Pattern Recognition (CVPR)</w:t>
      </w:r>
      <w:r>
        <w:rPr>
          <w:rFonts w:ascii="Times New Roman" w:hAnsi="Times New Roman"/>
          <w:sz w:val="15"/>
        </w:rPr>
        <w:t>, 2011, pp. 1521–1528, doi: 10.1109/CVPR.2011.5995347.</w:t>
      </w:r>
    </w:p>
    <w:p>
      <w:pPr>
        <w:keepNext/>
        <w:spacing w:before="200" w:after="60" w:line="240" w:lineRule="exact"/>
        <w:jc w:val="left"/>
      </w:pPr>
      <w:r>
        <w:rPr>
          <w:rFonts w:ascii="Arial" w:hAnsi="Arial"/>
          <w:b/>
          <w:i w:val="0"/>
          <w:color w:val="00548F"/>
          <w:sz w:val="18"/>
        </w:rPr>
        <w:t>AUTHOR BIOGRAPHIES</w:t>
      </w:r>
    </w:p>
    <w:p>
      <w:pPr>
        <w:spacing w:line="240" w:lineRule="auto" w:after="80"/>
        <w:jc w:val="left"/>
      </w:pPr>
      <w:r>
        <w:drawing>
          <wp:inline xmlns:a="http://schemas.openxmlformats.org/drawingml/2006/main" xmlns:pic="http://schemas.openxmlformats.org/drawingml/2006/picture">
            <wp:extent cx="914400" cy="1344706"/>
            <wp:docPr id="2" name="Picture 2"/>
            <wp:cNvGraphicFramePr>
              <a:graphicFrameLocks noChangeAspect="1"/>
            </wp:cNvGraphicFramePr>
            <a:graphic>
              <a:graphicData uri="http://schemas.openxmlformats.org/drawingml/2006/picture">
                <pic:pic>
                  <pic:nvPicPr>
                    <pic:cNvPr id="0" name="author_photo.jpeg"/>
                    <pic:cNvPicPr/>
                  </pic:nvPicPr>
                  <pic:blipFill>
                    <a:blip r:embed="rId11"/>
                    <a:stretch>
                      <a:fillRect/>
                    </a:stretch>
                  </pic:blipFill>
                  <pic:spPr>
                    <a:xfrm>
                      <a:off x="0" y="0"/>
                      <a:ext cx="914400" cy="1344706"/>
                    </a:xfrm>
                    <a:prstGeom prst="rect"/>
                  </pic:spPr>
                </pic:pic>
              </a:graphicData>
            </a:graphic>
          </wp:inline>
        </w:drawing>
      </w:r>
    </w:p>
    <w:p>
      <w:pPr>
        <w:spacing w:after="0" w:before="0" w:line="240" w:lineRule="exact"/>
        <w:ind w:firstLine="202"/>
        <w:jc w:val="both"/>
      </w:pPr>
      <w:r>
        <w:rPr>
          <w:rFonts w:ascii="Times New Roman" w:hAnsi="Times New Roman"/>
          <w:b/>
          <w:sz w:val="20"/>
        </w:rPr>
        <w:t>SOPHIE ZHU</w:t>
      </w:r>
      <w:r>
        <w:rPr>
          <w:rFonts w:ascii="Times New Roman" w:hAnsi="Times New Roman"/>
          <w:sz w:val="20"/>
        </w:rPr>
        <w:t xml:space="preserve"> is a student at Mira Costa High School, in Manhattan Beach, CA, USA. Her research interests include computer vision and machine learning applications in public health, with an emphasis on low-cost systems for resource-constrained environments. Her current work examines how dataset construction shapes what image classifiers learn.</w:t>
      </w:r>
    </w:p>
    <w:sectPr w:rsidR="00FC693F" w:rsidRPr="0006063C" w:rsidSect="00034616">
      <w:type w:val="continuous"/>
      <w:pgSz w:w="11520" w:h="15659"/>
      <w:pgMar w:top="1080" w:right="728" w:bottom="1134" w:left="728" w:header="720" w:footer="720" w:gutter="0"/>
      <w:docGrid w:linePitch="360"/>
      <w:cols w:num="2" w:equalWidth="1" w:space="394"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548F"/>
        <w:sz w:val="16"/>
      </w:rPr>
      <w:t xml:space="preserve">VOLUME 14, 2026   </w:t>
    </w: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exac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