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508" w:lineRule="exact"/>
        <w:jc w:val="left"/>
      </w:pPr>
      <w:r>
        <w:rPr>
          <w:rFonts w:ascii="Arial" w:hAnsi="Arial"/>
          <w:b/>
          <w:color w:val="000000"/>
          <w:sz w:val="44"/>
        </w:rPr>
        <w:t>Auditing Provenance Confounding in Image Authenticity Classification: A Counterfeit-Medicine Case Study</w:t>
      </w:r>
    </w:p>
    <w:p>
      <w:pPr>
        <w:spacing w:after="20" w:line="240" w:lineRule="exact"/>
        <w:jc w:val="left"/>
      </w:pPr>
      <w:r>
        <w:rPr>
          <w:rFonts w:ascii="Times New Roman" w:hAnsi="Times New Roman"/>
          <w:b/>
          <w:i/>
          <w:sz w:val="16"/>
        </w:rPr>
        <w:t>SOPHIE ZHU</w:t>
      </w:r>
      <w:r>
        <w:rPr>
          <w:rFonts w:ascii="Times New Roman" w:hAnsi="Times New Roman"/>
          <w:i/>
          <w:sz w:val="16"/>
          <w:vertAlign w:val="superscript"/>
        </w:rPr>
        <w:t>1</w:t>
      </w:r>
    </w:p>
    <w:p>
      <w:pPr>
        <w:spacing w:after="20" w:line="240" w:lineRule="exact"/>
        <w:jc w:val="left"/>
      </w:pPr>
      <w:r>
        <w:rPr>
          <w:rFonts w:ascii="Times New Roman" w:hAnsi="Times New Roman"/>
          <w:i/>
          <w:sz w:val="16"/>
          <w:vertAlign w:val="superscript"/>
        </w:rPr>
        <w:t>1</w:t>
      </w:r>
      <w:r>
        <w:rPr>
          <w:rFonts w:ascii="Times New Roman" w:hAnsi="Times New Roman"/>
          <w:i/>
          <w:sz w:val="16"/>
        </w:rPr>
        <w:t>Mira Costa High School, Manhattan Beach, CA 90266 USA (e-mail: sophiezhu2028@gmail.com)</w:t>
      </w:r>
    </w:p>
    <w:p>
      <w:pPr>
        <w:spacing w:after="20" w:line="240" w:lineRule="exact"/>
        <w:jc w:val="left"/>
      </w:pPr>
      <w:r>
        <w:rPr>
          <w:rFonts w:ascii="Times New Roman" w:hAnsi="Times New Roman"/>
          <w:i/>
          <w:sz w:val="16"/>
        </w:rPr>
        <w:t>ORCID: 0009-0004-2403-910X</w:t>
      </w:r>
    </w:p>
    <w:p>
      <w:pPr>
        <w:spacing w:after="20" w:line="240" w:lineRule="exact"/>
        <w:jc w:val="left"/>
      </w:pPr>
      <w:r>
        <w:rPr>
          <w:rFonts w:ascii="Times New Roman" w:hAnsi="Times New Roman"/>
          <w:i/>
          <w:sz w:val="16"/>
        </w:rPr>
        <w:t>Corresponding author: Sophie Zhu (e-mail: sophiezhu2028@gmail.com).</w:t>
      </w:r>
    </w:p>
    <w:p>
      <w:pPr>
        <w:spacing w:after="20" w:line="240" w:lineRule="exact"/>
        <w:jc w:val="left"/>
      </w:pPr>
      <w:r>
        <w:rPr>
          <w:rFonts w:ascii="Times New Roman" w:hAnsi="Times New Roman"/>
          <w:i/>
          <w:sz w:val="16"/>
        </w:rPr>
        <w:t>This work received no specific grant from any funding agency in the public, commercial, or not-for-profit sectors.</w:t>
      </w:r>
    </w:p>
    <w:p>
      <w:pPr>
        <w:spacing w:after="160" w:line="240" w:lineRule="exact"/>
        <w:jc w:val="both"/>
      </w:pPr>
      <w:r>
        <w:rPr>
          <w:rFonts w:ascii="Arial" w:hAnsi="Arial"/>
          <w:b/>
          <w:color w:val="00548F"/>
          <w:sz w:val="20"/>
        </w:rPr>
        <w:t xml:space="preserve">ABSTRACT </w:t>
      </w:r>
      <w:r>
        <w:rPr>
          <w:rFonts w:ascii="Times New Roman" w:hAnsi="Times New Roman"/>
          <w:sz w:val="20"/>
        </w:rPr>
        <w:t xml:space="preserve">In image datasets asking whether an object is genuine, the inauthentic class is scarcer and often obtained differently: screen-captured, scraped or generated. The label then predicts acquisition, and every partition inherits the association. We call this </w:t>
      </w:r>
      <w:r>
        <w:rPr>
          <w:rFonts w:ascii="Times New Roman" w:hAnsi="Times New Roman"/>
          <w:b/>
          <w:sz w:val="20"/>
        </w:rPr>
        <w:t>class-conditional provenance confounding</w:t>
      </w:r>
      <w:r>
        <w:rPr>
          <w:rFonts w:ascii="Times New Roman" w:hAnsi="Times New Roman"/>
          <w:sz w:val="20"/>
        </w:rPr>
        <w:t xml:space="preserve"> and propose a pre-training </w:t>
      </w:r>
      <w:r>
        <w:rPr>
          <w:rFonts w:ascii="Times New Roman" w:hAnsi="Times New Roman"/>
          <w:b/>
          <w:sz w:val="20"/>
        </w:rPr>
        <w:t>provenance audit</w:t>
      </w:r>
      <w:r>
        <w:rPr>
          <w:rFonts w:ascii="Times New Roman" w:hAnsi="Times New Roman"/>
          <w:sz w:val="20"/>
        </w:rPr>
        <w:t xml:space="preserve">: fit the intended classifier to acquisition metadata alone under the study's own leakage-free split, separating attributes the object cannot influence from mixed proxies. On a public counterfeit-medicine dataset it returns </w:t>
      </w:r>
      <w:r>
        <w:rPr>
          <w:rFonts w:ascii="Times New Roman" w:hAnsi="Times New Roman"/>
          <w:b/>
          <w:sz w:val="20"/>
        </w:rPr>
        <w:t>1.000</w:t>
      </w:r>
      <w:r>
        <w:rPr>
          <w:rFonts w:ascii="Times New Roman" w:hAnsi="Times New Roman"/>
          <w:sz w:val="20"/>
        </w:rPr>
        <w:t>: every counterfeit-labeled file is a PNG screen capture and every authentic-labeled file a JPEG across all 510 images, so three header fields alone reproduce the labels. In-distribution accuracy there cannot separate packaging from provenance recognition. Two split designs differ by at most 6.8 points; leakage alone moves accuracy by 0.3. The model reaching 97.4% authentic-class accuracy on its own test partition returns 6.0% specificity on 150 independently sourced authentic photographs. On a balanced external set of 46 authentic-labeled against 46 regulator-confirmed falsified products, with file encoding standardized and scored once, balanced accuracy runs 0.478 to 0.652 and only one model excludes chance; the 97-parameter baseline is a degenerate all-counterfeit classifier, invisible to one-sided testing. An opportunistic screen of seven archives, four scorable, returns 1.000 on format for one independently built generated-image dataset, near chance for a second, and 0.500 where both classes share one acquisition procedure. An exploratory normalization raises external specificity to 86% and 81% for two of three but is no remedy: the corrected backbones then rely strongly on an outer-region signal.</w:t>
      </w:r>
    </w:p>
    <w:p>
      <w:pPr>
        <w:spacing w:after="160" w:line="240" w:lineRule="exact"/>
        <w:jc w:val="both"/>
      </w:pPr>
      <w:r>
        <w:rPr>
          <w:rFonts w:ascii="Arial" w:hAnsi="Arial"/>
          <w:b/>
          <w:color w:val="00548F"/>
          <w:sz w:val="20"/>
        </w:rPr>
        <w:t xml:space="preserve">INDEX TERMS </w:t>
      </w:r>
      <w:r>
        <w:rPr>
          <w:rFonts w:ascii="Times New Roman" w:hAnsi="Times New Roman"/>
          <w:sz w:val="20"/>
        </w:rPr>
        <w:t>Data leakage, dataset bias, domain generalization, external validation, hidden stratification, image classification, provenance confounding, shortcut learning.</w:t>
      </w:r>
    </w:p>
    <w:p>
      <w:pPr>
        <w:sectPr>
          <w:footerReference w:type="default" r:id="rId9"/>
          <w:pgSz w:w="11520" w:h="15659"/>
          <w:pgMar w:top="1080" w:right="728" w:bottom="1134" w:left="728" w:header="720" w:footer="720" w:gutter="0"/>
          <w:docGrid w:linePitch="360"/>
          <w:cols w:num="1" w:equalWidth="1" w:space="0" w:sep="0"/>
        </w:sectPr>
      </w:pPr>
    </w:p>
    <w:p>
      <w:pPr>
        <w:keepNext/>
        <w:spacing w:before="200" w:after="60" w:line="240" w:lineRule="exact"/>
        <w:jc w:val="left"/>
      </w:pPr>
      <w:r>
        <w:rPr>
          <w:rFonts w:ascii="Arial" w:hAnsi="Arial"/>
          <w:b/>
          <w:i w:val="0"/>
          <w:color w:val="00548F"/>
          <w:sz w:val="18"/>
        </w:rPr>
        <w:t>I. INTRODUCTION</w:t>
      </w:r>
    </w:p>
    <w:p>
      <w:pPr>
        <w:spacing w:after="0" w:before="0" w:line="240" w:lineRule="exact"/>
        <w:ind w:firstLine="202"/>
        <w:jc w:val="both"/>
      </w:pPr>
      <w:r>
        <w:rPr>
          <w:rFonts w:ascii="Times New Roman" w:hAnsi="Times New Roman"/>
          <w:sz w:val="20"/>
        </w:rPr>
        <w:t xml:space="preserve">Substandard and falsified medical products are a persistent global health problem, concentrated in low- and middle-income countries and in unregulated online supply chains [1], [2]. Because much falsified product is visually imperfect — misprinted cartons, wrong color separations, missing batch information — image-based screening from a consumer smartphone is an attractive triage tool, and a body of work has applied convolutional networks to photographs of medicine packaging and reported high binary accuracy [3], [26]–[28], alongside a larger literature on pharmaceutical </w:t>
      </w:r>
      <w:r>
        <w:rPr>
          <w:rFonts w:ascii="Times New Roman" w:hAnsi="Times New Roman"/>
          <w:i/>
          <w:sz w:val="20"/>
        </w:rPr>
        <w:t>identification</w:t>
      </w:r>
      <w:r>
        <w:rPr>
          <w:rFonts w:ascii="Times New Roman" w:hAnsi="Times New Roman"/>
          <w:sz w:val="20"/>
        </w:rPr>
        <w:t xml:space="preserve"> rather than </w:t>
      </w:r>
      <w:r>
        <w:rPr>
          <w:rFonts w:ascii="Times New Roman" w:hAnsi="Times New Roman"/>
          <w:i/>
          <w:sz w:val="20"/>
        </w:rPr>
        <w:t>authentication</w:t>
      </w:r>
      <w:r>
        <w:rPr>
          <w:rFonts w:ascii="Times New Roman" w:hAnsi="Times New Roman"/>
          <w:sz w:val="20"/>
        </w:rPr>
        <w:t xml:space="preserve"> [4], [5].</w:t>
      </w:r>
    </w:p>
    <w:p>
      <w:pPr>
        <w:spacing w:after="0" w:before="0" w:line="240" w:lineRule="exact"/>
        <w:ind w:firstLine="202"/>
        <w:jc w:val="both"/>
      </w:pPr>
      <w:r>
        <w:rPr>
          <w:rFonts w:ascii="Times New Roman" w:hAnsi="Times New Roman"/>
          <w:sz w:val="20"/>
        </w:rPr>
        <w:t>A property of that body of work motivates this paper's method as much as its subject. There is no shared benchmark for pharmaceutical authentication: each study identified through our targeted literature search built or adopted its own image set, and we did not identify any that reports a check for confounds between acquisition and label (Section II-A). Each reported figure therefore rests on the construction of a single ad hoc collection, and that construction is not examined in the paper reporting it.</w:t>
      </w:r>
    </w:p>
    <w:p>
      <w:pPr>
        <w:spacing w:after="0" w:before="0" w:line="240" w:lineRule="exact"/>
        <w:ind w:firstLine="202"/>
        <w:jc w:val="both"/>
      </w:pPr>
      <w:r>
        <w:rPr>
          <w:rFonts w:ascii="Times New Roman" w:hAnsi="Times New Roman"/>
          <w:b/>
          <w:sz w:val="20"/>
        </w:rPr>
        <w:t>The gap this exposes is procedural rather than architectural.</w:t>
      </w:r>
      <w:r>
        <w:rPr>
          <w:rFonts w:ascii="Times New Roman" w:hAnsi="Times New Roman"/>
          <w:sz w:val="20"/>
        </w:rPr>
        <w:t xml:space="preserve"> Methods for diagnosing a confounded classifier exist, but they act after the fact, requiring the images and a trained model [31]. What is missing is a check a study can run on itself </w:t>
      </w:r>
      <w:r>
        <w:rPr>
          <w:rFonts w:ascii="Times New Roman" w:hAnsi="Times New Roman"/>
          <w:i/>
          <w:sz w:val="20"/>
        </w:rPr>
        <w:t>before</w:t>
      </w:r>
      <w:r>
        <w:rPr>
          <w:rFonts w:ascii="Times New Roman" w:hAnsi="Times New Roman"/>
          <w:sz w:val="20"/>
        </w:rPr>
        <w:t xml:space="preserve"> training, from the files alone, that establishes whether the intended task is separable from the way the data was acquired. This paper operationalizes one — a pre-training </w:t>
      </w:r>
      <w:r>
        <w:rPr>
          <w:rFonts w:ascii="Times New Roman" w:hAnsi="Times New Roman"/>
          <w:b/>
          <w:sz w:val="20"/>
        </w:rPr>
        <w:t>provenance audit</w:t>
      </w:r>
      <w:r>
        <w:rPr>
          <w:rFonts w:ascii="Times New Roman" w:hAnsi="Times New Roman"/>
          <w:sz w:val="20"/>
        </w:rPr>
        <w:t xml:space="preserve"> that fits the intended classifier to acquisition metadata under the study's own leakage-free split and reports the number — and the counterfeit-medicine collection audited here is the case study for it, not the contribution.</w:t>
      </w:r>
    </w:p>
    <w:p>
      <w:pPr>
        <w:keepNext/>
        <w:spacing w:before="160" w:after="60" w:line="240" w:lineRule="exact"/>
        <w:jc w:val="left"/>
      </w:pPr>
      <w:r>
        <w:rPr>
          <w:rFonts w:ascii="Arial" w:hAnsi="Arial"/>
          <w:b/>
          <w:i/>
          <w:color w:val="000000"/>
          <w:sz w:val="18"/>
        </w:rPr>
        <w:t>A. ASYMMETRIC CLASS SOURCING, AND WHAT IT DOES TO A LABEL</w:t>
      </w:r>
    </w:p>
    <w:p>
      <w:pPr>
        <w:spacing w:after="0" w:before="0" w:line="240" w:lineRule="exact"/>
        <w:ind w:firstLine="202"/>
        <w:jc w:val="both"/>
      </w:pPr>
      <w:r>
        <w:rPr>
          <w:rFonts w:ascii="Times New Roman" w:hAnsi="Times New Roman"/>
          <w:sz w:val="20"/>
        </w:rPr>
        <w:t xml:space="preserve">That condition is not peculiar to pharmaceuticals. In any two-class image dataset asking </w:t>
      </w:r>
      <w:r>
        <w:rPr>
          <w:rFonts w:ascii="Times New Roman" w:hAnsi="Times New Roman"/>
          <w:i/>
          <w:sz w:val="20"/>
        </w:rPr>
        <w:t>is this genuine?</w:t>
      </w:r>
      <w:r>
        <w:rPr>
          <w:rFonts w:ascii="Times New Roman" w:hAnsi="Times New Roman"/>
          <w:sz w:val="20"/>
        </w:rPr>
        <w:t xml:space="preserve">, authentic examples are abundant while the other class is scarce almost by definition: verified counterfeit stock is hard to obtain for research and often restricted, and forged documents are ordinarily held as evidence. A researcher needing a negative class therefore obtains it </w:t>
      </w:r>
      <w:r>
        <w:rPr>
          <w:rFonts w:ascii="Times New Roman" w:hAnsi="Times New Roman"/>
          <w:i/>
          <w:sz w:val="20"/>
        </w:rPr>
        <w:t>by some other means than the one that produced the positive class</w:t>
      </w:r>
      <w:r>
        <w:rPr>
          <w:rFonts w:ascii="Times New Roman" w:hAnsi="Times New Roman"/>
          <w:sz w:val="20"/>
        </w:rPr>
        <w:t>: screen-capturing regulator bulletins, scraping a different corpus, editing authentic images, or generating examples with a model.</w:t>
      </w:r>
    </w:p>
    <w:p>
      <w:pPr>
        <w:spacing w:after="0" w:before="0" w:line="240" w:lineRule="exact"/>
        <w:ind w:firstLine="202"/>
        <w:jc w:val="both"/>
      </w:pPr>
      <w:r>
        <w:rPr>
          <w:rFonts w:ascii="Times New Roman" w:hAnsi="Times New Roman"/>
          <w:sz w:val="20"/>
        </w:rPr>
        <w:t xml:space="preserve">Each such substitution can introduce a systematic difference between the classes unrelated to the property being labeled, because acquisition method influences file format, encoded size, resolution, noise floor, compression signature, color rendering and often backdrop. We call this </w:t>
      </w:r>
      <w:r>
        <w:rPr>
          <w:rFonts w:ascii="Times New Roman" w:hAnsi="Times New Roman"/>
          <w:b/>
          <w:sz w:val="20"/>
        </w:rPr>
        <w:t>class-conditional provenance confounding</w:t>
      </w:r>
      <w:r>
        <w:rPr>
          <w:rFonts w:ascii="Times New Roman" w:hAnsi="Times New Roman"/>
          <w:sz w:val="20"/>
        </w:rPr>
        <w:t>, and identify asymmetric class availability as a mechanism by which it can arise, one predictable from how a dataset was assembled rather than an accident of any one collection.</w:t>
      </w:r>
    </w:p>
    <w:p>
      <w:pPr>
        <w:spacing w:after="0" w:before="0" w:line="240" w:lineRule="exact"/>
        <w:ind w:firstLine="202"/>
        <w:jc w:val="both"/>
      </w:pPr>
      <w:r>
        <w:rPr>
          <w:rFonts w:ascii="Times New Roman" w:hAnsi="Times New Roman"/>
          <w:sz w:val="20"/>
        </w:rPr>
        <w:t xml:space="preserve">Let </w:t>
      </w:r>
      <w:r>
        <w:rPr>
          <w:rFonts w:ascii="Times New Roman" w:hAnsi="Times New Roman"/>
          <w:i/>
          <w:sz w:val="20"/>
        </w:rPr>
        <w:t>Y</w:t>
      </w:r>
      <w:r>
        <w:rPr>
          <w:rFonts w:ascii="Times New Roman" w:hAnsi="Times New Roman"/>
          <w:sz w:val="20"/>
        </w:rPr>
        <w:t xml:space="preserve"> be the label and </w:t>
      </w:r>
      <w:r>
        <w:rPr>
          <w:rFonts w:ascii="Times New Roman" w:hAnsi="Times New Roman"/>
          <w:i/>
          <w:sz w:val="20"/>
        </w:rPr>
        <w:t>X</w:t>
      </w:r>
      <w:r>
        <w:rPr>
          <w:rFonts w:ascii="Times New Roman" w:hAnsi="Times New Roman"/>
          <w:sz w:val="20"/>
        </w:rPr>
        <w:t xml:space="preserve"> the image content on which a correct decision would rest. Write </w:t>
      </w:r>
      <w:r>
        <w:rPr>
          <w:rFonts w:ascii="Times New Roman" w:hAnsi="Times New Roman"/>
          <w:i/>
          <w:sz w:val="20"/>
        </w:rPr>
        <w:t>A</w:t>
      </w:r>
      <w:r>
        <w:rPr>
          <w:rFonts w:ascii="Times New Roman" w:hAnsi="Times New Roman"/>
          <w:sz w:val="20"/>
        </w:rPr>
        <w:t xml:space="preserve"> for the acquisition variables a file carries, divided into two kinds, because the division governs how an audit score is read:</w:t>
      </w:r>
    </w:p>
    <w:p>
      <w:pPr>
        <w:pStyle w:val="ListBullet"/>
        <w:spacing w:after="40" w:line="240" w:lineRule="exact"/>
      </w:pPr>
      <w:r>
        <w:rPr>
          <w:rFonts w:ascii="Times New Roman" w:hAnsi="Times New Roman"/>
          <w:i/>
          <w:sz w:val="20"/>
        </w:rPr>
        <w:t>A_(pure)</w:t>
      </w:r>
      <w:r>
        <w:rPr>
          <w:rFonts w:ascii="Times New Roman" w:hAnsi="Times New Roman"/>
          <w:sz w:val="20"/>
        </w:rPr>
        <w:t>, attributes fixed by how the file was produced and stored, which the depicted object cannot influence: container format, encoder and its settings, filename pattern, embedded capture timestamps.</w:t>
      </w:r>
    </w:p>
    <w:p>
      <w:pPr>
        <w:pStyle w:val="ListBullet"/>
        <w:spacing w:after="40" w:line="240" w:lineRule="exact"/>
      </w:pPr>
      <w:r>
        <w:rPr>
          <w:rFonts w:ascii="Times New Roman" w:hAnsi="Times New Roman"/>
          <w:i/>
          <w:sz w:val="20"/>
        </w:rPr>
        <w:t>A_(mix)</w:t>
      </w:r>
      <w:r>
        <w:rPr>
          <w:rFonts w:ascii="Times New Roman" w:hAnsi="Times New Roman"/>
          <w:sz w:val="20"/>
        </w:rPr>
        <w:t>, attributes jointly determined by acquisition and by content: encoded size, stored dimensions, aspect ratio, and pixel statistics such as mean brightness.</w:t>
      </w:r>
    </w:p>
    <w:p>
      <w:pPr>
        <w:spacing w:after="0" w:before="0" w:line="240" w:lineRule="exact"/>
        <w:ind w:firstLine="202"/>
        <w:jc w:val="both"/>
      </w:pPr>
      <w:r>
        <w:rPr>
          <w:rFonts w:ascii="Times New Roman" w:hAnsi="Times New Roman"/>
          <w:sz w:val="20"/>
        </w:rPr>
        <w:t xml:space="preserve">The difficulty is not that </w:t>
      </w:r>
      <w:r>
        <w:rPr>
          <w:rFonts w:ascii="Times New Roman" w:hAnsi="Times New Roman"/>
          <w:i/>
          <w:sz w:val="20"/>
        </w:rPr>
        <w:t>A</w:t>
      </w:r>
      <w:r>
        <w:rPr>
          <w:rFonts w:ascii="Times New Roman" w:hAnsi="Times New Roman"/>
          <w:sz w:val="20"/>
        </w:rPr>
        <w:t xml:space="preserve"> exists but that the assembly procedure makes it informative about the label,</w:t>
      </w:r>
    </w:p>
    <w:p>
      <w:pPr>
        <w:spacing w:before="80" w:after="80"/>
        <w:jc w:val="center"/>
      </w:pPr>
      <w:r>
        <w:rPr>
          <w:rFonts w:ascii="Times New Roman" w:hAnsi="Times New Roman"/>
          <w:i/>
          <w:sz w:val="20"/>
        </w:rPr>
        <w:t>I(Y; A) &gt; 0</w:t>
      </w:r>
    </w:p>
    <w:p>
      <w:pPr>
        <w:spacing w:after="0" w:before="0" w:line="240" w:lineRule="exact"/>
        <w:ind w:firstLine="202"/>
        <w:jc w:val="both"/>
      </w:pPr>
      <w:r>
        <w:rPr>
          <w:rFonts w:ascii="Times New Roman" w:hAnsi="Times New Roman"/>
          <w:sz w:val="20"/>
        </w:rPr>
        <w:t>The extreme case, and the one this dataset presents, is</w:t>
      </w:r>
    </w:p>
    <w:p>
      <w:pPr>
        <w:spacing w:before="80" w:after="80"/>
        <w:jc w:val="center"/>
      </w:pPr>
      <w:r>
        <w:rPr>
          <w:rFonts w:ascii="Times New Roman" w:hAnsi="Times New Roman"/>
          <w:i/>
          <w:sz w:val="20"/>
        </w:rPr>
        <w:t>H(Y  |  A_(pure)) = 0</w:t>
      </w:r>
    </w:p>
    <w:p>
      <w:pPr>
        <w:spacing w:after="0" w:before="0" w:line="240" w:lineRule="exact"/>
        <w:ind w:firstLine="202"/>
        <w:jc w:val="both"/>
      </w:pPr>
      <w:r>
        <w:rPr>
          <w:rFonts w:ascii="Times New Roman" w:hAnsi="Times New Roman"/>
          <w:sz w:val="20"/>
        </w:rPr>
        <w:t xml:space="preserve">— the label a deterministic function of variables that carry no information about the object at all. Here container format alone leaves no residual entropy: every counterfeit-labeled file is a PNG and every authentic-labeled file a JPEG, across all 510 images. A </w:t>
      </w:r>
      <w:r>
        <w:rPr>
          <w:rFonts w:ascii="Times New Roman" w:hAnsi="Times New Roman"/>
          <w:b/>
          <w:sz w:val="20"/>
        </w:rPr>
        <w:t>provenance audit</w:t>
      </w:r>
      <w:r>
        <w:rPr>
          <w:rFonts w:ascii="Times New Roman" w:hAnsi="Times New Roman"/>
          <w:sz w:val="20"/>
        </w:rPr>
        <w:t xml:space="preserve"> measures how close a dataset sits to that extreme by fitting a classifier to </w:t>
      </w:r>
      <w:r>
        <w:rPr>
          <w:rFonts w:ascii="Times New Roman" w:hAnsi="Times New Roman"/>
          <w:i/>
          <w:sz w:val="20"/>
        </w:rPr>
        <w:t>A</w:t>
      </w:r>
      <w:r>
        <w:rPr>
          <w:rFonts w:ascii="Times New Roman" w:hAnsi="Times New Roman"/>
          <w:sz w:val="20"/>
        </w:rPr>
        <w:t xml:space="preserve"> alone and reporting its held-out accuracy, which is, up to sampling error, a lower bound on how well acquisition can predict the label. A high score on </w:t>
      </w:r>
      <w:r>
        <w:rPr>
          <w:rFonts w:ascii="Times New Roman" w:hAnsi="Times New Roman"/>
          <w:i/>
          <w:sz w:val="20"/>
        </w:rPr>
        <w:t>A_(pure)</w:t>
      </w:r>
      <w:r>
        <w:rPr>
          <w:rFonts w:ascii="Times New Roman" w:hAnsi="Times New Roman"/>
          <w:sz w:val="20"/>
        </w:rPr>
        <w:t xml:space="preserve"> is close to decisive, because storage format is never a property of the photographed object. A high score on </w:t>
      </w:r>
      <w:r>
        <w:rPr>
          <w:rFonts w:ascii="Times New Roman" w:hAnsi="Times New Roman"/>
          <w:i/>
          <w:sz w:val="20"/>
        </w:rPr>
        <w:t>A_(mix)</w:t>
      </w:r>
      <w:r>
        <w:rPr>
          <w:rFonts w:ascii="Times New Roman" w:hAnsi="Times New Roman"/>
          <w:sz w:val="20"/>
        </w:rPr>
        <w:t xml:space="preserve"> is a reason to investigate, since the separation it detects may belong to the objects rather than to how they were acquired.</w:t>
      </w:r>
    </w:p>
    <w:p>
      <w:pPr>
        <w:sectPr>
          <w:type w:val="continuous"/>
          <w:pgSz w:w="11520" w:h="15659"/>
          <w:pgMar w:top="1080" w:right="728" w:bottom="1134" w:left="728" w:header="720" w:footer="720" w:gutter="0"/>
          <w:docGrid w:linePitch="360"/>
          <w:cols w:num="2" w:equalWidth="1" w:space="394" w:sep="0"/>
        </w:sectPr>
      </w:pPr>
    </w:p>
    <w:p>
      <w:pPr>
        <w:keepNext/>
        <w:spacing w:before="120" w:after="40" w:line="240" w:lineRule="auto"/>
        <w:jc w:val="center"/>
      </w:pPr>
      <w:r>
        <w:drawing>
          <wp:inline xmlns:a="http://schemas.openxmlformats.org/drawingml/2006/main" xmlns:pic="http://schemas.openxmlformats.org/drawingml/2006/picture">
            <wp:extent cx="6120000" cy="3198351"/>
            <wp:docPr id="1" name="Picture 1"/>
            <wp:cNvGraphicFramePr>
              <a:graphicFrameLocks noChangeAspect="1"/>
            </wp:cNvGraphicFramePr>
            <a:graphic>
              <a:graphicData uri="http://schemas.openxmlformats.org/drawingml/2006/picture">
                <pic:pic>
                  <pic:nvPicPr>
                    <pic:cNvPr id="0" name="fig15_mechanism.png"/>
                    <pic:cNvPicPr/>
                  </pic:nvPicPr>
                  <pic:blipFill>
                    <a:blip r:embed="rId10"/>
                    <a:stretch>
                      <a:fillRect/>
                    </a:stretch>
                  </pic:blipFill>
                  <pic:spPr>
                    <a:xfrm>
                      <a:off x="0" y="0"/>
                      <a:ext cx="6120000" cy="3198351"/>
                    </a:xfrm>
                    <a:prstGeom prst="rect"/>
                  </pic:spPr>
                </pic:pic>
              </a:graphicData>
            </a:graphic>
          </wp:inline>
        </w:drawing>
      </w:r>
    </w:p>
    <w:p>
      <w:pPr>
        <w:spacing w:before="80" w:after="160" w:line="168" w:lineRule="exact"/>
        <w:jc w:val="left"/>
      </w:pPr>
      <w:r>
        <w:rPr>
          <w:rFonts w:ascii="Arial" w:hAnsi="Arial"/>
          <w:b/>
          <w:color w:val="00548F"/>
          <w:sz w:val="14"/>
        </w:rPr>
        <w:t xml:space="preserve">FIGURE 1. </w:t>
      </w:r>
      <w:r>
        <w:rPr>
          <w:rFonts w:ascii="Arial" w:hAnsi="Arial"/>
          <w:color w:val="000000"/>
          <w:sz w:val="14"/>
        </w:rPr>
        <w:t>The mechanism, and where it is detectable. The boxes are general and carry no numbers; the gray line beneath each is this paper's measurement of that step on the case-study dataset. The audit of Section IV-A reads the third box, which is reachable from a file listing before any model exists.</w:t>
      </w: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condition is damaging because it is </w:t>
      </w:r>
      <w:r>
        <w:rPr>
          <w:rFonts w:ascii="Times New Roman" w:hAnsi="Times New Roman"/>
          <w:b/>
          <w:sz w:val="20"/>
        </w:rPr>
        <w:t>the easiest thing in the data to learn</w:t>
      </w:r>
      <w:r>
        <w:rPr>
          <w:rFonts w:ascii="Times New Roman" w:hAnsi="Times New Roman"/>
          <w:sz w:val="20"/>
        </w:rPr>
        <w:t xml:space="preserve">, low-level global statistics being easier to extract than the semantics of a printed carton, and a shortcut-seeking optimizer [6] finds them first. It is </w:t>
      </w:r>
      <w:r>
        <w:rPr>
          <w:rFonts w:ascii="Times New Roman" w:hAnsi="Times New Roman"/>
          <w:b/>
          <w:sz w:val="20"/>
        </w:rPr>
        <w:t>invisible in-distribution</w:t>
      </w:r>
      <w:r>
        <w:rPr>
          <w:rFonts w:ascii="Times New Roman" w:hAnsi="Times New Roman"/>
          <w:sz w:val="20"/>
        </w:rPr>
        <w:t xml:space="preserve">, because a held-out partition inherits it in the same proportion. And it is </w:t>
      </w:r>
      <w:r>
        <w:rPr>
          <w:rFonts w:ascii="Times New Roman" w:hAnsi="Times New Roman"/>
          <w:b/>
          <w:sz w:val="20"/>
        </w:rPr>
        <w:t>silent in the reporting record</w:t>
      </w:r>
      <w:r>
        <w:rPr>
          <w:rFonts w:ascii="Times New Roman" w:hAnsi="Times New Roman"/>
          <w:sz w:val="20"/>
        </w:rPr>
        <w:t>, since acquisition method is rarely documented.</w:t>
      </w:r>
    </w:p>
    <w:p>
      <w:pPr>
        <w:spacing w:after="0" w:before="0" w:line="240" w:lineRule="exact"/>
        <w:ind w:firstLine="202"/>
        <w:jc w:val="both"/>
      </w:pPr>
      <w:r>
        <w:rPr>
          <w:rFonts w:ascii="Times New Roman" w:hAnsi="Times New Roman"/>
          <w:sz w:val="20"/>
        </w:rPr>
        <w:t>The condition therefore has a nameable population at risk, and it is not one collection. Any binary task asking whether an artifact is genuine faces the same scarcity: counterfeit consumer goods, generated media, and forensic document and signature forgery all pair an abundant authentic class with a scarce inauthentic one that must be manufactured, seized or harvested separately. The case study is a symptom of how such datasets are assembled rather than one defective archive.</w:t>
      </w:r>
    </w:p>
    <w:p>
      <w:pPr>
        <w:spacing w:after="0" w:before="0" w:line="240" w:lineRule="exact"/>
        <w:ind w:firstLine="202"/>
        <w:jc w:val="both"/>
      </w:pPr>
      <w:r>
        <w:rPr>
          <w:rFonts w:ascii="Times New Roman" w:hAnsi="Times New Roman"/>
          <w:b/>
          <w:sz w:val="20"/>
        </w:rPr>
        <w:t>Two independent lines of evidence support reading it that way.</w:t>
      </w:r>
      <w:r>
        <w:rPr>
          <w:rFonts w:ascii="Times New Roman" w:hAnsi="Times New Roman"/>
          <w:sz w:val="20"/>
        </w:rPr>
        <w:t xml:space="preserve"> Running the audit of Section III-E on seven public archives across four application areas, we find the same total confound — container format alone reproducing the label — arising in a </w:t>
      </w:r>
      <w:r>
        <w:rPr>
          <w:rFonts w:ascii="Times New Roman" w:hAnsi="Times New Roman"/>
          <w:b/>
          <w:sz w:val="20"/>
        </w:rPr>
        <w:t>generated-image</w:t>
      </w:r>
      <w:r>
        <w:rPr>
          <w:rFonts w:ascii="Times New Roman" w:hAnsi="Times New Roman"/>
          <w:sz w:val="20"/>
        </w:rPr>
        <w:t xml:space="preserve"> dataset built by different people for a different task, while a signature corpus whose two classes were written on one paper and digitized by one procedure scores at chance on the same axis (Table 3). Independently, Grommelt </w:t>
      </w:r>
      <w:r>
        <w:rPr>
          <w:rFonts w:ascii="Times New Roman" w:hAnsi="Times New Roman"/>
          <w:i/>
          <w:sz w:val="20"/>
        </w:rPr>
        <w:t>et al.</w:t>
      </w:r>
      <w:r>
        <w:rPr>
          <w:rFonts w:ascii="Times New Roman" w:hAnsi="Times New Roman"/>
          <w:sz w:val="20"/>
        </w:rPr>
        <w:t xml:space="preserve"> [30] report the mechanism in generated-image detection from the other direction: real images are harvested as lossy JPEGs at modest resolution while generated images are written as lossless PNGs at native size, which on GenImage makes format, compression and size predictive of the label, partly reduces detectors to JPEG detectors, and shifts cross-generator performance by more than 11 points once those factors are equalized.</w:t>
      </w:r>
    </w:p>
    <w:p>
      <w:pPr>
        <w:spacing w:after="0" w:before="0" w:line="240" w:lineRule="exact"/>
        <w:ind w:firstLine="202"/>
        <w:jc w:val="both"/>
      </w:pPr>
      <w:r>
        <w:rPr>
          <w:rFonts w:ascii="Times New Roman" w:hAnsi="Times New Roman"/>
          <w:sz w:val="20"/>
        </w:rPr>
        <w:t xml:space="preserve">We separate three levels of evidence and hold to them throughout. </w:t>
      </w:r>
      <w:r>
        <w:rPr>
          <w:rFonts w:ascii="Times New Roman" w:hAnsi="Times New Roman"/>
          <w:b/>
          <w:sz w:val="20"/>
        </w:rPr>
        <w:t>Demonstrated</w:t>
      </w:r>
      <w:r>
        <w:rPr>
          <w:rFonts w:ascii="Times New Roman" w:hAnsi="Times New Roman"/>
          <w:sz w:val="20"/>
        </w:rPr>
        <w:t xml:space="preserve">: the case-study dataset is completely provenance-confounded, container format reproducing the label on all 510 images (Section IV-A). </w:t>
      </w:r>
      <w:r>
        <w:rPr>
          <w:rFonts w:ascii="Times New Roman" w:hAnsi="Times New Roman"/>
          <w:b/>
          <w:sz w:val="20"/>
        </w:rPr>
        <w:t>Supported</w:t>
      </w:r>
      <w:r>
        <w:rPr>
          <w:rFonts w:ascii="Times New Roman" w:hAnsi="Times New Roman"/>
          <w:sz w:val="20"/>
        </w:rPr>
        <w:t xml:space="preserve">: the mechanism arises outside this dataset and outside this application area, on the two independent lines just given. </w:t>
      </w:r>
      <w:r>
        <w:rPr>
          <w:rFonts w:ascii="Times New Roman" w:hAnsi="Times New Roman"/>
          <w:b/>
          <w:sz w:val="20"/>
        </w:rPr>
        <w:t>Not established</w:t>
      </w:r>
      <w:r>
        <w:rPr>
          <w:rFonts w:ascii="Times New Roman" w:hAnsi="Times New Roman"/>
          <w:sz w:val="20"/>
        </w:rPr>
        <w:t>: how frequently it occurs. The seven archives were chosen for accessibility and have no sampling frame, so they demonstrate that the audit discriminates across domains and cannot estimate a rate; that would require auditing a representative sample, which this paper does not attempt. Table 8 records every claim against these three levels, and Section V-B states what would count against the mechanism.</w:t>
      </w:r>
    </w:p>
    <w:p>
      <w:pPr>
        <w:keepNext/>
        <w:spacing w:before="160" w:after="60" w:line="240" w:lineRule="exact"/>
        <w:jc w:val="left"/>
      </w:pPr>
      <w:r>
        <w:rPr>
          <w:rFonts w:ascii="Arial" w:hAnsi="Arial"/>
          <w:b/>
          <w:i/>
          <w:color w:val="000000"/>
          <w:sz w:val="18"/>
        </w:rPr>
        <w:t>B. CONTRIBUTION</w:t>
      </w:r>
    </w:p>
    <w:p>
      <w:pPr>
        <w:spacing w:after="0" w:before="0" w:line="240" w:lineRule="exact"/>
        <w:ind w:firstLine="202"/>
        <w:jc w:val="both"/>
      </w:pPr>
      <w:r>
        <w:rPr>
          <w:rFonts w:ascii="Times New Roman" w:hAnsi="Times New Roman"/>
          <w:sz w:val="20"/>
        </w:rPr>
        <w:t xml:space="preserve">The study began as a methodological exercise. The Kaggle </w:t>
      </w:r>
      <w:r>
        <w:rPr>
          <w:rFonts w:ascii="Times New Roman" w:hAnsi="Times New Roman"/>
          <w:i/>
          <w:sz w:val="20"/>
        </w:rPr>
        <w:t>Fake vs Real Medicine</w:t>
      </w:r>
      <w:r>
        <w:rPr>
          <w:rFonts w:ascii="Times New Roman" w:hAnsi="Times New Roman"/>
          <w:sz w:val="20"/>
        </w:rPr>
        <w:t xml:space="preserve"> set is small (661 images), publicly downloadable, and typical of what this area works with: no data card, no stated acquisition protocol. Under a protocol fixed in advance we set out to establish how much of a reported accuracy survives methodological correction: identical models under a naive and a near-duplicate-grouped split, four model families from a 97-parameter linear baseline to a 4-million-parameter pretrained backbone, and an external source verified independent rather than assumed so.</w:t>
      </w:r>
    </w:p>
    <w:p>
      <w:pPr>
        <w:spacing w:after="0" w:before="0" w:line="240" w:lineRule="exact"/>
        <w:ind w:firstLine="202"/>
        <w:jc w:val="both"/>
      </w:pPr>
      <w:r>
        <w:rPr>
          <w:rFonts w:ascii="Times New Roman" w:hAnsi="Times New Roman"/>
          <w:sz w:val="20"/>
        </w:rPr>
        <w:t xml:space="preserve">The result was not the one the design anticipated. Correcting the split changed in-distribution accuracy by at most 6.8 points; external validation changed the picture. On 150 authentic photographs from an independent source, two of four models classified </w:t>
      </w:r>
      <w:r>
        <w:rPr>
          <w:rFonts w:ascii="Times New Roman" w:hAnsi="Times New Roman"/>
          <w:i/>
          <w:sz w:val="20"/>
        </w:rPr>
        <w:t>zero</w:t>
      </w:r>
      <w:r>
        <w:rPr>
          <w:rFonts w:ascii="Times New Roman" w:hAnsi="Times New Roman"/>
          <w:sz w:val="20"/>
        </w:rPr>
        <w:t xml:space="preserve"> correctly and the strongest in-distribution model nine. That model reaches 97.4% authentic-class accuracy on its own internal test partition; the two figures come from separate evaluations on different images, not from a paired measurement. Looking for an explanation led to the dataset itself: its two classes were not merely photographed differently but </w:t>
      </w:r>
      <w:r>
        <w:rPr>
          <w:rFonts w:ascii="Times New Roman" w:hAnsi="Times New Roman"/>
          <w:i/>
          <w:sz w:val="20"/>
        </w:rPr>
        <w:t>acquired</w:t>
      </w:r>
      <w:r>
        <w:rPr>
          <w:rFonts w:ascii="Times New Roman" w:hAnsi="Times New Roman"/>
          <w:sz w:val="20"/>
        </w:rPr>
        <w:t xml:space="preserve"> differently, every counterfeit-labeled file being a screen capture (</w:t>
      </w:r>
      <w:r>
        <w:rPr>
          <w:rFonts w:ascii="Consolas" w:hAnsi="Consolas"/>
          <w:sz w:val="18"/>
        </w:rPr>
        <w:t>Screenshot*.png</w:t>
      </w:r>
      <w:r>
        <w:rPr>
          <w:rFonts w:ascii="Times New Roman" w:hAnsi="Times New Roman"/>
          <w:sz w:val="20"/>
        </w:rPr>
        <w:t>) and every authentic-labeled file a JPEG photograph (</w:t>
      </w:r>
      <w:r>
        <w:rPr>
          <w:rFonts w:ascii="Consolas" w:hAnsi="Consolas"/>
          <w:sz w:val="18"/>
        </w:rPr>
        <w:t>images*.jpg</w:t>
      </w:r>
      <w:r>
        <w:rPr>
          <w:rFonts w:ascii="Times New Roman" w:hAnsi="Times New Roman"/>
          <w:sz w:val="20"/>
        </w:rPr>
        <w:t>), correlating with the label exactly 1.0 across the pool. Any model, including a 97-parameter linear classifier on a color histogram, has unobstructed access to it.</w:t>
      </w:r>
    </w:p>
    <w:p>
      <w:pPr>
        <w:spacing w:after="0" w:before="0" w:line="240" w:lineRule="exact"/>
        <w:ind w:firstLine="202"/>
        <w:jc w:val="both"/>
      </w:pPr>
      <w:r>
        <w:rPr>
          <w:rFonts w:ascii="Times New Roman" w:hAnsi="Times New Roman"/>
          <w:sz w:val="20"/>
        </w:rPr>
        <w:t>There is one contribution and three findings, and they are not of equal weight.</w:t>
      </w:r>
    </w:p>
    <w:p>
      <w:pPr>
        <w:spacing w:after="0" w:before="0" w:line="240" w:lineRule="exact"/>
        <w:ind w:firstLine="202"/>
        <w:jc w:val="both"/>
      </w:pPr>
      <w:r>
        <w:rPr>
          <w:rFonts w:ascii="Times New Roman" w:hAnsi="Times New Roman"/>
          <w:b/>
          <w:sz w:val="20"/>
        </w:rPr>
        <w:t>Primary contribution: a pre-training provenance audit</w:t>
      </w:r>
      <w:r>
        <w:rPr>
          <w:rFonts w:ascii="Times New Roman" w:hAnsi="Times New Roman"/>
          <w:sz w:val="20"/>
        </w:rPr>
        <w:t xml:space="preserve">, stated as a procedure in Section III-E. It needs no external data, no annotation, no training run and no pixel decoding, and returns </w:t>
      </w:r>
      <w:r>
        <w:rPr>
          <w:rFonts w:ascii="Times New Roman" w:hAnsi="Times New Roman"/>
          <w:b/>
          <w:sz w:val="20"/>
        </w:rPr>
        <w:t>1.000</w:t>
      </w:r>
      <w:r>
        <w:rPr>
          <w:rFonts w:ascii="Times New Roman" w:hAnsi="Times New Roman"/>
          <w:sz w:val="20"/>
        </w:rPr>
        <w:t xml:space="preserve"> here from header fields alone. A high score establishes that a provenance shortcut is </w:t>
      </w:r>
      <w:r>
        <w:rPr>
          <w:rFonts w:ascii="Times New Roman" w:hAnsi="Times New Roman"/>
          <w:i/>
          <w:sz w:val="20"/>
        </w:rPr>
        <w:t>available</w:t>
      </w:r>
      <w:r>
        <w:rPr>
          <w:rFonts w:ascii="Times New Roman" w:hAnsi="Times New Roman"/>
          <w:sz w:val="20"/>
        </w:rPr>
        <w:t xml:space="preserve">, not that a given pixel classifier took it. We also report where it fails: on a second published dataset it returns only 0.717 although that dataset is confounded at least as severely, because its publisher had normalized every image before release, so that a tidied dataset is </w:t>
      </w:r>
      <w:r>
        <w:rPr>
          <w:rFonts w:ascii="Times New Roman" w:hAnsi="Times New Roman"/>
          <w:i/>
          <w:sz w:val="20"/>
        </w:rPr>
        <w:t>harder</w:t>
      </w:r>
      <w:r>
        <w:rPr>
          <w:rFonts w:ascii="Times New Roman" w:hAnsi="Times New Roman"/>
          <w:sz w:val="20"/>
        </w:rPr>
        <w:t xml:space="preserve"> to audit than a raw one; and one archive exposes a false-positive mode on the mixed axes (Table 3).</w:t>
      </w:r>
    </w:p>
    <w:p>
      <w:pPr>
        <w:spacing w:after="0" w:before="0" w:line="240" w:lineRule="exact"/>
        <w:ind w:firstLine="202"/>
        <w:jc w:val="both"/>
      </w:pPr>
      <w:r>
        <w:rPr>
          <w:rFonts w:ascii="Times New Roman" w:hAnsi="Times New Roman"/>
          <w:b/>
          <w:sz w:val="20"/>
        </w:rPr>
        <w:t>Primary empirical finding: the case-study dataset carries a deterministic class–acquisition confound, and it invalidates in-distribution performance as evidence of authentication ability.</w:t>
      </w:r>
      <w:r>
        <w:rPr>
          <w:rFonts w:ascii="Times New Roman" w:hAnsi="Times New Roman"/>
          <w:sz w:val="20"/>
        </w:rPr>
        <w:t xml:space="preserve"> We report a confound the dataset's listing does not disclose and that no study located by our search reports, together with a degenerate shipped split whose training folder is a superset of both others (Sections III-A, IV-A). No accuracy measured on that pool separates packaging recognition from provenance recognition.</w:t>
      </w:r>
    </w:p>
    <w:p>
      <w:pPr>
        <w:spacing w:after="0" w:before="0" w:line="240" w:lineRule="exact"/>
        <w:ind w:firstLine="202"/>
        <w:jc w:val="both"/>
      </w:pPr>
      <w:r>
        <w:rPr>
          <w:rFonts w:ascii="Times New Roman" w:hAnsi="Times New Roman"/>
          <w:b/>
          <w:sz w:val="20"/>
        </w:rPr>
        <w:t>Secondary finding: external testing exposes the failure; the leakage correction this literature emphasizes does not.</w:t>
      </w:r>
      <w:r>
        <w:rPr>
          <w:rFonts w:ascii="Times New Roman" w:hAnsi="Times New Roman"/>
          <w:sz w:val="20"/>
        </w:rPr>
        <w:t xml:space="preserve"> Re-partitioning the pool at the near-duplicate-cluster level moves accuracy by at most 6.8 points, which is a descriptive comparison of two split </w:t>
      </w:r>
      <w:r>
        <w:rPr>
          <w:rFonts w:ascii="Times New Roman" w:hAnsi="Times New Roman"/>
          <w:i/>
          <w:sz w:val="20"/>
        </w:rPr>
        <w:t>designs</w:t>
      </w:r>
      <w:r>
        <w:rPr>
          <w:rFonts w:ascii="Times New Roman" w:hAnsi="Times New Roman"/>
          <w:sz w:val="20"/>
        </w:rPr>
        <w:t xml:space="preserve"> differing in their test images as well as in their leakage, not an estimate of leakage itself; the controlled estimate holds the test set fixed and varies only whether near-duplicate mates are admitted, and moves accuracy by 0.3 points [−1.9, +2.4]. Both are small beside what external data shows. On an </w:t>
      </w:r>
      <w:r>
        <w:rPr>
          <w:rFonts w:ascii="Times New Roman" w:hAnsi="Times New Roman"/>
          <w:b/>
          <w:sz w:val="20"/>
        </w:rPr>
        <w:t>independent balanced set of 46 authentic against 46 counterfeit products</w:t>
      </w:r>
      <w:r>
        <w:rPr>
          <w:rFonts w:ascii="Times New Roman" w:hAnsi="Times New Roman"/>
          <w:sz w:val="20"/>
        </w:rPr>
        <w:t>, assembled from two unrelated archives, with container format, encoder, encoding settings and stored resolution standardized across the classes at ingestion, and scored once against frozen checkpoints, the four models return balanced accuracies of 0.478, 0.478, 0.543 and 0.652 — only the last excluding chance — and the 97-parameter baseline is exposed as a degenerate all-counterfeit classifier that an authentic-only evaluation could not have distinguished from a working one. Under a capture-condition shift the same models recover as little as 6.0% of plainly authentic photographs (Sections IV-B–IV-D).</w:t>
      </w:r>
    </w:p>
    <w:p>
      <w:pPr>
        <w:spacing w:after="0" w:before="0" w:line="240" w:lineRule="exact"/>
        <w:ind w:firstLine="202"/>
        <w:jc w:val="both"/>
      </w:pPr>
      <w:r>
        <w:rPr>
          <w:rFonts w:ascii="Times New Roman" w:hAnsi="Times New Roman"/>
          <w:b/>
          <w:sz w:val="20"/>
        </w:rPr>
        <w:t>Exploratory finding: removing the acquisition statistics the audit names does not remove every provenance shortcut.</w:t>
      </w:r>
      <w:r>
        <w:rPr>
          <w:rFonts w:ascii="Times New Roman" w:hAnsi="Times New Roman"/>
          <w:sz w:val="20"/>
        </w:rPr>
        <w:t xml:space="preserve"> A label-free normalization raises external authentic-class specificity from 6.0% to 81–86% for two of the three models it is applied to, the third's apparent gain lying inside seed variance. We decline to offer it for use. Region substitution shows that both corrected backbones then rely strongly on the outer region of the frame rather than on the center where the packaging sits, so the correction removes the confound the audit found and leaves the models depending on a signal consistent with acquisition-linked cues the audit does not test (Section IV-E). Provenance auditing is on this evidence better treated as an iterative dataset-quality check than as a one-time preprocessing step.</w:t>
      </w:r>
    </w:p>
    <w:p>
      <w:pPr>
        <w:spacing w:after="0" w:before="0" w:line="240" w:lineRule="exact"/>
        <w:ind w:firstLine="202"/>
        <w:jc w:val="both"/>
      </w:pPr>
      <w:r>
        <w:rPr>
          <w:rFonts w:ascii="Times New Roman" w:hAnsi="Times New Roman"/>
          <w:sz w:val="20"/>
        </w:rPr>
        <w:t>We propose no new architecture — no statistically significant difference was detected between a 97-parameter linear model and a 4-million-parameter pretrained network on this test partition. Everything offered for adoption is a check: fit your classifier to acquisition metadata before training it, evaluate on images you did not collect, and audit a correction as you would a dataset.</w:t>
      </w:r>
    </w:p>
    <w:p>
      <w:pPr>
        <w:keepNext/>
        <w:spacing w:before="200" w:after="60" w:line="240" w:lineRule="exact"/>
        <w:jc w:val="left"/>
      </w:pPr>
      <w:r>
        <w:rPr>
          <w:rFonts w:ascii="Arial" w:hAnsi="Arial"/>
          <w:b/>
          <w:i w:val="0"/>
          <w:color w:val="00548F"/>
          <w:sz w:val="18"/>
        </w:rPr>
        <w:t>II. RELATED WORK</w:t>
      </w:r>
    </w:p>
    <w:p>
      <w:pPr>
        <w:keepNext/>
        <w:spacing w:before="160" w:after="60" w:line="240" w:lineRule="exact"/>
        <w:jc w:val="left"/>
      </w:pPr>
      <w:r>
        <w:rPr>
          <w:rFonts w:ascii="Arial" w:hAnsi="Arial"/>
          <w:b/>
          <w:i/>
          <w:color w:val="000000"/>
          <w:sz w:val="18"/>
        </w:rPr>
        <w:t>A. PHARMACEUTICAL IMAGE AUTHENTICATION</w:t>
      </w:r>
    </w:p>
    <w:p>
      <w:pPr>
        <w:spacing w:after="0" w:before="0" w:line="240" w:lineRule="exact"/>
        <w:ind w:firstLine="202"/>
        <w:jc w:val="both"/>
      </w:pPr>
      <w:r>
        <w:rPr>
          <w:rFonts w:ascii="Times New Roman" w:hAnsi="Times New Roman"/>
          <w:sz w:val="20"/>
        </w:rPr>
        <w:t xml:space="preserve">Image classification has been applied to pharmaceutical products for both </w:t>
      </w:r>
      <w:r>
        <w:rPr>
          <w:rFonts w:ascii="Times New Roman" w:hAnsi="Times New Roman"/>
          <w:i/>
          <w:sz w:val="20"/>
        </w:rPr>
        <w:t>identification</w:t>
      </w:r>
      <w:r>
        <w:rPr>
          <w:rFonts w:ascii="Times New Roman" w:hAnsi="Times New Roman"/>
          <w:sz w:val="20"/>
        </w:rPr>
        <w:t xml:space="preserve"> (which drug is this?) and </w:t>
      </w:r>
      <w:r>
        <w:rPr>
          <w:rFonts w:ascii="Times New Roman" w:hAnsi="Times New Roman"/>
          <w:i/>
          <w:sz w:val="20"/>
        </w:rPr>
        <w:t>authentication</w:t>
      </w:r>
      <w:r>
        <w:rPr>
          <w:rFonts w:ascii="Times New Roman" w:hAnsi="Times New Roman"/>
          <w:sz w:val="20"/>
        </w:rPr>
        <w:t xml:space="preserve"> (is this drug genuine?). Ramos, Samonte and Manlises [3] proposed a convolutional neural network authentication system directly comparable in task framing to this work; adjacent identification work addresses look-alike medication errors across 250 blister-packaged drug types [4] and pill-image retrieval [5]. That literature establishes that packaging imagery carries usable signal.</w:t>
      </w:r>
    </w:p>
    <w:p>
      <w:pPr>
        <w:spacing w:after="0" w:before="0" w:line="240" w:lineRule="exact"/>
        <w:ind w:firstLine="202"/>
        <w:jc w:val="both"/>
      </w:pPr>
      <w:r>
        <w:rPr>
          <w:rFonts w:ascii="Times New Roman" w:hAnsi="Times New Roman"/>
          <w:sz w:val="20"/>
        </w:rPr>
        <w:t xml:space="preserve">Because this paper's contribution is a dataset audit, the datasets those results rest on are themselves prior work. Table S26 records what each study identified through our targeted literature search trained on, together with whether it reports any check that acquisition conditions are balanced across its two classes; we did not identify such a check in any of the five. The search combined the terms </w:t>
      </w:r>
      <w:r>
        <w:rPr>
          <w:rFonts w:ascii="Times New Roman" w:hAnsi="Times New Roman"/>
          <w:i/>
          <w:sz w:val="20"/>
        </w:rPr>
        <w:t>counterfeit</w:t>
      </w:r>
      <w:r>
        <w:rPr>
          <w:rFonts w:ascii="Times New Roman" w:hAnsi="Times New Roman"/>
          <w:sz w:val="20"/>
        </w:rPr>
        <w:t xml:space="preserve">, </w:t>
      </w:r>
      <w:r>
        <w:rPr>
          <w:rFonts w:ascii="Times New Roman" w:hAnsi="Times New Roman"/>
          <w:i/>
          <w:sz w:val="20"/>
        </w:rPr>
        <w:t>falsified</w:t>
      </w:r>
      <w:r>
        <w:rPr>
          <w:rFonts w:ascii="Times New Roman" w:hAnsi="Times New Roman"/>
          <w:sz w:val="20"/>
        </w:rPr>
        <w:t xml:space="preserve">, </w:t>
      </w:r>
      <w:r>
        <w:rPr>
          <w:rFonts w:ascii="Times New Roman" w:hAnsi="Times New Roman"/>
          <w:i/>
          <w:sz w:val="20"/>
        </w:rPr>
        <w:t>fake</w:t>
      </w:r>
      <w:r>
        <w:rPr>
          <w:rFonts w:ascii="Times New Roman" w:hAnsi="Times New Roman"/>
          <w:sz w:val="20"/>
        </w:rPr>
        <w:t xml:space="preserve"> and </w:t>
      </w:r>
      <w:r>
        <w:rPr>
          <w:rFonts w:ascii="Times New Roman" w:hAnsi="Times New Roman"/>
          <w:i/>
          <w:sz w:val="20"/>
        </w:rPr>
        <w:t>authentication</w:t>
      </w:r>
      <w:r>
        <w:rPr>
          <w:rFonts w:ascii="Times New Roman" w:hAnsi="Times New Roman"/>
          <w:sz w:val="20"/>
        </w:rPr>
        <w:t xml:space="preserve"> with </w:t>
      </w:r>
      <w:r>
        <w:rPr>
          <w:rFonts w:ascii="Times New Roman" w:hAnsi="Times New Roman"/>
          <w:i/>
          <w:sz w:val="20"/>
        </w:rPr>
        <w:t>medicine</w:t>
      </w:r>
      <w:r>
        <w:rPr>
          <w:rFonts w:ascii="Times New Roman" w:hAnsi="Times New Roman"/>
          <w:sz w:val="20"/>
        </w:rPr>
        <w:t xml:space="preserve">, </w:t>
      </w:r>
      <w:r>
        <w:rPr>
          <w:rFonts w:ascii="Times New Roman" w:hAnsi="Times New Roman"/>
          <w:i/>
          <w:sz w:val="20"/>
        </w:rPr>
        <w:t>drug</w:t>
      </w:r>
      <w:r>
        <w:rPr>
          <w:rFonts w:ascii="Times New Roman" w:hAnsi="Times New Roman"/>
          <w:sz w:val="20"/>
        </w:rPr>
        <w:t xml:space="preserve">, </w:t>
      </w:r>
      <w:r>
        <w:rPr>
          <w:rFonts w:ascii="Times New Roman" w:hAnsi="Times New Roman"/>
          <w:i/>
          <w:sz w:val="20"/>
        </w:rPr>
        <w:t>pharmaceutical</w:t>
      </w:r>
      <w:r>
        <w:rPr>
          <w:rFonts w:ascii="Times New Roman" w:hAnsi="Times New Roman"/>
          <w:sz w:val="20"/>
        </w:rPr>
        <w:t xml:space="preserve">, </w:t>
      </w:r>
      <w:r>
        <w:rPr>
          <w:rFonts w:ascii="Times New Roman" w:hAnsi="Times New Roman"/>
          <w:i/>
          <w:sz w:val="20"/>
        </w:rPr>
        <w:t>packaging</w:t>
      </w:r>
      <w:r>
        <w:rPr>
          <w:rFonts w:ascii="Times New Roman" w:hAnsi="Times New Roman"/>
          <w:sz w:val="20"/>
        </w:rPr>
        <w:t xml:space="preserve"> and </w:t>
      </w:r>
      <w:r>
        <w:rPr>
          <w:rFonts w:ascii="Times New Roman" w:hAnsi="Times New Roman"/>
          <w:i/>
          <w:sz w:val="20"/>
        </w:rPr>
        <w:t>blister</w:t>
      </w:r>
      <w:r>
        <w:rPr>
          <w:rFonts w:ascii="Times New Roman" w:hAnsi="Times New Roman"/>
          <w:sz w:val="20"/>
        </w:rPr>
        <w:t xml:space="preserve"> across Google Scholar, IEEE Xplore and Scopus, and followed citations forward and backward from each hit. This is a targeted search, not a systematic review: no protocol was registered, no screening was duplicated, and its negative findings mean "not found by this search" rather than "does not exist".</w:t>
      </w:r>
    </w:p>
    <w:p>
      <w:pPr>
        <w:spacing w:after="0" w:before="0" w:line="240" w:lineRule="exact"/>
        <w:ind w:firstLine="202"/>
        <w:jc w:val="both"/>
      </w:pPr>
      <w:r>
        <w:rPr>
          <w:rFonts w:ascii="Times New Roman" w:hAnsi="Times New Roman"/>
          <w:sz w:val="20"/>
        </w:rPr>
        <w:t>Two observations bear on the finding of Section IV-A. First, no two studies in Table S26 evaluate on the same images, and the Kaggle set audited here is not a community benchmark: as of 13 September 2026 its listing records 662 downloads, 3 public notebooks and no discussion, and our search located no peer-reviewed study using it. The claim is correspondingly narrow — not that a widely-shared benchmark is broken, but that a dataset assembled the way this sub-field routinely assembles them carries an acquisition confound its own users did not detect.</w:t>
      </w:r>
    </w:p>
    <w:p>
      <w:pPr>
        <w:spacing w:after="0" w:before="0" w:line="240" w:lineRule="exact"/>
        <w:ind w:firstLine="202"/>
        <w:jc w:val="both"/>
      </w:pPr>
      <w:r>
        <w:rPr>
          <w:rFonts w:ascii="Times New Roman" w:hAnsi="Times New Roman"/>
          <w:b/>
          <w:sz w:val="20"/>
        </w:rPr>
        <w:t>Second, the most common class-construction procedures make the confound likely.</w:t>
      </w:r>
      <w:r>
        <w:rPr>
          <w:rFonts w:ascii="Times New Roman" w:hAnsi="Times New Roman"/>
          <w:sz w:val="20"/>
        </w:rPr>
        <w:t xml:space="preserve"> In [26] the counterfeit class is produced by digitally editing authentic images and in [27] by a generative model, so both are by construction outputs of two different image pipelines, as here. Where the classes </w:t>
      </w:r>
      <w:r>
        <w:rPr>
          <w:rFonts w:ascii="Times New Roman" w:hAnsi="Times New Roman"/>
          <w:i/>
          <w:sz w:val="20"/>
        </w:rPr>
        <w:t>were</w:t>
      </w:r>
      <w:r>
        <w:rPr>
          <w:rFonts w:ascii="Times New Roman" w:hAnsi="Times New Roman"/>
          <w:sz w:val="20"/>
        </w:rPr>
        <w:t xml:space="preserve"> acquired under a common protocol — [3], on one Raspberry Pi rig — the reported accuracy is the lowest in Table S26 (88.75%). We note the direction and stop there, the studies differing in dataset, task framing, architecture and sample size. Outside pharmaceuticals, Garcia-Cotte </w:t>
      </w:r>
      <w:r>
        <w:rPr>
          <w:rFonts w:ascii="Times New Roman" w:hAnsi="Times New Roman"/>
          <w:i/>
          <w:sz w:val="20"/>
        </w:rPr>
        <w:t>et al.</w:t>
      </w:r>
      <w:r>
        <w:rPr>
          <w:rFonts w:ascii="Times New Roman" w:hAnsi="Times New Roman"/>
          <w:sz w:val="20"/>
        </w:rPr>
        <w:t xml:space="preserve"> [29] report counterfeit detection on branded garments captured "under natural, weakly controlled conditions", stating the acquisition regime as a property of the result — the reporting standard Section V-C argues should become routine here.</w:t>
      </w:r>
    </w:p>
    <w:p>
      <w:pPr>
        <w:keepNext/>
        <w:spacing w:before="160" w:after="60" w:line="240" w:lineRule="exact"/>
        <w:jc w:val="left"/>
      </w:pPr>
      <w:r>
        <w:rPr>
          <w:rFonts w:ascii="Arial" w:hAnsi="Arial"/>
          <w:b/>
          <w:i/>
          <w:color w:val="000000"/>
          <w:sz w:val="18"/>
        </w:rPr>
        <w:t>B. SHORTCUT LEARNING AND DATASET BIAS</w:t>
      </w:r>
    </w:p>
    <w:p>
      <w:pPr>
        <w:spacing w:after="0" w:before="0" w:line="240" w:lineRule="exact"/>
        <w:ind w:firstLine="202"/>
        <w:jc w:val="both"/>
      </w:pPr>
      <w:r>
        <w:rPr>
          <w:rFonts w:ascii="Times New Roman" w:hAnsi="Times New Roman"/>
          <w:sz w:val="20"/>
        </w:rPr>
        <w:t xml:space="preserve">Geirhos </w:t>
      </w:r>
      <w:r>
        <w:rPr>
          <w:rFonts w:ascii="Times New Roman" w:hAnsi="Times New Roman"/>
          <w:i/>
          <w:sz w:val="20"/>
        </w:rPr>
        <w:t>et al.</w:t>
      </w:r>
      <w:r>
        <w:rPr>
          <w:rFonts w:ascii="Times New Roman" w:hAnsi="Times New Roman"/>
          <w:sz w:val="20"/>
        </w:rPr>
        <w:t xml:space="preserve"> [6] formalized </w:t>
      </w:r>
      <w:r>
        <w:rPr>
          <w:rFonts w:ascii="Times New Roman" w:hAnsi="Times New Roman"/>
          <w:i/>
          <w:sz w:val="20"/>
        </w:rPr>
        <w:t>shortcut learning</w:t>
      </w:r>
      <w:r>
        <w:rPr>
          <w:rFonts w:ascii="Times New Roman" w:hAnsi="Times New Roman"/>
          <w:sz w:val="20"/>
        </w:rPr>
        <w:t xml:space="preserve">: networks adopt decision rules exploiting superficial, spuriously predictive correlations, scoring well in-distribution while failing wherever the shortcut is absent. The failure has a documented precedent in medical imaging. Zech </w:t>
      </w:r>
      <w:r>
        <w:rPr>
          <w:rFonts w:ascii="Times New Roman" w:hAnsi="Times New Roman"/>
          <w:i/>
          <w:sz w:val="20"/>
        </w:rPr>
        <w:t>et al.</w:t>
      </w:r>
      <w:r>
        <w:rPr>
          <w:rFonts w:ascii="Times New Roman" w:hAnsi="Times New Roman"/>
          <w:sz w:val="20"/>
        </w:rPr>
        <w:t xml:space="preserve"> [7] showed that pneumonia detectors trained on chest radiographs from three hospital systems could predict which system an image came from, and used that hospital-identity signal — itself correlated with disease prevalence — as a shortcut for the diagnostic label, degrading substantially on an unseen site. Later audits report the same for scanner-, site- and manufacturer-level signal [8], [9], and early COVID-19 radiograph classifiers were shown to rely on dataset-source confounds rather than radiographic signs [10]. DeGrave </w:t>
      </w:r>
      <w:r>
        <w:rPr>
          <w:rFonts w:ascii="Times New Roman" w:hAnsi="Times New Roman"/>
          <w:i/>
          <w:sz w:val="20"/>
        </w:rPr>
        <w:t>et al.</w:t>
      </w:r>
      <w:r>
        <w:rPr>
          <w:rFonts w:ascii="Times New Roman" w:hAnsi="Times New Roman"/>
          <w:sz w:val="20"/>
        </w:rPr>
        <w:t xml:space="preserve"> [31] put the case most sharply: applying explainable-AI methods to published COVID-19 radiograph detectors, they conclude the systems rely on confounding factors rather than pathology, and so "appear accurate, but fail when tested in new hospitals".</w:t>
      </w:r>
    </w:p>
    <w:p>
      <w:pPr>
        <w:keepNext/>
        <w:spacing w:before="160" w:after="60" w:line="240" w:lineRule="exact"/>
        <w:jc w:val="left"/>
      </w:pPr>
      <w:r>
        <w:rPr>
          <w:rFonts w:ascii="Arial" w:hAnsi="Arial"/>
          <w:b/>
          <w:i/>
          <w:color w:val="000000"/>
          <w:sz w:val="18"/>
        </w:rPr>
        <w:t>C. WHAT THIS PAPER ADDS</w:t>
      </w:r>
    </w:p>
    <w:p>
      <w:pPr>
        <w:spacing w:after="0" w:before="0" w:line="240" w:lineRule="exact"/>
        <w:ind w:firstLine="202"/>
        <w:jc w:val="both"/>
      </w:pPr>
      <w:r>
        <w:rPr>
          <w:rFonts w:ascii="Times New Roman" w:hAnsi="Times New Roman"/>
          <w:sz w:val="20"/>
        </w:rPr>
        <w:t xml:space="preserve">The contribution is not the discovery that models learn shortcuts, and it is worth separating from the terms nearest to it. </w:t>
      </w:r>
      <w:r>
        <w:rPr>
          <w:rFonts w:ascii="Times New Roman" w:hAnsi="Times New Roman"/>
          <w:i/>
          <w:sz w:val="20"/>
        </w:rPr>
        <w:t>Shortcut learning</w:t>
      </w:r>
      <w:r>
        <w:rPr>
          <w:rFonts w:ascii="Times New Roman" w:hAnsi="Times New Roman"/>
          <w:sz w:val="20"/>
        </w:rPr>
        <w:t xml:space="preserve"> [6] names what a model does. </w:t>
      </w:r>
      <w:r>
        <w:rPr>
          <w:rFonts w:ascii="Times New Roman" w:hAnsi="Times New Roman"/>
          <w:i/>
          <w:sz w:val="20"/>
        </w:rPr>
        <w:t>Dataset bias</w:t>
      </w:r>
      <w:r>
        <w:rPr>
          <w:rFonts w:ascii="Times New Roman" w:hAnsi="Times New Roman"/>
          <w:sz w:val="20"/>
        </w:rPr>
        <w:t xml:space="preserve"> [32] and </w:t>
      </w:r>
      <w:r>
        <w:rPr>
          <w:rFonts w:ascii="Times New Roman" w:hAnsi="Times New Roman"/>
          <w:i/>
          <w:sz w:val="20"/>
        </w:rPr>
        <w:t>spurious correlation</w:t>
      </w:r>
      <w:r>
        <w:rPr>
          <w:rFonts w:ascii="Times New Roman" w:hAnsi="Times New Roman"/>
          <w:sz w:val="20"/>
        </w:rPr>
        <w:t xml:space="preserve"> name a statistical property of a sample. </w:t>
      </w:r>
      <w:r>
        <w:rPr>
          <w:rFonts w:ascii="Times New Roman" w:hAnsi="Times New Roman"/>
          <w:i/>
          <w:sz w:val="20"/>
        </w:rPr>
        <w:t>Domain shift</w:t>
      </w:r>
      <w:r>
        <w:rPr>
          <w:rFonts w:ascii="Times New Roman" w:hAnsi="Times New Roman"/>
          <w:sz w:val="20"/>
        </w:rPr>
        <w:t xml:space="preserve"> names a relation between two distributions, one of them the deployment distribution. </w:t>
      </w:r>
      <w:r>
        <w:rPr>
          <w:rFonts w:ascii="Times New Roman" w:hAnsi="Times New Roman"/>
          <w:i/>
          <w:sz w:val="20"/>
        </w:rPr>
        <w:t>Hidden stratification</w:t>
      </w:r>
      <w:r>
        <w:rPr>
          <w:rFonts w:ascii="Times New Roman" w:hAnsi="Times New Roman"/>
          <w:sz w:val="20"/>
        </w:rPr>
        <w:t xml:space="preserve"> [7] names an unlabeled subgroup structure inside a class. </w:t>
      </w:r>
      <w:r>
        <w:rPr>
          <w:rFonts w:ascii="Times New Roman" w:hAnsi="Times New Roman"/>
          <w:i/>
          <w:sz w:val="20"/>
        </w:rPr>
        <w:t>Source confounding</w:t>
      </w:r>
      <w:r>
        <w:rPr>
          <w:rFonts w:ascii="Times New Roman" w:hAnsi="Times New Roman"/>
          <w:sz w:val="20"/>
        </w:rPr>
        <w:t xml:space="preserve"> names an association between data origin and label. </w:t>
      </w:r>
      <w:r>
        <w:rPr>
          <w:rFonts w:ascii="Times New Roman" w:hAnsi="Times New Roman"/>
          <w:i/>
          <w:sz w:val="20"/>
        </w:rPr>
        <w:t>Metadata leakage</w:t>
      </w:r>
      <w:r>
        <w:rPr>
          <w:rFonts w:ascii="Times New Roman" w:hAnsi="Times New Roman"/>
          <w:sz w:val="20"/>
        </w:rPr>
        <w:t xml:space="preserve"> names label-predictive information carried outside the intended input. </w:t>
      </w:r>
      <w:r>
        <w:rPr>
          <w:rFonts w:ascii="Times New Roman" w:hAnsi="Times New Roman"/>
          <w:i/>
          <w:sz w:val="20"/>
        </w:rPr>
        <w:t>Near-duplicate leakage</w:t>
      </w:r>
      <w:r>
        <w:rPr>
          <w:rFonts w:ascii="Times New Roman" w:hAnsi="Times New Roman"/>
          <w:sz w:val="20"/>
        </w:rPr>
        <w:t xml:space="preserve"> [11] names a partitioning fault, in which images of one entity fall on both sides of a split; that concern motivated this work's two-split design, and Section IV-B measures its size rather than assuming it. </w:t>
      </w:r>
      <w:r>
        <w:rPr>
          <w:rFonts w:ascii="Times New Roman" w:hAnsi="Times New Roman"/>
          <w:i/>
          <w:sz w:val="20"/>
        </w:rPr>
        <w:t>External validation</w:t>
      </w:r>
      <w:r>
        <w:rPr>
          <w:rFonts w:ascii="Times New Roman" w:hAnsi="Times New Roman"/>
          <w:sz w:val="20"/>
        </w:rPr>
        <w:t xml:space="preserve"> names an evaluation practice.</w:t>
      </w:r>
    </w:p>
    <w:p>
      <w:pPr>
        <w:spacing w:after="0" w:before="0" w:line="240" w:lineRule="exact"/>
        <w:ind w:firstLine="202"/>
        <w:jc w:val="both"/>
      </w:pPr>
      <w:r>
        <w:rPr>
          <w:rFonts w:ascii="Times New Roman" w:hAnsi="Times New Roman"/>
          <w:sz w:val="20"/>
        </w:rPr>
        <w:t xml:space="preserve">Class-conditional provenance confounding rivals none of these. It is a </w:t>
      </w:r>
      <w:r>
        <w:rPr>
          <w:rFonts w:ascii="Times New Roman" w:hAnsi="Times New Roman"/>
          <w:i/>
          <w:sz w:val="20"/>
        </w:rPr>
        <w:t>dataset-construction mechanism</w:t>
      </w:r>
      <w:r>
        <w:rPr>
          <w:rFonts w:ascii="Times New Roman" w:hAnsi="Times New Roman"/>
          <w:sz w:val="20"/>
        </w:rPr>
        <w:t xml:space="preserve"> that can produce several of them at once, named separately because the cause is what makes it detectable in advance: because one class was unobtainable by the procedure that produced the other, acquisition is correlated with the label </w:t>
      </w:r>
      <w:r>
        <w:rPr>
          <w:rFonts w:ascii="Times New Roman" w:hAnsi="Times New Roman"/>
          <w:i/>
          <w:sz w:val="20"/>
        </w:rPr>
        <w:t>within the training distribution itself</w:t>
      </w:r>
      <w:r>
        <w:rPr>
          <w:rFonts w:ascii="Times New Roman" w:hAnsi="Times New Roman"/>
          <w:sz w:val="20"/>
        </w:rPr>
        <w:t>, before any model is fitted and without reference to any deployment distribution. Three consequences follow that the general terms do not carry. The association can be complete rather than partial, incidental at the three hospital systems of [7] and exactly 1.0 across 510 images here. It is predictable from a dataset's construction, so the population at risk is nameable in advance: any collection whose classes were sourced separately. And it survives leakage-aware validation, every partition of one pool inheriting it in the same proportion.</w:t>
      </w:r>
    </w:p>
    <w:p>
      <w:pPr>
        <w:spacing w:after="0" w:before="0" w:line="240" w:lineRule="exact"/>
        <w:ind w:firstLine="202"/>
        <w:jc w:val="both"/>
      </w:pPr>
      <w:r>
        <w:rPr>
          <w:rFonts w:ascii="Times New Roman" w:hAnsi="Times New Roman"/>
          <w:sz w:val="20"/>
        </w:rPr>
        <w:t>What we offer beyond these is procedural, for the reason Section I-A gives: the diagnosis reduces to a screen that reads file listings before any model exists, and we follow the correction through to show that removing one provenance signal can expose another. We did not identify prior work applying such an audit procedure to counterfeit-medicine image authentication, or reporting it as a pre-training step rather than as a post-hoc explanation. The closest published analogue outside medicine is [30], described in Section I-A. Domain-generalization surveys [23] situate the normalization of Section III-F closer to hand-designed covariate-shift alignment than to representation learning, and the synthetic-corruption proxy of Section S-I-B follows the logic of ImageNet-C [12], measuring robustness to a documented perturbation style rather than label-defined class recall.</w:t>
      </w:r>
    </w:p>
    <w:p>
      <w:pPr>
        <w:keepNext/>
        <w:spacing w:before="200" w:after="60" w:line="240" w:lineRule="exact"/>
        <w:jc w:val="left"/>
      </w:pPr>
      <w:r>
        <w:rPr>
          <w:rFonts w:ascii="Arial" w:hAnsi="Arial"/>
          <w:b/>
          <w:i w:val="0"/>
          <w:color w:val="00548F"/>
          <w:sz w:val="18"/>
        </w:rPr>
        <w:t>III. MATERIALS AND METHODS</w:t>
      </w:r>
    </w:p>
    <w:p>
      <w:pPr>
        <w:spacing w:after="0" w:before="0" w:line="240" w:lineRule="exact"/>
        <w:ind w:firstLine="202"/>
        <w:jc w:val="both"/>
      </w:pPr>
      <w:r>
        <w:rPr>
          <w:rFonts w:ascii="Times New Roman" w:hAnsi="Times New Roman"/>
          <w:sz w:val="20"/>
        </w:rPr>
        <w:t xml:space="preserve">The pipeline is deterministic (fixed seed 42 throughout) and idempotent: re-running under the committed environment and fixed seeds reproduces the reported outputs, and three consecutive re-runs of the most expensive model produced byte-identical training curves and metric files (Section S-I-G). Fig. S1 diagrams the provenance, splitting and evaluation design; Section S-I-C records the software environment, including why </w:t>
      </w:r>
      <w:r>
        <w:rPr>
          <w:rFonts w:ascii="Consolas" w:hAnsi="Consolas"/>
          <w:sz w:val="18"/>
        </w:rPr>
        <w:t>torch.use_deterministic_algorithms</w:t>
      </w:r>
      <w:r>
        <w:rPr>
          <w:rFonts w:ascii="Times New Roman" w:hAnsi="Times New Roman"/>
          <w:sz w:val="20"/>
        </w:rPr>
        <w:t xml:space="preserve"> is left off, and Section S-V the commands that reproduce each table.</w:t>
      </w:r>
    </w:p>
    <w:p>
      <w:pPr>
        <w:keepNext/>
        <w:spacing w:before="160" w:after="60" w:line="240" w:lineRule="exact"/>
        <w:jc w:val="left"/>
      </w:pPr>
      <w:r>
        <w:rPr>
          <w:rFonts w:ascii="Arial" w:hAnsi="Arial"/>
          <w:b/>
          <w:i/>
          <w:color w:val="000000"/>
          <w:sz w:val="18"/>
        </w:rPr>
        <w:t>A. DATASET</w:t>
      </w:r>
    </w:p>
    <w:p>
      <w:pPr>
        <w:spacing w:after="0" w:before="0" w:line="240" w:lineRule="exact"/>
        <w:ind w:firstLine="202"/>
        <w:jc w:val="both"/>
      </w:pPr>
      <w:r>
        <w:rPr>
          <w:rFonts w:ascii="Times New Roman" w:hAnsi="Times New Roman"/>
          <w:sz w:val="20"/>
        </w:rPr>
        <w:t xml:space="preserve">Three public sources were inventoried: the Kaggle </w:t>
      </w:r>
      <w:r>
        <w:rPr>
          <w:rFonts w:ascii="Times New Roman" w:hAnsi="Times New Roman"/>
          <w:i/>
          <w:sz w:val="20"/>
        </w:rPr>
        <w:t>Fake vs Real Medicine</w:t>
      </w:r>
      <w:r>
        <w:rPr>
          <w:rFonts w:ascii="Times New Roman" w:hAnsi="Times New Roman"/>
          <w:sz w:val="20"/>
        </w:rPr>
        <w:t xml:space="preserve"> set [19], 661 unique files re-listed across a bundled split, license stated as "Unknown"; Roboflow </w:t>
      </w:r>
      <w:r>
        <w:rPr>
          <w:rFonts w:ascii="Times New Roman" w:hAnsi="Times New Roman"/>
          <w:i/>
          <w:sz w:val="20"/>
        </w:rPr>
        <w:t>Counterfeit_med_detection</w:t>
      </w:r>
      <w:r>
        <w:rPr>
          <w:rFonts w:ascii="Times New Roman" w:hAnsi="Times New Roman"/>
          <w:sz w:val="20"/>
        </w:rPr>
        <w:t xml:space="preserve"> v4 [21], 4,260 files under CC BY 4.0, including the publisher's own 3× rotation and exposure augmentation; and the Mendeley </w:t>
      </w:r>
      <w:r>
        <w:rPr>
          <w:rFonts w:ascii="Times New Roman" w:hAnsi="Times New Roman"/>
          <w:i/>
          <w:sz w:val="20"/>
        </w:rPr>
        <w:t>Mobile-Captured Pharmaceutical Medication Packages</w:t>
      </w:r>
      <w:r>
        <w:rPr>
          <w:rFonts w:ascii="Times New Roman" w:hAnsi="Times New Roman"/>
          <w:sz w:val="20"/>
        </w:rPr>
        <w:t xml:space="preserve"> archive [20], 3,900 files across six devices under CC BY 4.0. Table S1 gives the full inventory.</w:t>
      </w:r>
    </w:p>
    <w:p>
      <w:pPr>
        <w:spacing w:after="0" w:before="0" w:line="240" w:lineRule="exact"/>
        <w:ind w:firstLine="202"/>
        <w:jc w:val="both"/>
      </w:pPr>
      <w:r>
        <w:rPr>
          <w:rFonts w:ascii="Times New Roman" w:hAnsi="Times New Roman"/>
          <w:sz w:val="20"/>
        </w:rPr>
        <w:t xml:space="preserve">Two properties of the primary source, both verifiable in seconds by anyone holding the archive, should be recorded before any result is read. </w:t>
      </w:r>
      <w:r>
        <w:rPr>
          <w:rFonts w:ascii="Times New Roman" w:hAnsi="Times New Roman"/>
          <w:b/>
          <w:sz w:val="20"/>
        </w:rPr>
        <w:t>Provenance:</w:t>
      </w:r>
      <w:r>
        <w:rPr>
          <w:rFonts w:ascii="Times New Roman" w:hAnsi="Times New Roman"/>
          <w:sz w:val="20"/>
        </w:rPr>
        <w:t xml:space="preserve"> it is a single-uploader Kaggle contribution, last updated 13 October 2025, distributed with its license field set to "Unknown". Counterfeit-labeled files are named </w:t>
      </w:r>
      <w:r>
        <w:rPr>
          <w:rFonts w:ascii="Consolas" w:hAnsi="Consolas"/>
          <w:sz w:val="18"/>
        </w:rPr>
        <w:t>Screenshot YYYY-MM-DD HHMMSS.png</w:t>
      </w:r>
      <w:r>
        <w:rPr>
          <w:rFonts w:ascii="Times New Roman" w:hAnsi="Times New Roman"/>
          <w:sz w:val="20"/>
        </w:rPr>
        <w:t xml:space="preserve">, with embedded timestamps falling in a small number of capture sessions; authentic-labeled files are named </w:t>
      </w:r>
      <w:r>
        <w:rPr>
          <w:rFonts w:ascii="Consolas" w:hAnsi="Consolas"/>
          <w:sz w:val="18"/>
        </w:rPr>
        <w:t>imagesNN.jpg</w:t>
      </w:r>
      <w:r>
        <w:rPr>
          <w:rFonts w:ascii="Times New Roman" w:hAnsi="Times New Roman"/>
          <w:sz w:val="20"/>
        </w:rPr>
        <w:t>. There is no data card, no collection protocol and no per-image provenance, none of which is unusual for a dataset of this kind, which is the point of Section II-A.</w:t>
      </w:r>
    </w:p>
    <w:p>
      <w:pPr>
        <w:spacing w:after="0" w:before="0" w:line="240" w:lineRule="exact"/>
        <w:ind w:firstLine="202"/>
        <w:jc w:val="both"/>
      </w:pPr>
      <w:r>
        <w:rPr>
          <w:rFonts w:ascii="Times New Roman" w:hAnsi="Times New Roman"/>
          <w:b/>
          <w:sz w:val="20"/>
        </w:rPr>
        <w:t>The bundled split is not a split.</w:t>
      </w:r>
      <w:r>
        <w:rPr>
          <w:rFonts w:ascii="Times New Roman" w:hAnsi="Times New Roman"/>
          <w:sz w:val="20"/>
        </w:rPr>
        <w:t xml:space="preserve"> Alongside the class folders the archive ships </w:t>
      </w:r>
      <w:r>
        <w:rPr>
          <w:rFonts w:ascii="Consolas" w:hAnsi="Consolas"/>
          <w:sz w:val="18"/>
        </w:rPr>
        <w:t>train/</w:t>
      </w:r>
      <w:r>
        <w:rPr>
          <w:rFonts w:ascii="Times New Roman" w:hAnsi="Times New Roman"/>
          <w:sz w:val="20"/>
        </w:rPr>
        <w:t xml:space="preserve">, </w:t>
      </w:r>
      <w:r>
        <w:rPr>
          <w:rFonts w:ascii="Consolas" w:hAnsi="Consolas"/>
          <w:sz w:val="18"/>
        </w:rPr>
        <w:t>val/</w:t>
      </w:r>
      <w:r>
        <w:rPr>
          <w:rFonts w:ascii="Times New Roman" w:hAnsi="Times New Roman"/>
          <w:sz w:val="20"/>
        </w:rPr>
        <w:t xml:space="preserve"> and </w:t>
      </w:r>
      <w:r>
        <w:rPr>
          <w:rFonts w:ascii="Consolas" w:hAnsi="Consolas"/>
          <w:sz w:val="18"/>
        </w:rPr>
        <w:t>test/</w:t>
      </w:r>
      <w:r>
        <w:rPr>
          <w:rFonts w:ascii="Times New Roman" w:hAnsi="Times New Roman"/>
          <w:sz w:val="20"/>
        </w:rPr>
        <w:t>, and counting unique filenames, the training folder lists all 661 while validation (453) and test (449) are proper subsets of it, with 286 filenames common to all three. A study adopting this partition trains on 100% of the data it then reports test accuracy on. We discarded it and built our own (Section III-B).</w:t>
      </w:r>
    </w:p>
    <w:p>
      <w:pPr>
        <w:spacing w:after="0" w:before="0" w:line="240" w:lineRule="exact"/>
        <w:ind w:firstLine="202"/>
        <w:jc w:val="both"/>
      </w:pPr>
      <w:r>
        <w:rPr>
          <w:rFonts w:ascii="Times New Roman" w:hAnsi="Times New Roman"/>
          <w:b/>
          <w:sz w:val="20"/>
        </w:rPr>
        <w:t>Why the second source was excluded.</w:t>
      </w:r>
      <w:r>
        <w:rPr>
          <w:rFonts w:ascii="Times New Roman" w:hAnsi="Times New Roman"/>
          <w:sz w:val="20"/>
        </w:rPr>
        <w:t xml:space="preserve"> The Roboflow source appeared to be a second independent authentic/counterfeit dataset, and therefore a candidate both for pooling and for cross-dataset validation. Inspection showed it is neither. Of its counterfeit-labeled images, 57/57 unique source images are institutional advisory graphics carrying a regulator's logo, a banner headline and the ground-truth label rendered as literal text inside the image, while 263/263 of its plain product photographs are authentic-labeled: a model trained on it as shipped would learn to distinguish advisory collages from product photography. After excluding those, 9 more found by manual inspection and 52 rows carrying simultaneous </w:t>
      </w:r>
      <w:r>
        <w:rPr>
          <w:rFonts w:ascii="Consolas" w:hAnsi="Consolas"/>
          <w:sz w:val="18"/>
        </w:rPr>
        <w:t>authentic=1</w:t>
      </w:r>
      <w:r>
        <w:rPr>
          <w:rFonts w:ascii="Times New Roman" w:hAnsi="Times New Roman"/>
          <w:sz w:val="20"/>
        </w:rPr>
        <w:t xml:space="preserve"> and </w:t>
      </w:r>
      <w:r>
        <w:rPr>
          <w:rFonts w:ascii="Consolas" w:hAnsi="Consolas"/>
          <w:sz w:val="18"/>
        </w:rPr>
        <w:t>counterfeit=1</w:t>
      </w:r>
      <w:r>
        <w:rPr>
          <w:rFonts w:ascii="Times New Roman" w:hAnsi="Times New Roman"/>
          <w:sz w:val="20"/>
        </w:rPr>
        <w:t xml:space="preserve"> annotations, the source contributes </w:t>
      </w:r>
      <w:r>
        <w:rPr>
          <w:rFonts w:ascii="Times New Roman" w:hAnsi="Times New Roman"/>
          <w:b/>
          <w:sz w:val="20"/>
        </w:rPr>
        <w:t>2</w:t>
      </w:r>
      <w:r>
        <w:rPr>
          <w:rFonts w:ascii="Times New Roman" w:hAnsi="Times New Roman"/>
          <w:sz w:val="20"/>
        </w:rPr>
        <w:t xml:space="preserve"> usable counterfeit images against 2,695 authentic. Prior work attributes its unsuitability to class imbalance; the deeper problem is a modality confound, which metadata alone does not detect (Section S-I-T).</w:t>
      </w:r>
    </w:p>
    <w:p>
      <w:pPr>
        <w:spacing w:after="0" w:before="0" w:line="240" w:lineRule="exact"/>
        <w:ind w:firstLine="202"/>
        <w:jc w:val="both"/>
      </w:pPr>
      <w:r>
        <w:rPr>
          <w:rFonts w:ascii="Times New Roman" w:hAnsi="Times New Roman"/>
          <w:b/>
          <w:sz w:val="20"/>
        </w:rPr>
        <w:t>Why the two sources are not independent.</w:t>
      </w:r>
      <w:r>
        <w:rPr>
          <w:rFonts w:ascii="Times New Roman" w:hAnsi="Times New Roman"/>
          <w:sz w:val="20"/>
        </w:rPr>
        <w:t xml:space="preserve"> Perceptual-hash clustering found </w:t>
      </w:r>
      <w:r>
        <w:rPr>
          <w:rFonts w:ascii="Times New Roman" w:hAnsi="Times New Roman"/>
          <w:b/>
          <w:sz w:val="20"/>
        </w:rPr>
        <w:t>202 clusters containing images from both sources</w:t>
      </w:r>
      <w:r>
        <w:rPr>
          <w:rFonts w:ascii="Times New Roman" w:hAnsi="Times New Roman"/>
          <w:sz w:val="20"/>
        </w:rPr>
        <w:t xml:space="preserve">, covering 2,665 of 4,027 retained Roboflow images and 256 of 605 Kaggle images, so </w:t>
      </w:r>
      <w:r>
        <w:rPr>
          <w:rFonts w:ascii="Times New Roman" w:hAnsi="Times New Roman"/>
          <w:b/>
          <w:sz w:val="20"/>
        </w:rPr>
        <w:t>42.3% of the Kaggle pool has a near-duplicate in the Roboflow source</w:t>
      </w:r>
      <w:r>
        <w:rPr>
          <w:rFonts w:ascii="Times New Roman" w:hAnsi="Times New Roman"/>
          <w:sz w:val="20"/>
        </w:rPr>
        <w:t>, sometimes differing only by a 90° rotation. This was confirmed visually on matched pairs, not inferred from hash distance alone. Neither source documents provenance, so we claim nothing about which derives from which; the relevant fact is that any study treating them as independent sources for cross-dataset testing would be leaking training data into "external" evaluation.</w:t>
      </w:r>
    </w:p>
    <w:p>
      <w:pPr>
        <w:spacing w:after="0" w:before="0" w:line="240" w:lineRule="exact"/>
        <w:ind w:firstLine="202"/>
        <w:jc w:val="both"/>
      </w:pPr>
      <w:r>
        <w:rPr>
          <w:rFonts w:ascii="Times New Roman" w:hAnsi="Times New Roman"/>
          <w:b/>
          <w:sz w:val="20"/>
        </w:rPr>
        <w:t>The modeling pool.</w:t>
      </w:r>
      <w:r>
        <w:rPr>
          <w:rFonts w:ascii="Times New Roman" w:hAnsi="Times New Roman"/>
          <w:sz w:val="20"/>
        </w:rPr>
        <w:t xml:space="preserve"> Given the two preceding paragraphs, </w:t>
      </w:r>
      <w:r>
        <w:rPr>
          <w:rFonts w:ascii="Times New Roman" w:hAnsi="Times New Roman"/>
          <w:b/>
          <w:sz w:val="20"/>
        </w:rPr>
        <w:t>Splits A and B are built from the Kaggle pool alone</w:t>
      </w:r>
      <w:r>
        <w:rPr>
          <w:rFonts w:ascii="Times New Roman" w:hAnsi="Times New Roman"/>
          <w:sz w:val="20"/>
        </w:rPr>
        <w:t xml:space="preserve">, which makes the split protocol the single manipulated variable. After exclusion and de-duplication the pool contains </w:t>
      </w:r>
      <w:r>
        <w:rPr>
          <w:rFonts w:ascii="Times New Roman" w:hAnsi="Times New Roman"/>
          <w:b/>
          <w:sz w:val="20"/>
        </w:rPr>
        <w:t>510 images in 480 product-identity groups</w:t>
      </w:r>
      <w:r>
        <w:rPr>
          <w:rFonts w:ascii="Times New Roman" w:hAnsi="Times New Roman"/>
          <w:sz w:val="20"/>
        </w:rPr>
        <w:t>, 272 authentic and 238 counterfeit. Exclusions are rule-based and documented in code, in three families: contradictory annotations (52 Roboflow rows), advisory-bulletin graphics (180 Roboflow files), and 56 human-identified Kaggle files (Sections S-I-A, S-IV). Each carries a machine-readable reason, so any downstream count traces to the rule that produced it.</w:t>
      </w:r>
    </w:p>
    <w:p>
      <w:pPr>
        <w:spacing w:after="0" w:before="0" w:line="240" w:lineRule="exact"/>
        <w:ind w:firstLine="202"/>
        <w:jc w:val="both"/>
      </w:pPr>
      <w:r>
        <w:rPr>
          <w:rFonts w:ascii="Times New Roman" w:hAnsi="Times New Roman"/>
          <w:b/>
          <w:sz w:val="20"/>
        </w:rPr>
        <w:t>De-duplication and product identity.</w:t>
      </w:r>
      <w:r>
        <w:rPr>
          <w:rFonts w:ascii="Times New Roman" w:hAnsi="Times New Roman"/>
          <w:sz w:val="20"/>
        </w:rPr>
        <w:t xml:space="preserve"> Neither source carries ground-truth product-identity labels, so near-duplicate photo clustering is used as an operational proxy. A 64-bit perceptual hash [25] is computed at all four cardinal orientations per image and the numeric minimum taken as a rotation-canonical hash:</w:t>
      </w:r>
    </w:p>
    <w:p>
      <w:pPr>
        <w:tabs>
          <w:tab w:pos="4835" w:val="right"/>
        </w:tabs>
        <w:spacing w:before="80" w:after="80"/>
        <w:jc w:val="center"/>
      </w:pPr>
      <w:r>
        <w:rPr>
          <w:rFonts w:ascii="Times New Roman" w:hAnsi="Times New Roman"/>
          <w:i/>
          <w:sz w:val="20"/>
        </w:rPr>
        <w:t>h(x) = min_(θ ∈ {0°, 90°, 180°, 270°}) pHash(R_θ(x))</w:t>
      </w:r>
      <w:r>
        <w:rPr>
          <w:rFonts w:ascii="Times New Roman" w:hAnsi="Times New Roman"/>
          <w:sz w:val="20"/>
        </w:rPr>
        <w:tab/>
        <w:t>(1)</w:t>
      </w:r>
    </w:p>
    <w:p>
      <w:pPr>
        <w:spacing w:after="0" w:before="0" w:line="240" w:lineRule="exact"/>
        <w:ind w:firstLine="202"/>
        <w:jc w:val="both"/>
      </w:pPr>
      <w:r>
        <w:rPr>
          <w:rFonts w:ascii="Times New Roman" w:hAnsi="Times New Roman"/>
          <w:sz w:val="20"/>
        </w:rPr>
        <w:t xml:space="preserve">Rotation invariance is necessary rather than decorative: the Roboflow source documents 90°-rotation augmentation, and a plain pHash treats a rotated copy as a different image. Pairs at Hamming distance 0 are treated as true duplicates and one copy removed; pairs at distance 1–8 are retained but assigned to the same </w:t>
      </w:r>
      <w:r>
        <w:rPr>
          <w:rFonts w:ascii="Consolas" w:hAnsi="Consolas"/>
          <w:sz w:val="18"/>
        </w:rPr>
        <w:t>product_identity</w:t>
      </w:r>
      <w:r>
        <w:rPr>
          <w:rFonts w:ascii="Times New Roman" w:hAnsi="Times New Roman"/>
          <w:sz w:val="20"/>
        </w:rPr>
        <w:t xml:space="preserve"> cluster. The threshold of 8 is conventional rather than derived, and Section S-I-Y sweeps it: no cluster mixes the two class labels up to distance 10, and nothing this paper concludes from the split comparison turns on the choice. Two dissimilar photographs of one package would not be grouped at any threshold, so we call the resulting design a </w:t>
      </w:r>
      <w:r>
        <w:rPr>
          <w:rFonts w:ascii="Times New Roman" w:hAnsi="Times New Roman"/>
          <w:b/>
          <w:sz w:val="20"/>
        </w:rPr>
        <w:t>near-duplicate-grouped</w:t>
      </w:r>
      <w:r>
        <w:rPr>
          <w:rFonts w:ascii="Times New Roman" w:hAnsi="Times New Roman"/>
          <w:sz w:val="20"/>
        </w:rPr>
        <w:t xml:space="preserve"> split throughout and reserve "product identity" for the field name in the code. The method is not robust to mirroring, a gap kept low-risk by the no-flip augmentation policy of Section III-C but not exhaustively verified.</w:t>
      </w:r>
    </w:p>
    <w:p>
      <w:pPr>
        <w:keepNext/>
        <w:spacing w:before="160" w:after="60" w:line="240" w:lineRule="exact"/>
        <w:jc w:val="left"/>
      </w:pPr>
      <w:r>
        <w:rPr>
          <w:rFonts w:ascii="Arial" w:hAnsi="Arial"/>
          <w:b/>
          <w:i/>
          <w:color w:val="000000"/>
          <w:sz w:val="18"/>
        </w:rPr>
        <w:t>B. LEAKAGE-CONTROLLED PARTITIONS</w:t>
      </w:r>
    </w:p>
    <w:p>
      <w:pPr>
        <w:spacing w:after="0" w:before="0" w:line="240" w:lineRule="exact"/>
        <w:ind w:firstLine="202"/>
        <w:jc w:val="both"/>
      </w:pPr>
      <w:r>
        <w:rPr>
          <w:rFonts w:ascii="Times New Roman" w:hAnsi="Times New Roman"/>
          <w:sz w:val="20"/>
        </w:rPr>
        <w:t>Two partitions of the modeling pool are built, evaluated in parallel so that the leakage effect is measured rather than assumed:</w:t>
      </w:r>
    </w:p>
    <w:p>
      <w:pPr>
        <w:pStyle w:val="ListBullet"/>
        <w:spacing w:after="40" w:line="240" w:lineRule="exact"/>
      </w:pPr>
      <w:r>
        <w:rPr>
          <w:rFonts w:ascii="Times New Roman" w:hAnsi="Times New Roman"/>
          <w:b/>
          <w:sz w:val="20"/>
        </w:rPr>
        <w:t>Split A (naive)</w:t>
      </w:r>
      <w:r>
        <w:rPr>
          <w:rFonts w:ascii="Times New Roman" w:hAnsi="Times New Roman"/>
          <w:sz w:val="20"/>
        </w:rPr>
        <w:t xml:space="preserve"> — random 70:15:15, class-stratified, at the </w:t>
      </w:r>
      <w:r>
        <w:rPr>
          <w:rFonts w:ascii="Times New Roman" w:hAnsi="Times New Roman"/>
          <w:b/>
          <w:sz w:val="20"/>
        </w:rPr>
        <w:t>image</w:t>
      </w:r>
      <w:r>
        <w:rPr>
          <w:rFonts w:ascii="Times New Roman" w:hAnsi="Times New Roman"/>
          <w:sz w:val="20"/>
        </w:rPr>
        <w:t xml:space="preserve"> level. This is the protocol in general use on data of this kind, and the only one available to a study that adopts a dataset's shipped partition without inspecting it; none of the studies in Table S26 reports a grouped or identity-aware split.</w:t>
      </w:r>
    </w:p>
    <w:p>
      <w:pPr>
        <w:pStyle w:val="ListBullet"/>
        <w:spacing w:after="40" w:line="240" w:lineRule="exact"/>
      </w:pPr>
      <w:r>
        <w:rPr>
          <w:rFonts w:ascii="Times New Roman" w:hAnsi="Times New Roman"/>
          <w:b/>
          <w:sz w:val="20"/>
        </w:rPr>
        <w:t>Split B (near-duplicate-grouped)</w:t>
      </w:r>
      <w:r>
        <w:rPr>
          <w:rFonts w:ascii="Times New Roman" w:hAnsi="Times New Roman"/>
          <w:sz w:val="20"/>
        </w:rPr>
        <w:t xml:space="preserve"> — 70:15:15, class-stratified, at the </w:t>
      </w:r>
      <w:r>
        <w:rPr>
          <w:rFonts w:ascii="Times New Roman" w:hAnsi="Times New Roman"/>
          <w:b/>
          <w:sz w:val="20"/>
        </w:rPr>
        <w:t>near-duplicate cluster</w:t>
      </w:r>
      <w:r>
        <w:rPr>
          <w:rFonts w:ascii="Times New Roman" w:hAnsi="Times New Roman"/>
          <w:sz w:val="20"/>
        </w:rPr>
        <w:t xml:space="preserve"> level, so no near-duplicate photograph of the same product can appear in more than one partition. The training partition additionally carries a </w:t>
      </w:r>
      <w:r>
        <w:rPr>
          <w:rFonts w:ascii="Consolas" w:hAnsi="Consolas"/>
          <w:sz w:val="18"/>
        </w:rPr>
        <w:t>cv_fold</w:t>
      </w:r>
      <w:r>
        <w:rPr>
          <w:rFonts w:ascii="Times New Roman" w:hAnsi="Times New Roman"/>
          <w:sz w:val="20"/>
        </w:rPr>
        <w:t xml:space="preserve"> index from </w:t>
      </w:r>
      <w:r>
        <w:rPr>
          <w:rFonts w:ascii="Consolas" w:hAnsi="Consolas"/>
          <w:sz w:val="18"/>
        </w:rPr>
        <w:t>StratifiedGroupKFold</w:t>
      </w:r>
      <w:r>
        <w:rPr>
          <w:rFonts w:ascii="Times New Roman" w:hAnsi="Times New Roman"/>
          <w:sz w:val="20"/>
        </w:rPr>
        <w:t>, so 5-fold cross-validation never places the same product in two folds.</w:t>
      </w:r>
    </w:p>
    <w:p>
      <w:pPr>
        <w:spacing w:after="0" w:before="0" w:line="240" w:lineRule="exact"/>
        <w:ind w:firstLine="202"/>
        <w:jc w:val="both"/>
      </w:pPr>
      <w:r>
        <w:rPr>
          <w:rFonts w:ascii="Times New Roman" w:hAnsi="Times New Roman"/>
          <w:sz w:val="20"/>
        </w:rPr>
        <w:t xml:space="preserve">An assertion in the pipeline verifies zero product-identity overlap between every pair of Split B partitions on every run; it passes. Comparing the two assignments directly, </w:t>
      </w:r>
      <w:r>
        <w:rPr>
          <w:rFonts w:ascii="Times New Roman" w:hAnsi="Times New Roman"/>
          <w:b/>
          <w:sz w:val="20"/>
        </w:rPr>
        <w:t>9 of 480 product-identity groups (1.9%) have members in more than one partition under Split A</w:t>
      </w:r>
      <w:r>
        <w:rPr>
          <w:rFonts w:ascii="Times New Roman" w:hAnsi="Times New Roman"/>
          <w:sz w:val="20"/>
        </w:rPr>
        <w:t xml:space="preserve"> — the literal, countable leakage that Split B removes — and 230 of 510 images (45.1%) are assigned to a different partition under A than under B. Split A holds 357/77/76 images and Split B 357/79/74 over 336/72/72 product groups; Table S2 gives every partition's class balance.</w:t>
      </w:r>
    </w:p>
    <w:p>
      <w:pPr>
        <w:spacing w:after="0" w:before="0" w:line="240" w:lineRule="exact"/>
        <w:ind w:firstLine="202"/>
        <w:jc w:val="both"/>
      </w:pPr>
      <w:r>
        <w:rPr>
          <w:rFonts w:ascii="Times New Roman" w:hAnsi="Times New Roman"/>
          <w:sz w:val="20"/>
        </w:rPr>
        <w:t xml:space="preserve">"Leakage-free" throughout means free of </w:t>
      </w:r>
      <w:r>
        <w:rPr>
          <w:rFonts w:ascii="Times New Roman" w:hAnsi="Times New Roman"/>
          <w:b/>
          <w:sz w:val="20"/>
        </w:rPr>
        <w:t>product-identity</w:t>
      </w:r>
      <w:r>
        <w:rPr>
          <w:rFonts w:ascii="Times New Roman" w:hAnsi="Times New Roman"/>
          <w:sz w:val="20"/>
        </w:rPr>
        <w:t xml:space="preserve"> leakage. It makes no claim about acquisition: because every counterfeit-labeled image was produced by one capture pipeline and every authentic-labeled image by another, </w:t>
      </w:r>
      <w:r>
        <w:rPr>
          <w:rFonts w:ascii="Times New Roman" w:hAnsi="Times New Roman"/>
          <w:i/>
          <w:sz w:val="20"/>
        </w:rPr>
        <w:t>no</w:t>
      </w:r>
      <w:r>
        <w:rPr>
          <w:rFonts w:ascii="Times New Roman" w:hAnsi="Times New Roman"/>
          <w:sz w:val="20"/>
        </w:rPr>
        <w:t xml:space="preserve"> partition of this pool can place a capture process on one side of a fold, and grouped cross-validation inherits the confound at full strength.</w:t>
      </w:r>
    </w:p>
    <w:p>
      <w:pPr>
        <w:spacing w:after="0" w:before="0" w:line="240" w:lineRule="exact"/>
        <w:ind w:firstLine="202"/>
        <w:jc w:val="both"/>
      </w:pPr>
      <w:r>
        <w:rPr>
          <w:rFonts w:ascii="Times New Roman" w:hAnsi="Times New Roman"/>
          <w:sz w:val="20"/>
        </w:rPr>
        <w:t xml:space="preserve">The test partitions are small (74–76 images), so every point estimate in Section IV carries a 95% uncertainty interval, and comparisons are read against those intervals rather than against point differences. Each table names which of the two interval constructions it reports, a percentile bootstrap or a Wilson score interval. Three kinds of uncertainty are kept apart, because several readings turn on which is being quoted. </w:t>
      </w:r>
      <w:r>
        <w:rPr>
          <w:rFonts w:ascii="Times New Roman" w:hAnsi="Times New Roman"/>
          <w:b/>
          <w:sz w:val="20"/>
        </w:rPr>
        <w:t>Sampling uncertainty</w:t>
      </w:r>
      <w:r>
        <w:rPr>
          <w:rFonts w:ascii="Times New Roman" w:hAnsi="Times New Roman"/>
          <w:sz w:val="20"/>
        </w:rPr>
        <w:t xml:space="preserve"> is what a finite evaluation set supports for one trained model, and is what every bracketed interval describes unless a table says otherwise. </w:t>
      </w:r>
      <w:r>
        <w:rPr>
          <w:rFonts w:ascii="Times New Roman" w:hAnsi="Times New Roman"/>
          <w:b/>
          <w:sz w:val="20"/>
        </w:rPr>
        <w:t>Training-run variability</w:t>
      </w:r>
      <w:r>
        <w:rPr>
          <w:rFonts w:ascii="Times New Roman" w:hAnsi="Times New Roman"/>
          <w:sz w:val="20"/>
        </w:rPr>
        <w:t xml:space="preserve"> is what a different initialization would have produced, assessed across five seeds (Table 6); five seeds assess seed sensitivity rather than characterize it comprehensively, and no claim here rests on a difference smaller than the spread they show. </w:t>
      </w:r>
      <w:r>
        <w:rPr>
          <w:rFonts w:ascii="Times New Roman" w:hAnsi="Times New Roman"/>
          <w:b/>
          <w:sz w:val="20"/>
        </w:rPr>
        <w:t>Distribution-shift uncertainty</w:t>
      </w:r>
      <w:r>
        <w:rPr>
          <w:rFonts w:ascii="Times New Roman" w:hAnsi="Times New Roman"/>
          <w:sz w:val="20"/>
        </w:rPr>
        <w:t xml:space="preserve"> is addressed by neither; only evaluation on data we did not collect speaks to it.</w:t>
      </w:r>
    </w:p>
    <w:p>
      <w:pPr>
        <w:keepNext/>
        <w:spacing w:before="160" w:after="60" w:line="240" w:lineRule="exact"/>
        <w:jc w:val="left"/>
      </w:pPr>
      <w:r>
        <w:rPr>
          <w:rFonts w:ascii="Arial" w:hAnsi="Arial"/>
          <w:b/>
          <w:i/>
          <w:color w:val="000000"/>
          <w:sz w:val="18"/>
        </w:rPr>
        <w:t>C. MODELS</w:t>
      </w:r>
    </w:p>
    <w:p>
      <w:pPr>
        <w:spacing w:after="0" w:before="0" w:line="240" w:lineRule="exact"/>
        <w:ind w:firstLine="202"/>
        <w:jc w:val="both"/>
      </w:pPr>
      <w:r>
        <w:rPr>
          <w:rFonts w:ascii="Times New Roman" w:hAnsi="Times New Roman"/>
          <w:sz w:val="20"/>
        </w:rPr>
        <w:t>Four model families are evaluated (Fig. S2), deliberately spread across capacity scales so that "does capacity explain the reported accuracy?" is answerable.</w:t>
      </w:r>
    </w:p>
    <w:p>
      <w:pPr>
        <w:spacing w:after="0" w:before="0" w:line="240" w:lineRule="exact"/>
        <w:ind w:firstLine="202"/>
        <w:jc w:val="both"/>
      </w:pPr>
      <w:r>
        <w:rPr>
          <w:rFonts w:ascii="Times New Roman" w:hAnsi="Times New Roman"/>
          <w:b/>
          <w:sz w:val="20"/>
        </w:rPr>
        <w:t>M1 — Color histogram + logistic regression (97 learned parameters).</w:t>
      </w:r>
      <w:r>
        <w:rPr>
          <w:rFonts w:ascii="Times New Roman" w:hAnsi="Times New Roman"/>
          <w:sz w:val="20"/>
        </w:rPr>
        <w:t xml:space="preserve"> Each image is resized to 224×224 and a 32-bin-per-channel red-green-blue (RGB) intensity histogram computed, giving a 96-dimensional feature vector:</w:t>
      </w:r>
    </w:p>
    <w:p>
      <w:pPr>
        <w:tabs>
          <w:tab w:pos="4835" w:val="right"/>
        </w:tabs>
        <w:spacing w:before="80" w:after="80"/>
        <w:jc w:val="center"/>
      </w:pPr>
      <w:r>
        <w:rPr>
          <w:rFonts w:ascii="Times New Roman" w:hAnsi="Times New Roman"/>
          <w:i/>
          <w:sz w:val="20"/>
        </w:rPr>
        <w:t>φ(x) = [ h_R(x)  ‖  h_G(x)  ‖  h_B(x) ] ∈ ℝ⁹⁶,   h_(c,b)(x) = (1)/(HW)Σ_(i,j) 1[ x_(ij)^((c)) ∈ B_b ]</w:t>
      </w:r>
      <w:r>
        <w:rPr>
          <w:rFonts w:ascii="Times New Roman" w:hAnsi="Times New Roman"/>
          <w:sz w:val="20"/>
        </w:rPr>
        <w:tab/>
        <w:t>(2)</w:t>
      </w:r>
    </w:p>
    <w:p>
      <w:pPr>
        <w:spacing w:after="0" w:before="0" w:line="240" w:lineRule="exact"/>
        <w:ind w:firstLine="202"/>
        <w:jc w:val="both"/>
      </w:pPr>
      <w:r>
        <w:rPr>
          <w:rFonts w:ascii="Times New Roman" w:hAnsi="Times New Roman"/>
          <w:sz w:val="20"/>
        </w:rPr>
        <w:t xml:space="preserve">with the 32 bins </w:t>
      </w:r>
      <w:r>
        <w:rPr>
          <w:rFonts w:ascii="Times New Roman" w:hAnsi="Times New Roman"/>
          <w:i/>
          <w:sz w:val="20"/>
        </w:rPr>
        <w:t>B_b</w:t>
      </w:r>
      <w:r>
        <w:rPr>
          <w:rFonts w:ascii="Times New Roman" w:hAnsi="Times New Roman"/>
          <w:sz w:val="20"/>
        </w:rPr>
        <w:t xml:space="preserve"> uniformly partitioning [0, 256). A logistic regression is fitted on </w:t>
      </w:r>
      <w:r>
        <w:rPr>
          <w:rFonts w:ascii="Times New Roman" w:hAnsi="Times New Roman"/>
          <w:i/>
          <w:sz w:val="20"/>
        </w:rPr>
        <w:t>φ(x)</w:t>
      </w:r>
      <w:r>
        <w:rPr>
          <w:rFonts w:ascii="Times New Roman" w:hAnsi="Times New Roman"/>
          <w:sz w:val="20"/>
        </w:rPr>
        <w:t>:</w:t>
      </w:r>
    </w:p>
    <w:p>
      <w:pPr>
        <w:tabs>
          <w:tab w:pos="4835" w:val="right"/>
        </w:tabs>
        <w:spacing w:before="80" w:after="80"/>
        <w:jc w:val="center"/>
      </w:pPr>
      <w:r>
        <w:rPr>
          <w:rFonts w:ascii="Times New Roman" w:hAnsi="Times New Roman"/>
          <w:i/>
          <w:sz w:val="20"/>
        </w:rPr>
        <w:t>P(y = 1  |  x) = σ(w^ᵀ φ(x) + b),   σ(z) = (1)/(1 + e^(-z))</w:t>
      </w:r>
      <w:r>
        <w:rPr>
          <w:rFonts w:ascii="Times New Roman" w:hAnsi="Times New Roman"/>
          <w:sz w:val="20"/>
        </w:rPr>
        <w:tab/>
        <w:t>(3)</w:t>
      </w:r>
    </w:p>
    <w:p>
      <w:pPr>
        <w:spacing w:after="0" w:before="0" w:line="240" w:lineRule="exact"/>
        <w:ind w:firstLine="202"/>
        <w:jc w:val="both"/>
      </w:pPr>
      <w:r>
        <w:rPr>
          <w:rFonts w:ascii="Times New Roman" w:hAnsi="Times New Roman"/>
          <w:sz w:val="20"/>
        </w:rPr>
        <w:t xml:space="preserve">with </w:t>
      </w:r>
      <w:r>
        <w:rPr>
          <w:rFonts w:ascii="Consolas" w:hAnsi="Consolas"/>
          <w:sz w:val="18"/>
        </w:rPr>
        <w:t>class_weight="balanced"</w:t>
      </w:r>
      <w:r>
        <w:rPr>
          <w:rFonts w:ascii="Times New Roman" w:hAnsi="Times New Roman"/>
          <w:sz w:val="20"/>
        </w:rPr>
        <w:t xml:space="preserve"> and L2 regularization at scikit-learn's default strength. This model answers one question: how much of the reported accuracy is available to a classifier that cannot see spatial structure at all?</w:t>
      </w:r>
    </w:p>
    <w:p>
      <w:pPr>
        <w:spacing w:after="0" w:before="0" w:line="240" w:lineRule="exact"/>
        <w:ind w:firstLine="202"/>
        <w:jc w:val="both"/>
      </w:pPr>
      <w:r>
        <w:rPr>
          <w:rFonts w:ascii="Times New Roman" w:hAnsi="Times New Roman"/>
          <w:b/>
          <w:sz w:val="20"/>
        </w:rPr>
        <w:t>M2 — Small CNN with a global-average-pooling (GAP) head (23,938 trainable parameters).</w:t>
      </w:r>
      <w:r>
        <w:rPr>
          <w:rFonts w:ascii="Times New Roman" w:hAnsi="Times New Roman"/>
          <w:sz w:val="20"/>
        </w:rPr>
        <w:t xml:space="preserve"> Three convolutional blocks with a conventional channel progression (16 → 32 → 64; each block Conv3×3 → BatchNorm → ReLU → MaxPool2×2), with a GAP head rather than the flatten-then-dense head small-dataset CNN work commonly uses:</w:t>
      </w:r>
    </w:p>
    <w:p>
      <w:pPr>
        <w:tabs>
          <w:tab w:pos="4835" w:val="right"/>
        </w:tabs>
        <w:spacing w:before="80" w:after="80"/>
        <w:jc w:val="center"/>
      </w:pPr>
      <w:r>
        <w:rPr>
          <w:rFonts w:ascii="Times New Roman" w:hAnsi="Times New Roman"/>
          <w:i/>
          <w:sz w:val="20"/>
        </w:rPr>
        <w:t>gₖ = (1)/(H'W')Σ_(i=1)^(H')Σ_(j=1)^(W') a_(ijk),   ŷ = softmax(W_(f) drop_(0.5)(g) + b_(f))</w:t>
      </w:r>
      <w:r>
        <w:rPr>
          <w:rFonts w:ascii="Times New Roman" w:hAnsi="Times New Roman"/>
          <w:sz w:val="20"/>
        </w:rPr>
        <w:tab/>
        <w:t>(4)</w:t>
      </w:r>
    </w:p>
    <w:p>
      <w:pPr>
        <w:spacing w:after="0" w:before="0" w:line="240" w:lineRule="exact"/>
        <w:ind w:firstLine="202"/>
        <w:jc w:val="both"/>
      </w:pPr>
      <w:r>
        <w:rPr>
          <w:rFonts w:ascii="Times New Roman" w:hAnsi="Times New Roman"/>
          <w:sz w:val="20"/>
        </w:rPr>
        <w:t>The head is the point of this model: flattening the trunk's 28 × 28 × 64 output into a 128-unit dense layer would cost roughly 6.4 M parameters on 357 training images, where GAP costs 130 and preserves the trunk exactly (Section S-I-Q).</w:t>
      </w:r>
    </w:p>
    <w:p>
      <w:pPr>
        <w:spacing w:after="0" w:before="0" w:line="240" w:lineRule="exact"/>
        <w:ind w:firstLine="202"/>
        <w:jc w:val="both"/>
      </w:pPr>
      <w:r>
        <w:rPr>
          <w:rFonts w:ascii="Times New Roman" w:hAnsi="Times New Roman"/>
          <w:b/>
          <w:sz w:val="20"/>
        </w:rPr>
        <w:t>M3 — MobileNetV3-Small, frozen (1,154 trainable / 927,008 frozen).</w:t>
      </w:r>
      <w:r>
        <w:rPr>
          <w:rFonts w:ascii="Times New Roman" w:hAnsi="Times New Roman"/>
          <w:sz w:val="20"/>
        </w:rPr>
        <w:t xml:space="preserve"> The ImageNet-pretrained feature extractor [13] is frozen; a </w:t>
      </w:r>
      <w:r>
        <w:rPr>
          <w:rFonts w:ascii="Consolas" w:hAnsi="Consolas"/>
          <w:sz w:val="18"/>
        </w:rPr>
        <w:t>Dropout(0.3) → Linear(576, 2)</w:t>
      </w:r>
      <w:r>
        <w:rPr>
          <w:rFonts w:ascii="Times New Roman" w:hAnsi="Times New Roman"/>
          <w:sz w:val="20"/>
        </w:rPr>
        <w:t xml:space="preserve"> head is trained on its globally pooled 576-dimensional output. </w:t>
      </w:r>
      <w:r>
        <w:rPr>
          <w:rFonts w:ascii="Times New Roman" w:hAnsi="Times New Roman"/>
          <w:b/>
          <w:sz w:val="20"/>
        </w:rPr>
        <w:t>M4 — EfficientNet-B0, frozen (2,562 trainable / 4,007,548 frozen).</w:t>
      </w:r>
      <w:r>
        <w:rPr>
          <w:rFonts w:ascii="Times New Roman" w:hAnsi="Times New Roman"/>
          <w:sz w:val="20"/>
        </w:rPr>
        <w:t xml:space="preserve"> As M3, with the EfficientNet-B0 extractor [14] and a </w:t>
      </w:r>
      <w:r>
        <w:rPr>
          <w:rFonts w:ascii="Consolas" w:hAnsi="Consolas"/>
          <w:sz w:val="18"/>
        </w:rPr>
        <w:t>Dropout(0.3) → Linear(1280, 2)</w:t>
      </w:r>
      <w:r>
        <w:rPr>
          <w:rFonts w:ascii="Times New Roman" w:hAnsi="Times New Roman"/>
          <w:sz w:val="20"/>
        </w:rPr>
        <w:t xml:space="preserve"> head.</w:t>
      </w:r>
    </w:p>
    <w:p>
      <w:pPr>
        <w:spacing w:after="0" w:before="0" w:line="240" w:lineRule="exact"/>
        <w:ind w:firstLine="202"/>
        <w:jc w:val="both"/>
      </w:pPr>
      <w:r>
        <w:rPr>
          <w:rFonts w:ascii="Times New Roman" w:hAnsi="Times New Roman"/>
          <w:sz w:val="20"/>
        </w:rPr>
        <w:t xml:space="preserve">Both transfer models are therefore </w:t>
      </w:r>
      <w:r>
        <w:rPr>
          <w:rFonts w:ascii="Times New Roman" w:hAnsi="Times New Roman"/>
          <w:b/>
          <w:sz w:val="20"/>
        </w:rPr>
        <w:t>linear probes on a fixed representation</w:t>
      </w:r>
      <w:r>
        <w:rPr>
          <w:rFonts w:ascii="Times New Roman" w:hAnsi="Times New Roman"/>
          <w:sz w:val="20"/>
        </w:rPr>
        <w:t xml:space="preserve">, which is what this study's question calls for: the question is what a change in the </w:t>
      </w:r>
      <w:r>
        <w:rPr>
          <w:rFonts w:ascii="Times New Roman" w:hAnsi="Times New Roman"/>
          <w:i/>
          <w:sz w:val="20"/>
        </w:rPr>
        <w:t>input distribution</w:t>
      </w:r>
      <w:r>
        <w:rPr>
          <w:rFonts w:ascii="Times New Roman" w:hAnsi="Times New Roman"/>
          <w:sz w:val="20"/>
        </w:rPr>
        <w:t xml:space="preserve"> does, and a probe holds the representation constant while the input changes, so any movement is attributable to the input alone. A fine-tuned network confounds the two, because the representation drifts in response to the same shift whose effect is being measured; freezing is what makes the comparison between the internal test and the external conditions an intervention on the input rather than on the model. It also measures the shortcut as it is available to a practitioner using an off-the-shelf backbone, keeps M3 and M4 balanced at one trained linear layer each, and holds the compute budget within CPU-only hardware.</w:t>
      </w:r>
    </w:p>
    <w:p>
      <w:pPr>
        <w:spacing w:after="0" w:before="0" w:line="240" w:lineRule="exact"/>
        <w:ind w:firstLine="202"/>
        <w:jc w:val="both"/>
      </w:pPr>
      <w:r>
        <w:rPr>
          <w:rFonts w:ascii="Times New Roman" w:hAnsi="Times New Roman"/>
          <w:sz w:val="20"/>
        </w:rPr>
        <w:t xml:space="preserve">What a probe cannot say is what end-to-end fine-tuning or contrastive self-supervised pre-training would learn, and we measure neither. Two opposing expectations are worth stating because neither is tested here. Adaptable features might discover packaging texture that a frozen ImageNet trunk does not encode; but the acquisition signal in this pool is separable at zero training loss (Section IV-A), and a cross-entropy objective that has already driven the loss to zero on the cheapest available feature has no gradient pressure to look past it, so we would not expect fine-tuning to discard the shortcut merely by having the capacity to. The extra capacity could equally specialize onto residual acquisition artifacts more aggressively than a frozen trunk. </w:t>
      </w:r>
      <w:r>
        <w:rPr>
          <w:rFonts w:ascii="Times New Roman" w:hAnsi="Times New Roman"/>
          <w:b/>
          <w:sz w:val="20"/>
        </w:rPr>
        <w:t>The frozen-backbone results bound neither outcome</w:t>
      </w:r>
      <w:r>
        <w:rPr>
          <w:rFonts w:ascii="Times New Roman" w:hAnsi="Times New Roman"/>
          <w:sz w:val="20"/>
        </w:rPr>
        <w:t>, and Section V-C names the experiment that would settle it.</w:t>
      </w:r>
    </w:p>
    <w:p>
      <w:pPr>
        <w:spacing w:after="0" w:before="0" w:line="240" w:lineRule="exact"/>
        <w:ind w:firstLine="202"/>
        <w:jc w:val="both"/>
      </w:pPr>
      <w:r>
        <w:rPr>
          <w:rFonts w:ascii="Times New Roman" w:hAnsi="Times New Roman"/>
          <w:sz w:val="20"/>
        </w:rPr>
        <w:t xml:space="preserve">Training-partition augmentation for M2–M4 is rotation ±12°, brightness and contrast jitter (±0.25), mild </w:t>
      </w:r>
      <w:r>
        <w:rPr>
          <w:rFonts w:ascii="Consolas" w:hAnsi="Consolas"/>
          <w:sz w:val="18"/>
        </w:rPr>
        <w:t>RandomResizedCrop</w:t>
      </w:r>
      <w:r>
        <w:rPr>
          <w:rFonts w:ascii="Times New Roman" w:hAnsi="Times New Roman"/>
          <w:sz w:val="20"/>
        </w:rPr>
        <w:t xml:space="preserve"> (scale 0.85–1.0), and slight Gaussian blur (kernel 3, σ ∈ [0.1, 0.8]). </w:t>
      </w:r>
      <w:r>
        <w:rPr>
          <w:rFonts w:ascii="Times New Roman" w:hAnsi="Times New Roman"/>
          <w:b/>
          <w:sz w:val="20"/>
        </w:rPr>
        <w:t>No horizontal or vertical flip</w:t>
      </w:r>
      <w:r>
        <w:rPr>
          <w:rFonts w:ascii="Times New Roman" w:hAnsi="Times New Roman"/>
          <w:sz w:val="20"/>
        </w:rPr>
        <w:t xml:space="preserve"> is used, because mirroring produces printed packaging text that cannot occur in deployment. M1 is excluded from augmentation by design: rotation and cropping are near-invariances of a color histogram, while brightness and contrast jitter would perturb the only feature this model observes, acting as label noise rather than as the spatial-filter regularizer they are for a CNN.</w:t>
      </w:r>
    </w:p>
    <w:p>
      <w:pPr>
        <w:spacing w:after="0" w:before="0" w:line="240" w:lineRule="exact"/>
        <w:ind w:firstLine="202"/>
        <w:jc w:val="both"/>
      </w:pPr>
      <w:r>
        <w:rPr>
          <w:rFonts w:ascii="Times New Roman" w:hAnsi="Times New Roman"/>
          <w:sz w:val="20"/>
        </w:rPr>
        <w:t xml:space="preserve">Table S2 gives every training setting in one place, and nothing in it varies by split, condition or experiment: Adam at 1 × 10⁻³ for M2–M4, selected from {1 × 10⁻³, 3 × 10⁻⁴, 1 × 10⁻⁴} on Split A train/val alone; batch 32; class-weighted cross-entropy; a 50-epoch cap with early stopping on validation loss at patience 4 and minimum improvement 1 × 10⁻³; best-validation-loss state persisted as a checkpoint; a 0.5 decision threshold; and seed 42 fixed before every run, fold and augmented extraction pass, with sensitivity at 42–46 (Table 6). M1 is fitted by </w:t>
      </w:r>
      <w:r>
        <w:rPr>
          <w:rFonts w:ascii="Consolas" w:hAnsi="Consolas"/>
          <w:sz w:val="18"/>
        </w:rPr>
        <w:t>LogisticRegression(max_iter=2000, class_weight="balanced")</w:t>
      </w:r>
      <w:r>
        <w:rPr>
          <w:rFonts w:ascii="Times New Roman" w:hAnsi="Times New Roman"/>
          <w:sz w:val="20"/>
        </w:rPr>
        <w:t xml:space="preserve"> with neither augmentation nor the normalization operator. All runs are CPU-only.</w:t>
      </w:r>
    </w:p>
    <w:p>
      <w:pPr>
        <w:keepNext/>
        <w:spacing w:before="160" w:after="60" w:line="240" w:lineRule="exact"/>
        <w:jc w:val="left"/>
      </w:pPr>
      <w:r>
        <w:rPr>
          <w:rFonts w:ascii="Arial" w:hAnsi="Arial"/>
          <w:b/>
          <w:i/>
          <w:color w:val="000000"/>
          <w:sz w:val="18"/>
        </w:rPr>
        <w:t>D. EXTERNAL EVALUATION</w:t>
      </w:r>
    </w:p>
    <w:p>
      <w:pPr>
        <w:spacing w:after="0" w:before="0" w:line="240" w:lineRule="exact"/>
        <w:ind w:firstLine="202"/>
        <w:jc w:val="both"/>
      </w:pPr>
      <w:r>
        <w:rPr>
          <w:rFonts w:ascii="Times New Roman" w:hAnsi="Times New Roman"/>
          <w:sz w:val="20"/>
        </w:rPr>
        <w:t xml:space="preserve">Throughout, authentic = 0 and </w:t>
      </w:r>
      <w:r>
        <w:rPr>
          <w:rFonts w:ascii="Times New Roman" w:hAnsi="Times New Roman"/>
          <w:b/>
          <w:sz w:val="20"/>
        </w:rPr>
        <w:t>counterfeit is the positive class</w:t>
      </w:r>
      <w:r>
        <w:rPr>
          <w:rFonts w:ascii="Times New Roman" w:hAnsi="Times New Roman"/>
          <w:sz w:val="20"/>
        </w:rPr>
        <w:t xml:space="preserve">, so precision, recall, F1 score and the areas under the receiver operating characteristic and precision–recall curves are reported with respect to counterfeit detection — the deployment framing, in which the costly error is calling a falsified product genuine. Because a reader in a clinical setting may take "positive" to mean </w:t>
      </w:r>
      <w:r>
        <w:rPr>
          <w:rFonts w:ascii="Times New Roman" w:hAnsi="Times New Roman"/>
          <w:i/>
          <w:sz w:val="20"/>
        </w:rPr>
        <w:t>genuine</w:t>
      </w:r>
      <w:r>
        <w:rPr>
          <w:rFonts w:ascii="Times New Roman" w:hAnsi="Times New Roman"/>
          <w:sz w:val="20"/>
        </w:rPr>
        <w:t>, the convention is set out in full here and every later use follows it.</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5032"/>
        <w:gridCol w:w="5032"/>
      </w:tblGrid>
      <w:tr>
        <w:tc>
          <w:tcPr>
            <w:tcW w:type="dxa" w:w="5032"/>
            <w:shd w:val="clear" w:color="auto" w:fill="DCE6EF"/>
          </w:tcPr>
          <w:p>
            <w:pPr>
              <w:spacing w:after="20" w:before="20"/>
              <w:jc w:val="left"/>
            </w:pPr>
            <w:r>
              <w:rPr>
                <w:b/>
              </w:rPr>
            </w:r>
            <w:r>
              <w:rPr>
                <w:rFonts w:ascii="Arial" w:hAnsi="Arial"/>
                <w:b/>
                <w:sz w:val="14"/>
              </w:rPr>
              <w:t>Term</w:t>
            </w:r>
          </w:p>
        </w:tc>
        <w:tc>
          <w:tcPr>
            <w:tcW w:type="dxa" w:w="5032"/>
            <w:shd w:val="clear" w:color="auto" w:fill="DCE6EF"/>
          </w:tcPr>
          <w:p>
            <w:pPr>
              <w:spacing w:after="20" w:before="20"/>
              <w:jc w:val="center"/>
            </w:pPr>
            <w:r>
              <w:rPr>
                <w:b/>
              </w:rPr>
            </w:r>
            <w:r>
              <w:rPr>
                <w:rFonts w:ascii="Arial" w:hAnsi="Arial"/>
                <w:b/>
                <w:sz w:val="14"/>
              </w:rPr>
              <w:t>Meaning in this paper</w:t>
            </w:r>
          </w:p>
        </w:tc>
      </w:tr>
      <w:tr>
        <w:tc>
          <w:tcPr>
            <w:tcW w:type="dxa" w:w="5032"/>
          </w:tcPr>
          <w:p>
            <w:pPr>
              <w:spacing w:after="20" w:before="20"/>
              <w:jc w:val="left"/>
            </w:pPr>
            <w:r/>
            <w:r>
              <w:rPr>
                <w:rFonts w:ascii="Arial" w:hAnsi="Arial"/>
                <w:i/>
                <w:sz w:val="14"/>
              </w:rPr>
              <w:t>y = 0</w:t>
            </w:r>
          </w:p>
        </w:tc>
        <w:tc>
          <w:tcPr>
            <w:tcW w:type="dxa" w:w="5032"/>
          </w:tcPr>
          <w:p>
            <w:pPr>
              <w:spacing w:after="20" w:before="20"/>
              <w:jc w:val="center"/>
            </w:pPr>
            <w:r/>
            <w:r>
              <w:rPr>
                <w:rFonts w:ascii="Arial" w:hAnsi="Arial"/>
                <w:sz w:val="14"/>
              </w:rPr>
              <w:t>Authentic (negative class)</w:t>
            </w:r>
          </w:p>
        </w:tc>
      </w:tr>
      <w:tr>
        <w:tc>
          <w:tcPr>
            <w:tcW w:type="dxa" w:w="5032"/>
          </w:tcPr>
          <w:p>
            <w:pPr>
              <w:spacing w:after="20" w:before="20"/>
              <w:jc w:val="left"/>
            </w:pPr>
            <w:r/>
            <w:r>
              <w:rPr>
                <w:rFonts w:ascii="Arial" w:hAnsi="Arial"/>
                <w:i/>
                <w:sz w:val="14"/>
              </w:rPr>
              <w:t>y = 1</w:t>
            </w:r>
          </w:p>
        </w:tc>
        <w:tc>
          <w:tcPr>
            <w:tcW w:type="dxa" w:w="5032"/>
          </w:tcPr>
          <w:p>
            <w:pPr>
              <w:spacing w:after="20" w:before="20"/>
              <w:jc w:val="center"/>
            </w:pPr>
            <w:r/>
            <w:r>
              <w:rPr>
                <w:rFonts w:ascii="Arial" w:hAnsi="Arial"/>
                <w:sz w:val="14"/>
              </w:rPr>
              <w:t>Counterfeit (positive class)</w:t>
            </w:r>
          </w:p>
        </w:tc>
      </w:tr>
      <w:tr>
        <w:tc>
          <w:tcPr>
            <w:tcW w:type="dxa" w:w="5032"/>
          </w:tcPr>
          <w:p>
            <w:pPr>
              <w:spacing w:after="20" w:before="20"/>
              <w:jc w:val="left"/>
            </w:pPr>
            <w:r/>
            <w:r>
              <w:rPr>
                <w:rFonts w:ascii="Arial" w:hAnsi="Arial"/>
                <w:sz w:val="14"/>
              </w:rPr>
              <w:t>Sensitivity, recall</w:t>
            </w:r>
          </w:p>
        </w:tc>
        <w:tc>
          <w:tcPr>
            <w:tcW w:type="dxa" w:w="5032"/>
          </w:tcPr>
          <w:p>
            <w:pPr>
              <w:spacing w:after="20" w:before="20"/>
              <w:jc w:val="center"/>
            </w:pPr>
            <w:r/>
            <w:r>
              <w:rPr>
                <w:rFonts w:ascii="Arial" w:hAnsi="Arial"/>
                <w:sz w:val="14"/>
              </w:rPr>
              <w:t>Counterfeit correctly classified as counterfeit</w:t>
            </w:r>
          </w:p>
        </w:tc>
      </w:tr>
      <w:tr>
        <w:tc>
          <w:tcPr>
            <w:tcW w:type="dxa" w:w="5032"/>
          </w:tcPr>
          <w:p>
            <w:pPr>
              <w:spacing w:after="20" w:before="20"/>
              <w:jc w:val="left"/>
            </w:pPr>
            <w:r/>
            <w:r>
              <w:rPr>
                <w:rFonts w:ascii="Arial" w:hAnsi="Arial"/>
                <w:b/>
                <w:sz w:val="14"/>
              </w:rPr>
              <w:t>Specificity</w:t>
            </w:r>
          </w:p>
        </w:tc>
        <w:tc>
          <w:tcPr>
            <w:tcW w:type="dxa" w:w="5032"/>
          </w:tcPr>
          <w:p>
            <w:pPr>
              <w:spacing w:after="20" w:before="20"/>
              <w:jc w:val="center"/>
            </w:pPr>
            <w:r/>
            <w:r>
              <w:rPr>
                <w:rFonts w:ascii="Arial" w:hAnsi="Arial"/>
                <w:sz w:val="14"/>
              </w:rPr>
              <w:t>Authentic correctly classified as authentic</w:t>
            </w:r>
          </w:p>
        </w:tc>
      </w:tr>
      <w:tr>
        <w:tc>
          <w:tcPr>
            <w:tcW w:type="dxa" w:w="5032"/>
          </w:tcPr>
          <w:p>
            <w:pPr>
              <w:spacing w:after="20" w:before="20"/>
              <w:jc w:val="left"/>
            </w:pPr>
            <w:r/>
            <w:r>
              <w:rPr>
                <w:rFonts w:ascii="Arial" w:hAnsi="Arial"/>
                <w:sz w:val="14"/>
              </w:rPr>
              <w:t>Accuracy</w:t>
            </w:r>
          </w:p>
        </w:tc>
        <w:tc>
          <w:tcPr>
            <w:tcW w:type="dxa" w:w="5032"/>
          </w:tcPr>
          <w:p>
            <w:pPr>
              <w:spacing w:after="20" w:before="20"/>
              <w:jc w:val="center"/>
            </w:pPr>
            <w:r/>
            <w:r>
              <w:rPr>
                <w:rFonts w:ascii="Arial" w:hAnsi="Arial"/>
                <w:sz w:val="14"/>
              </w:rPr>
              <w:t xml:space="preserve">Fraction correct over a </w:t>
            </w:r>
            <w:r>
              <w:rPr>
                <w:rFonts w:ascii="Arial" w:hAnsi="Arial"/>
                <w:b/>
                <w:sz w:val="14"/>
              </w:rPr>
              <w:t>mixed-class</w:t>
            </w:r>
            <w:r>
              <w:rPr>
                <w:rFonts w:ascii="Arial" w:hAnsi="Arial"/>
                <w:sz w:val="14"/>
              </w:rPr>
              <w:t xml:space="preserve"> set: the internal grouped test, and the balanced external test</w:t>
            </w:r>
          </w:p>
        </w:tc>
      </w:tr>
      <w:tr>
        <w:tc>
          <w:tcPr>
            <w:tcW w:type="dxa" w:w="5032"/>
          </w:tcPr>
          <w:p>
            <w:pPr>
              <w:spacing w:after="20" w:before="20"/>
              <w:jc w:val="left"/>
            </w:pPr>
            <w:r/>
            <w:r>
              <w:rPr>
                <w:rFonts w:ascii="Arial" w:hAnsi="Arial"/>
                <w:sz w:val="14"/>
              </w:rPr>
              <w:t>External specificity</w:t>
            </w:r>
          </w:p>
        </w:tc>
        <w:tc>
          <w:tcPr>
            <w:tcW w:type="dxa" w:w="5032"/>
          </w:tcPr>
          <w:p>
            <w:pPr>
              <w:spacing w:after="20" w:before="20"/>
              <w:jc w:val="center"/>
            </w:pPr>
            <w:r/>
            <w:r>
              <w:rPr>
                <w:rFonts w:ascii="Arial" w:hAnsi="Arial"/>
                <w:sz w:val="14"/>
              </w:rPr>
              <w:t xml:space="preserve">Specificity on an </w:t>
            </w:r>
            <w:r>
              <w:rPr>
                <w:rFonts w:ascii="Arial" w:hAnsi="Arial"/>
                <w:b/>
                <w:sz w:val="14"/>
              </w:rPr>
              <w:t>authentic-only</w:t>
            </w:r>
            <w:r>
              <w:rPr>
                <w:rFonts w:ascii="Arial" w:hAnsi="Arial"/>
                <w:sz w:val="14"/>
              </w:rPr>
              <w:t xml:space="preserve"> set; the only quantity such a set can measure</w:t>
            </w:r>
          </w:p>
        </w:tc>
      </w:tr>
      <w:tr>
        <w:tc>
          <w:tcPr>
            <w:tcW w:type="dxa" w:w="5032"/>
          </w:tcPr>
          <w:p>
            <w:pPr>
              <w:spacing w:after="20" w:before="20"/>
              <w:jc w:val="left"/>
            </w:pPr>
            <w:r/>
            <w:r>
              <w:rPr>
                <w:rFonts w:ascii="Arial" w:hAnsi="Arial"/>
                <w:sz w:val="14"/>
              </w:rPr>
              <w:t>External counterfeit recall</w:t>
            </w:r>
          </w:p>
        </w:tc>
        <w:tc>
          <w:tcPr>
            <w:tcW w:type="dxa" w:w="5032"/>
          </w:tcPr>
          <w:p>
            <w:pPr>
              <w:spacing w:after="20" w:before="20"/>
              <w:jc w:val="center"/>
            </w:pPr>
            <w:r/>
            <w:r>
              <w:rPr>
                <w:rFonts w:ascii="Arial" w:hAnsi="Arial"/>
                <w:sz w:val="14"/>
              </w:rPr>
              <w:t xml:space="preserve">Recall on a </w:t>
            </w:r>
            <w:r>
              <w:rPr>
                <w:rFonts w:ascii="Arial" w:hAnsi="Arial"/>
                <w:b/>
                <w:sz w:val="14"/>
              </w:rPr>
              <w:t>counterfeit-only</w:t>
            </w:r>
            <w:r>
              <w:rPr>
                <w:rFonts w:ascii="Arial" w:hAnsi="Arial"/>
                <w:sz w:val="14"/>
              </w:rPr>
              <w:t xml:space="preserve"> source; the only quantity such a source can measure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evaluations, named for what they measure.</w:t>
      </w:r>
      <w:r>
        <w:rPr>
          <w:rFonts w:ascii="Times New Roman" w:hAnsi="Times New Roman"/>
          <w:sz w:val="20"/>
        </w:rPr>
        <w:t xml:space="preserve"> The study runs one internal and two external evaluations, and this paper names them by what they are rather than by a letter: the </w:t>
      </w:r>
      <w:r>
        <w:rPr>
          <w:rFonts w:ascii="Times New Roman" w:hAnsi="Times New Roman"/>
          <w:b/>
          <w:sz w:val="20"/>
        </w:rPr>
        <w:t>internal grouped test</w:t>
      </w:r>
      <w:r>
        <w:rPr>
          <w:rFonts w:ascii="Times New Roman" w:hAnsi="Times New Roman"/>
          <w:sz w:val="20"/>
        </w:rPr>
        <w:t xml:space="preserve"> (Split B's held-out partition, Section III-B), the </w:t>
      </w:r>
      <w:r>
        <w:rPr>
          <w:rFonts w:ascii="Times New Roman" w:hAnsi="Times New Roman"/>
          <w:b/>
          <w:sz w:val="20"/>
        </w:rPr>
        <w:t>balanced external test</w:t>
      </w:r>
      <w:r>
        <w:rPr>
          <w:rFonts w:ascii="Times New Roman" w:hAnsi="Times New Roman"/>
          <w:sz w:val="20"/>
        </w:rPr>
        <w:t xml:space="preserve">, and the </w:t>
      </w:r>
      <w:r>
        <w:rPr>
          <w:rFonts w:ascii="Times New Roman" w:hAnsi="Times New Roman"/>
          <w:b/>
          <w:sz w:val="20"/>
        </w:rPr>
        <w:t>external acquisition-shift test</w:t>
      </w:r>
      <w:r>
        <w:rPr>
          <w:rFonts w:ascii="Times New Roman" w:hAnsi="Times New Roman"/>
          <w:sz w:val="20"/>
        </w:rPr>
        <w:t>. The technical split labels are kept in this section, in the reproduction appendix and in the supplement, where a reader rebuilding the pipeline needs them, and are not asked to carry the argument.</w:t>
      </w:r>
    </w:p>
    <w:p>
      <w:pPr>
        <w:spacing w:after="0" w:before="0" w:line="240" w:lineRule="exact"/>
        <w:ind w:firstLine="202"/>
        <w:jc w:val="both"/>
      </w:pPr>
      <w:r>
        <w:rPr>
          <w:rFonts w:ascii="Times New Roman" w:hAnsi="Times New Roman"/>
          <w:b/>
          <w:sz w:val="20"/>
        </w:rPr>
        <w:t>The one-sided rule, and the set built to escape it.</w:t>
      </w:r>
      <w:r>
        <w:rPr>
          <w:rFonts w:ascii="Times New Roman" w:hAnsi="Times New Roman"/>
          <w:sz w:val="20"/>
        </w:rPr>
        <w:t xml:space="preserve"> An external set holding one class can estimate one thing. The two acquisition-shift conditions hold authentic images only and the regulatory source holds counterfeit images only, so </w:t>
      </w:r>
      <w:r>
        <w:rPr>
          <w:rFonts w:ascii="Times New Roman" w:hAnsi="Times New Roman"/>
          <w:b/>
          <w:sz w:val="20"/>
        </w:rPr>
        <w:t>nothing computed on any of them alone is an accuracy</w:t>
      </w:r>
      <w:r>
        <w:rPr>
          <w:rFonts w:ascii="Times New Roman" w:hAnsi="Times New Roman"/>
          <w:sz w:val="20"/>
        </w:rPr>
        <w:t xml:space="preserve">: the first two yield a specificity and the third a recall. That is a measurement limit rather than a wording preference, because a one-sided figure cannot separate a model applying a decision rule from one that has merely moved its operating point — a classifier calling every image counterfeit scores 0.000 specificity and 1.000 recall, and Section IV-C reports that this is a description of one of our four models rather than a hypothetical. We therefore write "external specificity" rather than "external accuracy" wherever an authentic-only set is reported, reserve </w:t>
      </w:r>
      <w:r>
        <w:rPr>
          <w:rFonts w:ascii="Times New Roman" w:hAnsi="Times New Roman"/>
          <w:i/>
          <w:sz w:val="20"/>
        </w:rPr>
        <w:t>accuracy</w:t>
      </w:r>
      <w:r>
        <w:rPr>
          <w:rFonts w:ascii="Times New Roman" w:hAnsi="Times New Roman"/>
          <w:sz w:val="20"/>
        </w:rPr>
        <w:t xml:space="preserve"> for mixed-class sets, and never quote one direction alone. The balanced external test exists to escape the limit rather than to work around it.</w:t>
      </w:r>
    </w:p>
    <w:p>
      <w:pPr>
        <w:keepNext/>
        <w:spacing w:before="160" w:after="60" w:line="240" w:lineRule="exact"/>
        <w:jc w:val="left"/>
      </w:pPr>
      <w:r>
        <w:rPr>
          <w:rFonts w:ascii="Arial" w:hAnsi="Arial"/>
          <w:b w:val="0"/>
          <w:i w:val="0"/>
          <w:color w:val="000000"/>
          <w:sz w:val="18"/>
        </w:rPr>
        <w:t>1) The balanced external test</w:t>
      </w:r>
    </w:p>
    <w:p>
      <w:pPr>
        <w:spacing w:after="0" w:before="0" w:line="240" w:lineRule="exact"/>
        <w:ind w:firstLine="202"/>
        <w:jc w:val="both"/>
      </w:pPr>
      <w:r>
        <w:rPr>
          <w:rFonts w:ascii="Times New Roman" w:hAnsi="Times New Roman"/>
          <w:b/>
          <w:sz w:val="20"/>
        </w:rPr>
        <w:t>What it holds.</w:t>
      </w:r>
      <w:r>
        <w:rPr>
          <w:rFonts w:ascii="Times New Roman" w:hAnsi="Times New Roman"/>
          <w:sz w:val="20"/>
        </w:rPr>
        <w:t xml:space="preserve"> 92 photographs, </w:t>
      </w:r>
      <w:r>
        <w:rPr>
          <w:rFonts w:ascii="Times New Roman" w:hAnsi="Times New Roman"/>
          <w:b/>
          <w:sz w:val="20"/>
        </w:rPr>
        <w:t>46 counterfeit and 46 authentic</w:t>
      </w:r>
      <w:r>
        <w:rPr>
          <w:rFonts w:ascii="Times New Roman" w:hAnsi="Times New Roman"/>
          <w:sz w:val="20"/>
        </w:rPr>
        <w:t>, from two independent sources, evaluated once against frozen checkpoints. It is the only evaluation in this study on which accuracy, balanced accuracy, precision, F1 and ROC-AUC are defined, and the only one whose confusion matrix means anything.</w:t>
      </w:r>
    </w:p>
    <w:p>
      <w:pPr>
        <w:spacing w:after="0" w:before="0" w:line="240" w:lineRule="exact"/>
        <w:ind w:firstLine="202"/>
        <w:jc w:val="both"/>
      </w:pPr>
      <w:r>
        <w:rPr>
          <w:rFonts w:ascii="Times New Roman" w:hAnsi="Times New Roman"/>
          <w:b/>
          <w:sz w:val="20"/>
        </w:rPr>
        <w:t>The counterfeit class</w:t>
      </w:r>
      <w:r>
        <w:rPr>
          <w:rFonts w:ascii="Times New Roman" w:hAnsi="Times New Roman"/>
          <w:sz w:val="20"/>
        </w:rPr>
        <w:t xml:space="preserve"> is one photograph from each of </w:t>
      </w:r>
      <w:r>
        <w:rPr>
          <w:rFonts w:ascii="Times New Roman" w:hAnsi="Times New Roman"/>
          <w:b/>
          <w:sz w:val="20"/>
        </w:rPr>
        <w:t>46 FDA and WHO medical-product alerts</w:t>
      </w:r>
      <w:r>
        <w:rPr>
          <w:rFonts w:ascii="Times New Roman" w:hAnsi="Times New Roman"/>
          <w:sz w:val="20"/>
        </w:rPr>
        <w:t xml:space="preserve"> confirming a falsified product (technically, Split E). Candidates come from a rights-audited manifest of alert imagery and from a harvest of both archives, including rasters extracted from the alert PDFs WHO has published in place of inline images since about 2022. Several frames per alert photograph one seizure of one product, so the alert rather than the frame is the unit of independence; taking one frame per alert — the within-case median-brightness frame, a rule that consults no model — makes each of the 46 an independent case and removes the need for clustered intervals. Independence was verified against every image in the project's raw tree: </w:t>
      </w:r>
      <w:r>
        <w:rPr>
          <w:rFonts w:ascii="Times New Roman" w:hAnsi="Times New Roman"/>
          <w:b/>
          <w:sz w:val="20"/>
        </w:rPr>
        <w:t>0 of 202 candidates matched anything within the near-duplicate threshold</w:t>
      </w:r>
      <w:r>
        <w:rPr>
          <w:rFonts w:ascii="Times New Roman" w:hAnsi="Times New Roman"/>
          <w:sz w:val="20"/>
        </w:rPr>
        <w:t xml:space="preserve"> (Section S-VIII).</w:t>
      </w:r>
    </w:p>
    <w:p>
      <w:pPr>
        <w:spacing w:after="0" w:before="0" w:line="240" w:lineRule="exact"/>
        <w:ind w:firstLine="202"/>
        <w:jc w:val="both"/>
      </w:pPr>
      <w:r>
        <w:rPr>
          <w:rFonts w:ascii="Times New Roman" w:hAnsi="Times New Roman"/>
          <w:b/>
          <w:sz w:val="20"/>
        </w:rPr>
        <w:t>The authentic class could not come from any source already in this study, and saying why is the design.</w:t>
      </w:r>
      <w:r>
        <w:rPr>
          <w:rFonts w:ascii="Times New Roman" w:hAnsi="Times New Roman"/>
          <w:sz w:val="20"/>
        </w:rPr>
        <w:t xml:space="preserve"> The regulatory archives supply one: of nine authentic-labeled candidates, eight are flat vector carton artwork against field photographs for every falsified one — a </w:t>
      </w:r>
      <w:r>
        <w:rPr>
          <w:rFonts w:ascii="Times New Roman" w:hAnsi="Times New Roman"/>
          <w:b/>
          <w:sz w:val="20"/>
        </w:rPr>
        <w:t>+0.233 mean-brightness gap</w:t>
      </w:r>
      <w:r>
        <w:rPr>
          <w:rFonts w:ascii="Times New Roman" w:hAnsi="Times New Roman"/>
          <w:sz w:val="20"/>
        </w:rPr>
        <w:t xml:space="preserve"> that is a property of how the images were produced and not of the products. A regulator publishes photographs of what it seized and manufacturer artwork of what the genuine article should look like, so that asymmetry is structural rather than an accident of one harvest. The acquisition-shift conditions supply the other: pairing their photographs with the regulatory ones would open a brightness gap of </w:t>
      </w:r>
      <w:r>
        <w:rPr>
          <w:rFonts w:ascii="Times New Roman" w:hAnsi="Times New Roman"/>
          <w:b/>
          <w:sz w:val="20"/>
        </w:rPr>
        <w:t>+0.396</w:t>
      </w:r>
      <w:r>
        <w:rPr>
          <w:rFonts w:ascii="Times New Roman" w:hAnsi="Times New Roman"/>
          <w:sz w:val="20"/>
        </w:rPr>
        <w:t xml:space="preserve"> and set a 2448 px median short side against 439 px — </w:t>
      </w:r>
      <w:r>
        <w:rPr>
          <w:rFonts w:ascii="Times New Roman" w:hAnsi="Times New Roman"/>
          <w:i/>
          <w:sz w:val="20"/>
        </w:rPr>
        <w:t>larger</w:t>
      </w:r>
      <w:r>
        <w:rPr>
          <w:rFonts w:ascii="Times New Roman" w:hAnsi="Times New Roman"/>
          <w:sz w:val="20"/>
        </w:rPr>
        <w:t xml:space="preserve"> than the gap that disqualified the artwork. Either route would have reproduced the confound this paper exists to expose inside the paper's own external validation.</w:t>
      </w:r>
    </w:p>
    <w:p>
      <w:pPr>
        <w:spacing w:after="0" w:before="0" w:line="240" w:lineRule="exact"/>
        <w:ind w:firstLine="202"/>
        <w:jc w:val="both"/>
      </w:pPr>
      <w:r>
        <w:rPr>
          <w:rFonts w:ascii="Times New Roman" w:hAnsi="Times New Roman"/>
          <w:b/>
          <w:sz w:val="20"/>
        </w:rPr>
        <w:t>So the authentic class was sourced independently</w:t>
      </w:r>
      <w:r>
        <w:rPr>
          <w:rFonts w:ascii="Times New Roman" w:hAnsi="Times New Roman"/>
          <w:sz w:val="20"/>
        </w:rPr>
        <w:t xml:space="preserve">, from Wikimedia Commons — a third-party photographic archive with no relation to any source here, carrying per-file license and authorship — and product-matched to the 46 alerts, whose titles name their products. Of 3,568 candidates, 788 survive a pre-download filter on title and native resolution and 672 were fetched; automated screens on flatness, brightness and duplication leave 449; a rotation-canonical pHash check against all 7,283 images under </w:t>
      </w:r>
      <w:r>
        <w:rPr>
          <w:rFonts w:ascii="Consolas" w:hAnsi="Consolas"/>
          <w:sz w:val="18"/>
        </w:rPr>
        <w:t>data/raw</w:t>
      </w:r>
      <w:r>
        <w:rPr>
          <w:rFonts w:ascii="Times New Roman" w:hAnsi="Times New Roman"/>
          <w:sz w:val="20"/>
        </w:rPr>
        <w:t xml:space="preserve"> returns </w:t>
      </w:r>
      <w:r>
        <w:rPr>
          <w:rFonts w:ascii="Times New Roman" w:hAnsi="Times New Roman"/>
          <w:b/>
          <w:sz w:val="20"/>
        </w:rPr>
        <w:t>0 matches within the threshold</w:t>
      </w:r>
      <w:r>
        <w:rPr>
          <w:rFonts w:ascii="Times New Roman" w:hAnsi="Times New Roman"/>
          <w:sz w:val="20"/>
        </w:rPr>
        <w:t xml:space="preserve">, closest approach Hamming 10 — the same closest approach Split C and the regulatory candidates each recorded — and removing 11 within-set near-duplicates leaves 438. A recorded subject-matter review (Section S-IX) then accepts </w:t>
      </w:r>
      <w:r>
        <w:rPr>
          <w:rFonts w:ascii="Times New Roman" w:hAnsi="Times New Roman"/>
          <w:b/>
          <w:sz w:val="20"/>
        </w:rPr>
        <w:t>174</w:t>
      </w:r>
      <w:r>
        <w:rPr>
          <w:rFonts w:ascii="Times New Roman" w:hAnsi="Times New Roman"/>
          <w:sz w:val="20"/>
        </w:rPr>
        <w:t xml:space="preserve">: Commons, searched by drug name, returns a great deal that is not a photograph of a medicine package, and 99 candidates show no medical product at all, 69 make a person the subject, 38 are drawings or renderings, 28 are museum objects and 25 show a loose dose form with no packaging. The final 46 are chosen from the 174 by nearest-neighbour brightness matching to the 46 counterfeit frames, at most one per product search term while the terms last, which spreads them over </w:t>
      </w:r>
      <w:r>
        <w:rPr>
          <w:rFonts w:ascii="Times New Roman" w:hAnsi="Times New Roman"/>
          <w:b/>
          <w:sz w:val="20"/>
        </w:rPr>
        <w:t>29 distinct products</w:t>
      </w:r>
      <w:r>
        <w:rPr>
          <w:rFonts w:ascii="Times New Roman" w:hAnsi="Times New Roman"/>
          <w:sz w:val="20"/>
        </w:rPr>
        <w:t>.</w:t>
      </w:r>
    </w:p>
    <w:p>
      <w:pPr>
        <w:spacing w:after="0" w:before="0" w:line="240" w:lineRule="exact"/>
        <w:ind w:firstLine="202"/>
        <w:jc w:val="both"/>
      </w:pPr>
      <w:r>
        <w:rPr>
          <w:rFonts w:ascii="Times New Roman" w:hAnsi="Times New Roman"/>
          <w:b/>
          <w:sz w:val="20"/>
        </w:rPr>
        <w:t>What "authentic" means on this side of the set, stated exactly.</w:t>
      </w:r>
      <w:r>
        <w:rPr>
          <w:rFonts w:ascii="Times New Roman" w:hAnsi="Times New Roman"/>
          <w:sz w:val="20"/>
        </w:rPr>
        <w:t xml:space="preserve"> The two classes are not established on the same footing, and the difference is not one the construction can remove. The counterfeit class is </w:t>
      </w:r>
      <w:r>
        <w:rPr>
          <w:rFonts w:ascii="Times New Roman" w:hAnsi="Times New Roman"/>
          <w:b/>
          <w:sz w:val="20"/>
        </w:rPr>
        <w:t>regulator-confirmed</w:t>
      </w:r>
      <w:r>
        <w:rPr>
          <w:rFonts w:ascii="Times New Roman" w:hAnsi="Times New Roman"/>
          <w:sz w:val="20"/>
        </w:rPr>
        <w:t xml:space="preserve">: each frame accompanies an FDA or WHO alert asserting that the product photographed is falsified. The authentic class is not. It consists of photographs depicting manufacturer-consistent retail packaging, identified through the predefined subject-matter screen above, with no independent verification that the physical product photographed was genuine — a photograph of a carton labeled </w:t>
      </w:r>
      <w:r>
        <w:rPr>
          <w:rFonts w:ascii="Times New Roman" w:hAnsi="Times New Roman"/>
          <w:i/>
          <w:sz w:val="20"/>
        </w:rPr>
        <w:t>Drug X</w:t>
      </w:r>
      <w:r>
        <w:rPr>
          <w:rFonts w:ascii="Times New Roman" w:hAnsi="Times New Roman"/>
          <w:sz w:val="20"/>
        </w:rPr>
        <w:t xml:space="preserve"> does not establish that the contents were made by the manufacturer named on it. We therefore call it the </w:t>
      </w:r>
      <w:r>
        <w:rPr>
          <w:rFonts w:ascii="Times New Roman" w:hAnsi="Times New Roman"/>
          <w:b/>
          <w:sz w:val="20"/>
        </w:rPr>
        <w:t>authentic-labeled reference class</w:t>
      </w:r>
      <w:r>
        <w:rPr>
          <w:rFonts w:ascii="Times New Roman" w:hAnsi="Times New Roman"/>
          <w:sz w:val="20"/>
        </w:rPr>
        <w:t xml:space="preserve"> and treat it as such: it is the best available negative class for a two-class external test, not a verified one, and Section V-D records what that costs.</w:t>
      </w:r>
    </w:p>
    <w:p>
      <w:pPr>
        <w:spacing w:after="0" w:before="0" w:line="240" w:lineRule="exact"/>
        <w:ind w:firstLine="202"/>
        <w:jc w:val="both"/>
      </w:pPr>
      <w:r>
        <w:rPr>
          <w:rFonts w:ascii="Times New Roman" w:hAnsi="Times New Roman"/>
          <w:b/>
          <w:sz w:val="20"/>
        </w:rPr>
        <w:t>Both classes then pass through one identical ingestion pipeline</w:t>
      </w:r>
      <w:r>
        <w:rPr>
          <w:rFonts w:ascii="Times New Roman" w:hAnsi="Times New Roman"/>
          <w:sz w:val="20"/>
        </w:rPr>
        <w:t xml:space="preserve">: RGB, short side resampled to 448 px, re-encoded at one JPEG quality with metadata stripped. Container format, encoder, encoder settings and stored short side are therefore standardized across the two classes </w:t>
      </w:r>
      <w:r>
        <w:rPr>
          <w:rFonts w:ascii="Times New Roman" w:hAnsi="Times New Roman"/>
          <w:b/>
          <w:sz w:val="20"/>
        </w:rPr>
        <w:t>by construction</w:t>
      </w:r>
      <w:r>
        <w:rPr>
          <w:rFonts w:ascii="Times New Roman" w:hAnsi="Times New Roman"/>
          <w:sz w:val="20"/>
        </w:rPr>
        <w:t xml:space="preserve"> — in the notation of Section I-A, the acquisition attributes of </w:t>
      </w:r>
      <w:r>
        <w:rPr>
          <w:rFonts w:ascii="Times New Roman" w:hAnsi="Times New Roman"/>
          <w:i/>
          <w:sz w:val="20"/>
        </w:rPr>
        <w:t>A_(pure)</w:t>
      </w:r>
      <w:r>
        <w:rPr>
          <w:rFonts w:ascii="Times New Roman" w:hAnsi="Times New Roman"/>
          <w:sz w:val="20"/>
        </w:rPr>
        <w:t xml:space="preserve"> are held constant by design rather than measured, and the size and resolution components of </w:t>
      </w:r>
      <w:r>
        <w:rPr>
          <w:rFonts w:ascii="Times New Roman" w:hAnsi="Times New Roman"/>
          <w:i/>
          <w:sz w:val="20"/>
        </w:rPr>
        <w:t>A_(mix)</w:t>
      </w:r>
      <w:r>
        <w:rPr>
          <w:rFonts w:ascii="Times New Roman" w:hAnsi="Times New Roman"/>
          <w:sz w:val="20"/>
        </w:rPr>
        <w:t xml:space="preserve"> go with them. This is dataset construction, not model preprocessing: it is applied identically to both classes before any model sees anything, and the models' own 224 px resize is untouched. One consequence follows: because the counterfeit frames are re-encoded, recall on this set is </w:t>
      </w:r>
      <w:r>
        <w:rPr>
          <w:rFonts w:ascii="Times New Roman" w:hAnsi="Times New Roman"/>
          <w:b/>
          <w:sz w:val="20"/>
        </w:rPr>
        <w:t>not</w:t>
      </w:r>
      <w:r>
        <w:rPr>
          <w:rFonts w:ascii="Times New Roman" w:hAnsi="Times New Roman"/>
          <w:sz w:val="20"/>
        </w:rPr>
        <w:t xml:space="preserve"> numerically comparable to the recall the same images produce in their native encodings (Section S-IX).</w:t>
      </w:r>
    </w:p>
    <w:p>
      <w:pPr>
        <w:spacing w:after="0" w:before="0" w:line="240" w:lineRule="exact"/>
        <w:ind w:firstLine="202"/>
        <w:jc w:val="both"/>
      </w:pPr>
      <w:r>
        <w:rPr>
          <w:rFonts w:ascii="Times New Roman" w:hAnsi="Times New Roman"/>
          <w:b/>
          <w:sz w:val="20"/>
        </w:rPr>
        <w:t>The set was then audited by this paper's own procedure and locked.</w:t>
      </w:r>
      <w:r>
        <w:rPr>
          <w:rFonts w:ascii="Times New Roman" w:hAnsi="Times New Roman"/>
          <w:sz w:val="20"/>
        </w:rPr>
        <w:t xml:space="preserve"> Running Section III-E on the finished 92 returns a balanced accuracy of </w:t>
      </w:r>
      <w:r>
        <w:rPr>
          <w:rFonts w:ascii="Times New Roman" w:hAnsi="Times New Roman"/>
          <w:b/>
          <w:sz w:val="20"/>
        </w:rPr>
        <w:t>0.598</w:t>
      </w:r>
      <w:r>
        <w:rPr>
          <w:rFonts w:ascii="Times New Roman" w:hAnsi="Times New Roman"/>
          <w:sz w:val="20"/>
        </w:rPr>
        <w:t xml:space="preserve"> on encoded file size, </w:t>
      </w:r>
      <w:r>
        <w:rPr>
          <w:rFonts w:ascii="Times New Roman" w:hAnsi="Times New Roman"/>
          <w:b/>
          <w:sz w:val="20"/>
        </w:rPr>
        <w:t>0.435</w:t>
      </w:r>
      <w:r>
        <w:rPr>
          <w:rFonts w:ascii="Times New Roman" w:hAnsi="Times New Roman"/>
          <w:sz w:val="20"/>
        </w:rPr>
        <w:t xml:space="preserve"> on aspect ratio, </w:t>
      </w:r>
      <w:r>
        <w:rPr>
          <w:rFonts w:ascii="Times New Roman" w:hAnsi="Times New Roman"/>
          <w:b/>
          <w:sz w:val="20"/>
        </w:rPr>
        <w:t>0.413</w:t>
      </w:r>
      <w:r>
        <w:rPr>
          <w:rFonts w:ascii="Times New Roman" w:hAnsi="Times New Roman"/>
          <w:sz w:val="20"/>
        </w:rPr>
        <w:t xml:space="preserve"> on mean brightness and </w:t>
      </w:r>
      <w:r>
        <w:rPr>
          <w:rFonts w:ascii="Times New Roman" w:hAnsi="Times New Roman"/>
          <w:b/>
          <w:sz w:val="20"/>
        </w:rPr>
        <w:t>0.620</w:t>
      </w:r>
      <w:r>
        <w:rPr>
          <w:rFonts w:ascii="Times New Roman" w:hAnsi="Times New Roman"/>
          <w:sz w:val="20"/>
        </w:rPr>
        <w:t xml:space="preserve"> on all three jointly, against 0.500 chance and against the case-study pool's 1.000; the between-class brightness gap is </w:t>
      </w:r>
      <w:r>
        <w:rPr>
          <w:rFonts w:ascii="Times New Roman" w:hAnsi="Times New Roman"/>
          <w:b/>
          <w:sz w:val="20"/>
        </w:rPr>
        <w:t>+0.005</w:t>
      </w:r>
      <w:r>
        <w:rPr>
          <w:rFonts w:ascii="Times New Roman" w:hAnsi="Times New Roman"/>
          <w:sz w:val="20"/>
        </w:rPr>
        <w:t xml:space="preserve">, against the +0.233 that disqualified the artwork. The set is not certified confound-free — 0.620 is above chance, and Section V-D says what that does and does not permit — but it is two orders of separation away from the pool this paper is about. </w:t>
      </w:r>
      <w:r>
        <w:rPr>
          <w:rFonts w:ascii="Times New Roman" w:hAnsi="Times New Roman"/>
          <w:b/>
          <w:sz w:val="20"/>
        </w:rPr>
        <w:t>The evaluation protocol was frozen before the set existed</w:t>
      </w:r>
      <w:r>
        <w:rPr>
          <w:rFonts w:ascii="Times New Roman" w:hAnsi="Times New Roman"/>
          <w:sz w:val="20"/>
        </w:rPr>
        <w:t>: training, preprocessing, normalization and the 0.5 decision threshold were all settled beforehand, the models are loaded from the same persisted Split B checkpoints that produced every other table here rather than retrained, and the set was scored once. Nothing was tuned after reading the result.</w:t>
      </w:r>
    </w:p>
    <w:p>
      <w:pPr>
        <w:keepNext/>
        <w:spacing w:before="160" w:after="60" w:line="240" w:lineRule="exact"/>
        <w:jc w:val="left"/>
      </w:pPr>
      <w:r>
        <w:rPr>
          <w:rFonts w:ascii="Arial" w:hAnsi="Arial"/>
          <w:b w:val="0"/>
          <w:i w:val="0"/>
          <w:color w:val="000000"/>
          <w:sz w:val="18"/>
        </w:rPr>
        <w:t>2) The external acquisition-shift test</w:t>
      </w:r>
    </w:p>
    <w:p>
      <w:pPr>
        <w:spacing w:after="0" w:before="0" w:line="240" w:lineRule="exact"/>
        <w:ind w:firstLine="202"/>
        <w:jc w:val="both"/>
      </w:pPr>
      <w:r>
        <w:rPr>
          <w:rFonts w:ascii="Times New Roman" w:hAnsi="Times New Roman"/>
          <w:b/>
          <w:sz w:val="20"/>
        </w:rPr>
        <w:t>Two capture conditions on one set of products.</w:t>
      </w:r>
      <w:r>
        <w:rPr>
          <w:rFonts w:ascii="Times New Roman" w:hAnsi="Times New Roman"/>
          <w:sz w:val="20"/>
        </w:rPr>
        <w:t xml:space="preserve"> This is one experiment in two conditions rather than two external datasets, and it is reported that way because that is what it is. </w:t>
      </w:r>
      <w:r>
        <w:rPr>
          <w:rFonts w:ascii="Times New Roman" w:hAnsi="Times New Roman"/>
          <w:b/>
          <w:sz w:val="20"/>
        </w:rPr>
        <w:t>Condition C</w:t>
      </w:r>
      <w:r>
        <w:rPr>
          <w:rFonts w:ascii="Times New Roman" w:hAnsi="Times New Roman"/>
          <w:sz w:val="20"/>
        </w:rPr>
        <w:t xml:space="preserve"> (Split C) is the Mendeley archive [20]: </w:t>
      </w:r>
      <w:r>
        <w:rPr>
          <w:rFonts w:ascii="Times New Roman" w:hAnsi="Times New Roman"/>
          <w:b/>
          <w:sz w:val="20"/>
        </w:rPr>
        <w:t>150 photographs, one per distinct product</w:t>
      </w:r>
      <w:r>
        <w:rPr>
          <w:rFonts w:ascii="Times New Roman" w:hAnsi="Times New Roman"/>
          <w:sz w:val="20"/>
        </w:rPr>
        <w:t xml:space="preserve">, from a different country, photographers, camera hardware and backdrop protocol than the modeling pool, with independence verified rather than assumed — </w:t>
      </w:r>
      <w:r>
        <w:rPr>
          <w:rFonts w:ascii="Times New Roman" w:hAnsi="Times New Roman"/>
          <w:b/>
          <w:sz w:val="20"/>
        </w:rPr>
        <w:t>0 of 150 images matched anything in the pool</w:t>
      </w:r>
      <w:r>
        <w:rPr>
          <w:rFonts w:ascii="Times New Roman" w:hAnsi="Times New Roman"/>
          <w:sz w:val="20"/>
        </w:rPr>
        <w:t xml:space="preserve"> within the near-duplicate threshold. </w:t>
      </w:r>
      <w:r>
        <w:rPr>
          <w:rFonts w:ascii="Times New Roman" w:hAnsi="Times New Roman"/>
          <w:b/>
          <w:sz w:val="20"/>
        </w:rPr>
        <w:t>Condition D</w:t>
      </w:r>
      <w:r>
        <w:rPr>
          <w:rFonts w:ascii="Times New Roman" w:hAnsi="Times New Roman"/>
          <w:sz w:val="20"/>
        </w:rPr>
        <w:t xml:space="preserve"> (Split D) is the same archive's "iphone 11 pro" subset: </w:t>
      </w:r>
      <w:r>
        <w:rPr>
          <w:rFonts w:ascii="Times New Roman" w:hAnsi="Times New Roman"/>
          <w:b/>
          <w:sz w:val="20"/>
        </w:rPr>
        <w:t>149 unique images covering the same 150 packages</w:t>
      </w:r>
      <w:r>
        <w:rPr>
          <w:rFonts w:ascii="Times New Roman" w:hAnsi="Times New Roman"/>
          <w:sz w:val="20"/>
        </w:rPr>
        <w:t>, photographed on different hardware under a deliberately different lighting protocol. It is a different point on the confounded axis rather than a repeat, at mean brightness 0.389 against condition C's 0.162 and the training pool's 0.668, and it is not pixel-interchangeable with C (Section S-I-Y).</w:t>
      </w:r>
    </w:p>
    <w:p>
      <w:pPr>
        <w:spacing w:after="0" w:before="0" w:line="240" w:lineRule="exact"/>
        <w:ind w:firstLine="202"/>
        <w:jc w:val="both"/>
      </w:pPr>
      <w:r>
        <w:rPr>
          <w:rFonts w:ascii="Times New Roman" w:hAnsi="Times New Roman"/>
          <w:b/>
          <w:sz w:val="20"/>
        </w:rPr>
        <w:t>What the experiment can and cannot measure.</w:t>
      </w:r>
      <w:r>
        <w:rPr>
          <w:rFonts w:ascii="Times New Roman" w:hAnsi="Times New Roman"/>
          <w:sz w:val="20"/>
        </w:rPr>
        <w:t xml:space="preserve"> Both conditions hold authentic images only, so every figure is a specificity and </w:t>
      </w:r>
      <w:r>
        <w:rPr>
          <w:rFonts w:ascii="Times New Roman" w:hAnsi="Times New Roman"/>
          <w:b/>
          <w:sz w:val="20"/>
        </w:rPr>
        <w:t>the experiment measures no counterfeit recall whatever</w:t>
      </w:r>
      <w:r>
        <w:rPr>
          <w:rFonts w:ascii="Times New Roman" w:hAnsi="Times New Roman"/>
          <w:sz w:val="20"/>
        </w:rPr>
        <w:t xml:space="preserve">. Because content is held approximately fixed while capture varies, what a model surviving C → D is shown to be is stable across </w:t>
      </w:r>
      <w:r>
        <w:rPr>
          <w:rFonts w:ascii="Times New Roman" w:hAnsi="Times New Roman"/>
          <w:b/>
          <w:sz w:val="20"/>
        </w:rPr>
        <w:t>the device and lighting shift these two conditions represent</w:t>
      </w:r>
      <w:r>
        <w:rPr>
          <w:rFonts w:ascii="Times New Roman" w:hAnsi="Times New Roman"/>
          <w:sz w:val="20"/>
        </w:rPr>
        <w:t xml:space="preserve"> — not across acquisition in general, the two conditions sharing one archive, one set of packages and one dark backdrop. The correspondence is at the level of the set rather than the image, so the two are compared as independent proportions and </w:t>
      </w:r>
      <w:r>
        <w:rPr>
          <w:rFonts w:ascii="Times New Roman" w:hAnsi="Times New Roman"/>
          <w:b/>
          <w:sz w:val="20"/>
        </w:rPr>
        <w:t>the 299 images are not pooled into one sample</w:t>
      </w:r>
      <w:r>
        <w:rPr>
          <w:rFonts w:ascii="Times New Roman" w:hAnsi="Times New Roman"/>
          <w:sz w:val="20"/>
        </w:rPr>
        <w:t>: the same products appear in both, and treating them as 299 independent observations would overstate the precision of anything computed across the pair.</w:t>
      </w:r>
    </w:p>
    <w:p>
      <w:pPr>
        <w:keepNext/>
        <w:spacing w:before="160" w:after="60" w:line="240" w:lineRule="exact"/>
        <w:jc w:val="left"/>
      </w:pPr>
      <w:r>
        <w:rPr>
          <w:rFonts w:ascii="Arial" w:hAnsi="Arial"/>
          <w:b/>
          <w:i/>
          <w:color w:val="000000"/>
          <w:sz w:val="18"/>
        </w:rPr>
        <w:t>E. THE PROVENANCE AUDIT, STATED AS A PROCEDURE</w:t>
      </w:r>
    </w:p>
    <w:p>
      <w:pPr>
        <w:spacing w:after="0" w:before="0" w:line="240" w:lineRule="exact"/>
        <w:ind w:firstLine="202"/>
        <w:jc w:val="both"/>
      </w:pPr>
      <w:r>
        <w:rPr>
          <w:rFonts w:ascii="Times New Roman" w:hAnsi="Times New Roman"/>
          <w:b/>
          <w:sz w:val="20"/>
        </w:rPr>
        <w:t>Before evaluating an image classifier, establish whether the acquisition variables alone can predict the label.</w:t>
      </w:r>
      <w:r>
        <w:rPr>
          <w:rFonts w:ascii="Times New Roman" w:hAnsi="Times New Roman"/>
          <w:sz w:val="20"/>
        </w:rPr>
        <w:t xml:space="preserve"> That is the whole of what this paper offers for adoption, and we state it as a procedure. It needs no external data, no annotation, no training run and no pixel decoding, and here it runs from a file listing in seconds. </w:t>
      </w:r>
      <w:r>
        <w:rPr>
          <w:rFonts w:ascii="Times New Roman" w:hAnsi="Times New Roman"/>
          <w:b/>
          <w:sz w:val="20"/>
        </w:rPr>
        <w:t>Inputs:</w:t>
      </w:r>
      <w:r>
        <w:rPr>
          <w:rFonts w:ascii="Times New Roman" w:hAnsi="Times New Roman"/>
          <w:sz w:val="20"/>
        </w:rPr>
        <w:t xml:space="preserve"> a labeled image dataset, a partition free of whatever leakage the study already controls for, and the classifier family the study intends to use.</w:t>
      </w:r>
    </w:p>
    <w:p>
      <w:pPr>
        <w:pStyle w:val="ListNumber"/>
        <w:spacing w:after="40" w:line="240" w:lineRule="exact"/>
      </w:pPr>
      <w:r>
        <w:rPr>
          <w:rFonts w:ascii="Times New Roman" w:hAnsi="Times New Roman"/>
          <w:b/>
          <w:sz w:val="20"/>
        </w:rPr>
        <w:t>Enumerate the acquisition variables the files carry</w:t>
      </w:r>
      <w:r>
        <w:rPr>
          <w:rFonts w:ascii="Times New Roman" w:hAnsi="Times New Roman"/>
          <w:sz w:val="20"/>
        </w:rPr>
        <w:t xml:space="preserve"> — every attribute obtainable without decoding an image: container format, encoded size, stored dimensions, and the aspect ratio they imply. Filename patterns and embedded timestamps belong here too, reported separately because they are trivially removable and their absence proves nothing.</w:t>
      </w:r>
    </w:p>
    <w:p>
      <w:pPr>
        <w:pStyle w:val="ListNumber"/>
        <w:spacing w:after="40" w:line="240" w:lineRule="exact"/>
      </w:pPr>
      <w:r>
        <w:rPr>
          <w:rFonts w:ascii="Times New Roman" w:hAnsi="Times New Roman"/>
          <w:b/>
          <w:sz w:val="20"/>
        </w:rPr>
        <w:t>Partition exactly as the study will</w:t>
      </w:r>
      <w:r>
        <w:rPr>
          <w:rFonts w:ascii="Times New Roman" w:hAnsi="Times New Roman"/>
          <w:sz w:val="20"/>
        </w:rPr>
        <w:t>, inside its own leakage-free split, so the audit inherits the grouping the models do. A different partition measures a different quantity.</w:t>
      </w:r>
    </w:p>
    <w:p>
      <w:pPr>
        <w:pStyle w:val="ListNumber"/>
        <w:spacing w:after="40" w:line="240" w:lineRule="exact"/>
      </w:pPr>
      <w:r>
        <w:rPr>
          <w:rFonts w:ascii="Times New Roman" w:hAnsi="Times New Roman"/>
          <w:b/>
          <w:sz w:val="20"/>
        </w:rPr>
        <w:t>Fit the intended classifier to those variables alone</w:t>
      </w:r>
      <w:r>
        <w:rPr>
          <w:rFonts w:ascii="Times New Roman" w:hAnsi="Times New Roman"/>
          <w:sz w:val="20"/>
        </w:rPr>
        <w:t>: one fit per variable, then one on all jointly, reporting held-out accuracy with an interval and using balanced accuracy where the classes are imbalanced. Chance is the reference, not zero.</w:t>
      </w:r>
    </w:p>
    <w:p>
      <w:pPr>
        <w:pStyle w:val="ListNumber"/>
        <w:spacing w:after="40" w:line="240" w:lineRule="exact"/>
      </w:pPr>
      <w:r>
        <w:rPr>
          <w:rFonts w:ascii="Times New Roman" w:hAnsi="Times New Roman"/>
          <w:b/>
          <w:sz w:val="20"/>
        </w:rPr>
        <w:t xml:space="preserve">Read </w:t>
      </w:r>
      <w:r>
        <w:rPr>
          <w:rFonts w:ascii="Times New Roman" w:hAnsi="Times New Roman"/>
          <w:b/>
          <w:i/>
          <w:sz w:val="20"/>
        </w:rPr>
        <w:t>A_(pure)</w:t>
      </w:r>
      <w:r>
        <w:rPr>
          <w:rFonts w:ascii="Times New Roman" w:hAnsi="Times New Roman"/>
          <w:b/>
          <w:sz w:val="20"/>
        </w:rPr>
        <w:t xml:space="preserve"> separately from </w:t>
      </w:r>
      <w:r>
        <w:rPr>
          <w:rFonts w:ascii="Times New Roman" w:hAnsi="Times New Roman"/>
          <w:b/>
          <w:i/>
          <w:sz w:val="20"/>
        </w:rPr>
        <w:t>A_(mix)</w:t>
      </w:r>
      <w:r>
        <w:rPr>
          <w:rFonts w:ascii="Times New Roman" w:hAnsi="Times New Roman"/>
          <w:b/>
          <w:sz w:val="20"/>
        </w:rPr>
        <w:t>.</w:t>
      </w:r>
      <w:r>
        <w:rPr>
          <w:rFonts w:ascii="Times New Roman" w:hAnsi="Times New Roman"/>
          <w:sz w:val="20"/>
        </w:rPr>
        <w:t xml:space="preserve"> Container format is never a property of the photographed object, so a high score on it is close to decisive, whereas encoded size, resolution and aspect ratio mix acquisition with content; Section IV-A's negative control separates along exactly this line.</w:t>
      </w:r>
    </w:p>
    <w:p>
      <w:pPr>
        <w:pStyle w:val="ListNumber"/>
        <w:spacing w:after="40" w:line="240" w:lineRule="exact"/>
      </w:pPr>
      <w:r>
        <w:rPr>
          <w:rFonts w:ascii="Times New Roman" w:hAnsi="Times New Roman"/>
          <w:b/>
          <w:sz w:val="20"/>
        </w:rPr>
        <w:t>Report pixel-derived proxies separately if at all</w:t>
      </w:r>
      <w:r>
        <w:rPr>
          <w:rFonts w:ascii="Times New Roman" w:hAnsi="Times New Roman"/>
          <w:sz w:val="20"/>
        </w:rPr>
        <w:t xml:space="preserve"> — statistics such as mean brightness require decoding and are not independent of content, so they belong in their own row, as in Table 2.</w:t>
      </w:r>
    </w:p>
    <w:p>
      <w:pPr>
        <w:pStyle w:val="ListNumber"/>
        <w:spacing w:after="40" w:line="240" w:lineRule="exact"/>
      </w:pPr>
      <w:r>
        <w:rPr>
          <w:rFonts w:ascii="Times New Roman" w:hAnsi="Times New Roman"/>
          <w:b/>
          <w:sz w:val="20"/>
        </w:rPr>
        <w:t>Interpret against what the score licenses, not a threshold.</w:t>
      </w:r>
      <w:r>
        <w:rPr>
          <w:rFonts w:ascii="Times New Roman" w:hAnsi="Times New Roman"/>
          <w:sz w:val="20"/>
        </w:rPr>
        <w:t xml:space="preserve"> It establishes the </w:t>
      </w:r>
      <w:r>
        <w:rPr>
          <w:rFonts w:ascii="Times New Roman" w:hAnsi="Times New Roman"/>
          <w:i/>
          <w:sz w:val="20"/>
        </w:rPr>
        <w:t>availability</w:t>
      </w:r>
      <w:r>
        <w:rPr>
          <w:rFonts w:ascii="Times New Roman" w:hAnsi="Times New Roman"/>
          <w:sz w:val="20"/>
        </w:rPr>
        <w:t xml:space="preserve"> of a provenance shortcut, not that any model took it, and we publish no threshold because five scorable datasets cannot support a false-positive rate.</w:t>
      </w:r>
    </w:p>
    <w:p>
      <w:pPr>
        <w:spacing w:after="0" w:before="0" w:line="240" w:lineRule="exact"/>
        <w:ind w:firstLine="202"/>
        <w:jc w:val="both"/>
      </w:pPr>
      <w:r>
        <w:rPr>
          <w:rFonts w:ascii="Times New Roman" w:hAnsi="Times New Roman"/>
          <w:b/>
          <w:sz w:val="20"/>
        </w:rPr>
        <w:t>Outputs.</w:t>
      </w:r>
      <w:r>
        <w:rPr>
          <w:rFonts w:ascii="Times New Roman" w:hAnsi="Times New Roman"/>
          <w:sz w:val="20"/>
        </w:rPr>
        <w:t xml:space="preserve"> A score at chance says these features found no acquisition asymmetry — not that the dataset is clean, since a publisher who normalized the archive before release destroys the traces without touching the confound. A middling score on the mixed axes is a reason to investigate and may reflect a content difference. A high score on format means acquisition determines the label, and from there no in-distribution accuracy on that dataset can distinguish the intended task from provenance recognition.</w:t>
      </w:r>
    </w:p>
    <w:p>
      <w:pPr>
        <w:spacing w:after="0" w:before="0" w:line="240" w:lineRule="exact"/>
        <w:ind w:firstLine="202"/>
        <w:jc w:val="both"/>
      </w:pPr>
      <w:r>
        <w:rPr>
          <w:rFonts w:ascii="Times New Roman" w:hAnsi="Times New Roman"/>
          <w:b/>
          <w:sz w:val="20"/>
        </w:rPr>
        <w:t>The score is not a monotonic measure of dataset cleanliness or of confounding severity.</w:t>
      </w:r>
      <w:r>
        <w:rPr>
          <w:rFonts w:ascii="Times New Roman" w:hAnsi="Times New Roman"/>
          <w:sz w:val="20"/>
        </w:rPr>
        <w:t xml:space="preserve"> It is a lower bound on the predictability of the acquisition variables actually examined, on the partition actually used, and it inherits every limitation of that choice. Two consequences follow for reading Table 3. A low score on files that were altered after collection does not imply the absence of an underlying confound. And a dataset scoring higher than another is not thereby more severely confounded: the Roboflow archive scores </w:t>
      </w:r>
      <w:r>
        <w:rPr>
          <w:rFonts w:ascii="Times New Roman" w:hAnsi="Times New Roman"/>
          <w:i/>
          <w:sz w:val="20"/>
        </w:rPr>
        <w:t>below</w:t>
      </w:r>
      <w:r>
        <w:rPr>
          <w:rFonts w:ascii="Times New Roman" w:hAnsi="Times New Roman"/>
          <w:sz w:val="20"/>
        </w:rPr>
        <w:t xml:space="preserve"> the signature corpus on the full feature set while being confounded far more severely, the first carrying the ground-truth word inside its pixels and the second having been captured for both classes by one procedure. Ordering datasets by audit score is therefore not meaningful; the score is a trigger for investigation, and the investigation is what settles severity.</w:t>
      </w:r>
    </w:p>
    <w:p>
      <w:pPr>
        <w:spacing w:after="0" w:before="0" w:line="240" w:lineRule="exact"/>
        <w:ind w:firstLine="202"/>
        <w:jc w:val="both"/>
      </w:pPr>
      <w:r>
        <w:rPr>
          <w:rFonts w:ascii="Times New Roman" w:hAnsi="Times New Roman"/>
          <w:b/>
          <w:sz w:val="20"/>
        </w:rPr>
        <w:t>Two companion checks the audit does not replace</w:t>
      </w:r>
      <w:r>
        <w:rPr>
          <w:rFonts w:ascii="Times New Roman" w:hAnsi="Times New Roman"/>
          <w:sz w:val="20"/>
        </w:rPr>
        <w:t>, each having caught something it missed on our own data: a content pass over a sample of each class (Section S-I-A), which identified the modality confound of Section III-A, and cross-source near-duplicate hashing, which established that two sources treated as independent were not. Section V-B sets out the taxonomy these three checks jointly cover.</w:t>
      </w:r>
    </w:p>
    <w:p>
      <w:pPr>
        <w:keepNext/>
        <w:spacing w:before="160" w:after="60" w:line="240" w:lineRule="exact"/>
        <w:jc w:val="left"/>
      </w:pPr>
      <w:r>
        <w:rPr>
          <w:rFonts w:ascii="Arial" w:hAnsi="Arial"/>
          <w:b/>
          <w:i/>
          <w:color w:val="000000"/>
          <w:sz w:val="18"/>
        </w:rPr>
        <w:t>F. EXPLORATORY NORMALIZATION</w:t>
      </w:r>
    </w:p>
    <w:p>
      <w:pPr>
        <w:spacing w:after="0" w:before="0" w:line="240" w:lineRule="exact"/>
        <w:ind w:firstLine="202"/>
        <w:jc w:val="both"/>
      </w:pPr>
      <w:r>
        <w:rPr>
          <w:rFonts w:ascii="Times New Roman" w:hAnsi="Times New Roman"/>
          <w:sz w:val="20"/>
        </w:rPr>
        <w:t xml:space="preserve">The audit of Section IV-A names three acquisition statistics on which the pool and condition C separate. To test whether intervening on them changes the external result, three label-free operators are composed in a fixed order. Let </w:t>
      </w:r>
      <w:r>
        <w:rPr>
          <w:rFonts w:ascii="Times New Roman" w:hAnsi="Times New Roman"/>
          <w:i/>
          <w:sz w:val="20"/>
        </w:rPr>
        <w:t>x</w:t>
      </w:r>
      <w:r>
        <w:rPr>
          <w:rFonts w:ascii="Times New Roman" w:hAnsi="Times New Roman"/>
          <w:sz w:val="20"/>
        </w:rPr>
        <w:t xml:space="preserve"> be a decoded RGB image with dimensions </w:t>
      </w:r>
      <w:r>
        <w:rPr>
          <w:rFonts w:ascii="Times New Roman" w:hAnsi="Times New Roman"/>
          <w:i/>
          <w:sz w:val="20"/>
        </w:rPr>
        <w:t>W × H</w:t>
      </w:r>
      <w:r>
        <w:rPr>
          <w:rFonts w:ascii="Times New Roman" w:hAnsi="Times New Roman"/>
          <w:sz w:val="20"/>
        </w:rPr>
        <w:t>.</w:t>
      </w:r>
    </w:p>
    <w:p>
      <w:pPr>
        <w:spacing w:after="0" w:before="0" w:line="240" w:lineRule="exact"/>
        <w:ind w:firstLine="202"/>
        <w:jc w:val="both"/>
      </w:pPr>
      <w:r>
        <w:rPr>
          <w:rFonts w:ascii="Times New Roman" w:hAnsi="Times New Roman"/>
          <w:b/>
          <w:sz w:val="20"/>
        </w:rPr>
        <w:t>Resolution bottleneck.</w:t>
      </w:r>
      <w:r>
        <w:rPr>
          <w:rFonts w:ascii="Times New Roman" w:hAnsi="Times New Roman"/>
          <w:sz w:val="20"/>
        </w:rPr>
        <w:t xml:space="preserve"> Cap the short side at </w:t>
      </w:r>
      <w:r>
        <w:rPr>
          <w:rFonts w:ascii="Times New Roman" w:hAnsi="Times New Roman"/>
          <w:i/>
          <w:sz w:val="20"/>
        </w:rPr>
        <w:t>s = 128</w:t>
      </w:r>
      <w:r>
        <w:rPr>
          <w:rFonts w:ascii="Times New Roman" w:hAnsi="Times New Roman"/>
          <w:sz w:val="20"/>
        </w:rPr>
        <w:t xml:space="preserve"> px, chosen to sit below the 10th percentile of the Kaggle pool's own short-side distribution so the bottleneck binds for nearly every image in both sources:</w:t>
      </w:r>
    </w:p>
    <w:p>
      <w:pPr>
        <w:tabs>
          <w:tab w:pos="4835" w:val="right"/>
        </w:tabs>
        <w:spacing w:before="80" w:after="80"/>
        <w:jc w:val="center"/>
      </w:pPr>
      <w:r>
        <w:rPr>
          <w:rFonts w:ascii="Times New Roman" w:hAnsi="Times New Roman"/>
          <w:i/>
          <w:sz w:val="20"/>
        </w:rPr>
        <w:t>T_(res)(x) = {  x   if  min(W, H) ≤ s  ;   resize(x,  λ W,  λ H),   λ = (s)/(min(W,H))   otherwise  }</w:t>
      </w:r>
      <w:r>
        <w:rPr>
          <w:rFonts w:ascii="Times New Roman" w:hAnsi="Times New Roman"/>
          <w:sz w:val="20"/>
        </w:rPr>
        <w:tab/>
        <w:t>(5)</w:t>
      </w:r>
    </w:p>
    <w:p>
      <w:pPr>
        <w:spacing w:after="0" w:before="0" w:line="240" w:lineRule="exact"/>
        <w:ind w:firstLine="202"/>
        <w:jc w:val="both"/>
      </w:pPr>
      <w:r>
        <w:rPr>
          <w:rFonts w:ascii="Times New Roman" w:hAnsi="Times New Roman"/>
          <w:b/>
          <w:sz w:val="20"/>
        </w:rPr>
        <w:t>Brightness rescale.</w:t>
      </w:r>
      <w:r>
        <w:rPr>
          <w:rFonts w:ascii="Times New Roman" w:hAnsi="Times New Roman"/>
          <w:sz w:val="20"/>
        </w:rPr>
        <w:t xml:space="preserve"> Scale to a fixed target mean </w:t>
      </w:r>
      <w:r>
        <w:rPr>
          <w:rFonts w:ascii="Times New Roman" w:hAnsi="Times New Roman"/>
          <w:i/>
          <w:sz w:val="20"/>
        </w:rPr>
        <w:t>μ^* = 0.5</w:t>
      </w:r>
      <w:r>
        <w:rPr>
          <w:rFonts w:ascii="Times New Roman" w:hAnsi="Times New Roman"/>
          <w:sz w:val="20"/>
        </w:rPr>
        <w:t xml:space="preserve"> and clip:</w:t>
      </w:r>
    </w:p>
    <w:p>
      <w:pPr>
        <w:tabs>
          <w:tab w:pos="4835" w:val="right"/>
        </w:tabs>
        <w:spacing w:before="80" w:after="80"/>
        <w:jc w:val="center"/>
      </w:pPr>
      <w:r>
        <w:rPr>
          <w:rFonts w:ascii="Times New Roman" w:hAnsi="Times New Roman"/>
          <w:i/>
          <w:sz w:val="20"/>
        </w:rPr>
        <w:t>T_(bright)(x) = clip( x · (μ^*)/(x̄),  0,  1 ),   x̄ = (1)/(3HW)Σ_(c,i,j) x^((c))_(ij)</w:t>
      </w:r>
      <w:r>
        <w:rPr>
          <w:rFonts w:ascii="Times New Roman" w:hAnsi="Times New Roman"/>
          <w:sz w:val="20"/>
        </w:rPr>
        <w:tab/>
        <w:t>(6)</w:t>
      </w:r>
    </w:p>
    <w:p>
      <w:pPr>
        <w:spacing w:after="0" w:before="0" w:line="240" w:lineRule="exact"/>
        <w:ind w:firstLine="202"/>
        <w:jc w:val="both"/>
      </w:pPr>
      <w:r>
        <w:rPr>
          <w:rFonts w:ascii="Times New Roman" w:hAnsi="Times New Roman"/>
          <w:b/>
          <w:sz w:val="20"/>
        </w:rPr>
        <w:t>Compression bottleneck.</w:t>
      </w:r>
      <w:r>
        <w:rPr>
          <w:rFonts w:ascii="Times New Roman" w:hAnsi="Times New Roman"/>
          <w:sz w:val="20"/>
        </w:rPr>
        <w:t xml:space="preserve"> Re-encode through JPEG compression at fixed quality </w:t>
      </w:r>
      <w:r>
        <w:rPr>
          <w:rFonts w:ascii="Times New Roman" w:hAnsi="Times New Roman"/>
          <w:i/>
          <w:sz w:val="20"/>
        </w:rPr>
        <w:t>q = 40</w:t>
      </w:r>
      <w:r>
        <w:rPr>
          <w:rFonts w:ascii="Times New Roman" w:hAnsi="Times New Roman"/>
          <w:sz w:val="20"/>
        </w:rPr>
        <w:t xml:space="preserve"> and decode back, imposing a common quantization-artifact floor:</w:t>
      </w:r>
    </w:p>
    <w:p>
      <w:pPr>
        <w:tabs>
          <w:tab w:pos="4835" w:val="right"/>
        </w:tabs>
        <w:spacing w:before="80" w:after="80"/>
        <w:jc w:val="center"/>
      </w:pPr>
      <w:r>
        <w:rPr>
          <w:rFonts w:ascii="Times New Roman" w:hAnsi="Times New Roman"/>
          <w:i/>
          <w:sz w:val="20"/>
        </w:rPr>
        <w:t>T_(comp)(x) = decode_(JPEG)(encode_(JPEG)(x,  q))</w:t>
      </w:r>
      <w:r>
        <w:rPr>
          <w:rFonts w:ascii="Times New Roman" w:hAnsi="Times New Roman"/>
          <w:sz w:val="20"/>
        </w:rPr>
        <w:tab/>
        <w:t>(7)</w:t>
      </w:r>
    </w:p>
    <w:p>
      <w:pPr>
        <w:spacing w:after="0" w:before="0" w:line="240" w:lineRule="exact"/>
        <w:ind w:firstLine="202"/>
        <w:jc w:val="both"/>
      </w:pPr>
      <w:r>
        <w:rPr>
          <w:rFonts w:ascii="Times New Roman" w:hAnsi="Times New Roman"/>
          <w:sz w:val="20"/>
        </w:rPr>
        <w:t>The composed operator is</w:t>
      </w:r>
    </w:p>
    <w:p>
      <w:pPr>
        <w:tabs>
          <w:tab w:pos="4835" w:val="right"/>
        </w:tabs>
        <w:spacing w:before="80" w:after="80"/>
        <w:jc w:val="center"/>
      </w:pPr>
      <w:r>
        <w:rPr>
          <w:rFonts w:ascii="Times New Roman" w:hAnsi="Times New Roman"/>
          <w:i/>
          <w:sz w:val="20"/>
        </w:rPr>
        <w:t>T(x) = T_(comp) ∘ T_(bright) ∘ T_(res) (x)</w:t>
      </w:r>
      <w:r>
        <w:rPr>
          <w:rFonts w:ascii="Times New Roman" w:hAnsi="Times New Roman"/>
          <w:sz w:val="20"/>
        </w:rPr>
        <w:tab/>
        <w:t>(8)</w:t>
      </w:r>
    </w:p>
    <w:p>
      <w:pPr>
        <w:spacing w:after="0" w:before="0" w:line="240" w:lineRule="exact"/>
        <w:ind w:firstLine="202"/>
        <w:jc w:val="both"/>
      </w:pPr>
      <w:r>
        <w:rPr>
          <w:rFonts w:ascii="Times New Roman" w:hAnsi="Times New Roman"/>
          <w:sz w:val="20"/>
        </w:rPr>
        <w:t xml:space="preserve">applied inside the dataset class, before augmentation and before the network's input transform, identically for training, validation, in-distribution test and external partitions. Three properties matter. </w:t>
      </w:r>
      <w:r>
        <w:rPr>
          <w:rFonts w:ascii="Times New Roman" w:hAnsi="Times New Roman"/>
          <w:i/>
          <w:sz w:val="20"/>
        </w:rPr>
        <w:t>T</w:t>
      </w:r>
      <w:r>
        <w:rPr>
          <w:rFonts w:ascii="Times New Roman" w:hAnsi="Times New Roman"/>
          <w:sz w:val="20"/>
        </w:rPr>
        <w:t xml:space="preserve"> is </w:t>
      </w:r>
      <w:r>
        <w:rPr>
          <w:rFonts w:ascii="Times New Roman" w:hAnsi="Times New Roman"/>
          <w:b/>
          <w:sz w:val="20"/>
        </w:rPr>
        <w:t>label-free</w:t>
      </w:r>
      <w:r>
        <w:rPr>
          <w:rFonts w:ascii="Times New Roman" w:hAnsi="Times New Roman"/>
          <w:sz w:val="20"/>
        </w:rPr>
        <w:t xml:space="preserve"> — nothing in (5)–(7) references </w:t>
      </w:r>
      <w:r>
        <w:rPr>
          <w:rFonts w:ascii="Times New Roman" w:hAnsi="Times New Roman"/>
          <w:i/>
          <w:sz w:val="20"/>
        </w:rPr>
        <w:t>y</w:t>
      </w:r>
      <w:r>
        <w:rPr>
          <w:rFonts w:ascii="Times New Roman" w:hAnsi="Times New Roman"/>
          <w:sz w:val="20"/>
        </w:rPr>
        <w:t xml:space="preserve"> — so applying it to the external set is not an oracle. It is </w:t>
      </w:r>
      <w:r>
        <w:rPr>
          <w:rFonts w:ascii="Times New Roman" w:hAnsi="Times New Roman"/>
          <w:b/>
          <w:sz w:val="20"/>
        </w:rPr>
        <w:t>deterministic and applicable identically during training and inference</w:t>
      </w:r>
      <w:r>
        <w:rPr>
          <w:rFonts w:ascii="Times New Roman" w:hAnsi="Times New Roman"/>
          <w:sz w:val="20"/>
        </w:rPr>
        <w:t xml:space="preserve">: a fixed preprocessing function, not a train-time-only trick. And it is </w:t>
      </w:r>
      <w:r>
        <w:rPr>
          <w:rFonts w:ascii="Times New Roman" w:hAnsi="Times New Roman"/>
          <w:b/>
          <w:sz w:val="20"/>
        </w:rPr>
        <w:t>destructive</w:t>
      </w:r>
      <w:r>
        <w:rPr>
          <w:rFonts w:ascii="Times New Roman" w:hAnsi="Times New Roman"/>
          <w:sz w:val="20"/>
        </w:rPr>
        <w:t xml:space="preserve"> by design, removing information a model might legitimately use, which is why its effect must be measured per architecture rather than assumed. M1 bypasses the operator, an exclusion that is empirical: normalization collapses its in-distribution accuracy toward chance while recovering nothing externally (Section S-I-O).</w:t>
      </w:r>
    </w:p>
    <w:p>
      <w:pPr>
        <w:spacing w:after="0" w:before="0" w:line="240" w:lineRule="exact"/>
        <w:ind w:firstLine="202"/>
        <w:jc w:val="both"/>
      </w:pPr>
      <w:r>
        <w:rPr>
          <w:rFonts w:ascii="Times New Roman" w:hAnsi="Times New Roman"/>
          <w:b/>
          <w:sz w:val="20"/>
        </w:rPr>
        <w:t>This experiment is exploratory, and two of its choices say why.</w:t>
      </w:r>
      <w:r>
        <w:rPr>
          <w:rFonts w:ascii="Times New Roman" w:hAnsi="Times New Roman"/>
          <w:sz w:val="20"/>
        </w:rPr>
        <w:t xml:space="preserve"> The three axes were selected </w:t>
      </w:r>
      <w:r>
        <w:rPr>
          <w:rFonts w:ascii="Times New Roman" w:hAnsi="Times New Roman"/>
          <w:i/>
          <w:sz w:val="20"/>
        </w:rPr>
        <w:t>after</w:t>
      </w:r>
      <w:r>
        <w:rPr>
          <w:rFonts w:ascii="Times New Roman" w:hAnsi="Times New Roman"/>
          <w:sz w:val="20"/>
        </w:rPr>
        <w:t xml:space="preserve"> Table 1 showed those statistics separating the training pool from condition C, which is target-distribution information a practitioner would not hold; for this experiment alone, condition C is therefore target-informed development data rather than an untouched external set. And the order in (8) is easy to mistake for a designed one. It is not: resolution, then brightness, then compression was the order the operators happened to be written in, it was fixed before any of them was evaluated, and we have no theoretical argument for it. </w:t>
      </w:r>
      <w:r>
        <w:rPr>
          <w:rFonts w:ascii="Times New Roman" w:hAnsi="Times New Roman"/>
          <w:b/>
          <w:sz w:val="20"/>
        </w:rPr>
        <w:t>We therefore treat (8) as one pre-specified experimental operator rather than as a proposed or optimized algorithm.</w:t>
      </w:r>
      <w:r>
        <w:rPr>
          <w:rFonts w:ascii="Times New Roman" w:hAnsi="Times New Roman"/>
          <w:sz w:val="20"/>
        </w:rPr>
        <w:t xml:space="preserve"> Section S-I-S re-derives the same three axes from the training partition alone under a threshold declared in advance, and Section S-VII runs the operator that rule nominates end to end, as a robustness check on the target dependency rather than as a substitute for clean external validation.</w:t>
      </w:r>
    </w:p>
    <w:p>
      <w:pPr>
        <w:keepNext/>
        <w:spacing w:before="160" w:after="60" w:line="240" w:lineRule="exact"/>
        <w:jc w:val="left"/>
      </w:pPr>
      <w:r>
        <w:rPr>
          <w:rFonts w:ascii="Arial" w:hAnsi="Arial"/>
          <w:b/>
          <w:i/>
          <w:color w:val="000000"/>
          <w:sz w:val="18"/>
        </w:rPr>
        <w:t>G. PROBING WHAT A CORRECTED MODEL USES</w:t>
      </w:r>
    </w:p>
    <w:p>
      <w:pPr>
        <w:spacing w:after="0" w:before="0" w:line="240" w:lineRule="exact"/>
        <w:ind w:firstLine="202"/>
        <w:jc w:val="both"/>
      </w:pPr>
      <w:r>
        <w:rPr>
          <w:rFonts w:ascii="Times New Roman" w:hAnsi="Times New Roman"/>
          <w:sz w:val="20"/>
        </w:rPr>
        <w:t>Two annotation-free probes and one attribution method are applied to the corrected models; Section S-I-J reports all three in full.</w:t>
      </w:r>
    </w:p>
    <w:p>
      <w:pPr>
        <w:spacing w:after="0" w:before="0" w:line="240" w:lineRule="exact"/>
        <w:ind w:firstLine="202"/>
        <w:jc w:val="both"/>
      </w:pPr>
      <w:r>
        <w:rPr>
          <w:rFonts w:ascii="Times New Roman" w:hAnsi="Times New Roman"/>
          <w:b/>
          <w:sz w:val="20"/>
        </w:rPr>
        <w:t>Region substitution</w:t>
      </w:r>
      <w:r>
        <w:rPr>
          <w:rFonts w:ascii="Times New Roman" w:hAnsi="Times New Roman"/>
          <w:sz w:val="20"/>
        </w:rPr>
        <w:t xml:space="preserve"> is the primary probe and the only one that intervenes on the input. One region of each external image's production-pipeline input is overwritten before the forward pass: a center square covering half the frame, or its complement. The two are area-matched to within half a point, which is what makes the comparison readable, since substituting a region is itself a distribution shift and only the asymmetry between the two directions is interpretable. Two fills are used because they fail differently: the ImageNet channel mean, flat, and Gaussian noise, high-entropy. The intact condition reproduces each model's specificity of record before anything is reported.</w:t>
      </w:r>
    </w:p>
    <w:p>
      <w:pPr>
        <w:spacing w:after="0" w:before="0" w:line="240" w:lineRule="exact"/>
        <w:ind w:firstLine="202"/>
        <w:jc w:val="both"/>
      </w:pPr>
      <w:r>
        <w:rPr>
          <w:rFonts w:ascii="Times New Roman" w:hAnsi="Times New Roman"/>
          <w:b/>
          <w:sz w:val="20"/>
        </w:rPr>
        <w:t>Occlusion sensitivity</w:t>
      </w:r>
      <w:r>
        <w:rPr>
          <w:rFonts w:ascii="Times New Roman" w:hAnsi="Times New Roman"/>
          <w:sz w:val="20"/>
        </w:rPr>
        <w:t xml:space="preserve"> is annotation-free and runs over every external image, producing the fraction of decision-relevant mass falling in a border ring against a 0.642 uniform reference. </w:t>
      </w:r>
      <w:r>
        <w:rPr>
          <w:rFonts w:ascii="Times New Roman" w:hAnsi="Times New Roman"/>
          <w:b/>
          <w:sz w:val="20"/>
        </w:rPr>
        <w:t>Grad-CAM</w:t>
      </w:r>
      <w:r>
        <w:rPr>
          <w:rFonts w:ascii="Times New Roman" w:hAnsi="Times New Roman"/>
          <w:sz w:val="20"/>
        </w:rPr>
        <w:t xml:space="preserve"> [15], for target class </w:t>
      </w:r>
      <w:r>
        <w:rPr>
          <w:rFonts w:ascii="Times New Roman" w:hAnsi="Times New Roman"/>
          <w:i/>
          <w:sz w:val="20"/>
        </w:rPr>
        <w:t>c</w:t>
      </w:r>
      <w:r>
        <w:rPr>
          <w:rFonts w:ascii="Times New Roman" w:hAnsi="Times New Roman"/>
          <w:sz w:val="20"/>
        </w:rPr>
        <w:t xml:space="preserve"> with </w:t>
      </w:r>
      <w:r>
        <w:rPr>
          <w:rFonts w:ascii="Times New Roman" w:hAnsi="Times New Roman"/>
          <w:i/>
          <w:sz w:val="20"/>
        </w:rPr>
        <w:t>A^k</w:t>
      </w:r>
      <w:r>
        <w:rPr>
          <w:rFonts w:ascii="Times New Roman" w:hAnsi="Times New Roman"/>
          <w:sz w:val="20"/>
        </w:rPr>
        <w:t xml:space="preserve"> the activation maps of the last convolutional stage,</w:t>
      </w:r>
    </w:p>
    <w:p>
      <w:pPr>
        <w:tabs>
          <w:tab w:pos="4835" w:val="right"/>
        </w:tabs>
        <w:spacing w:before="80" w:after="80"/>
        <w:jc w:val="center"/>
      </w:pPr>
      <w:r>
        <w:rPr>
          <w:rFonts w:ascii="Times New Roman" w:hAnsi="Times New Roman"/>
          <w:i/>
          <w:sz w:val="20"/>
        </w:rPr>
        <w:t>α^cₖ = (1)/(HW)Σ_(i,j) (∂ y^c)/(∂ A^k_(ij)),   L^c_(Grad-CAM) = ReLU(Σₖ α^cₖ A^k)</w:t>
      </w:r>
      <w:r>
        <w:rPr>
          <w:rFonts w:ascii="Times New Roman" w:hAnsi="Times New Roman"/>
          <w:sz w:val="20"/>
        </w:rPr>
        <w:tab/>
        <w:t>(9)</w:t>
      </w:r>
    </w:p>
    <w:p>
      <w:pPr>
        <w:spacing w:after="0" w:before="0" w:line="240" w:lineRule="exact"/>
        <w:ind w:firstLine="202"/>
        <w:jc w:val="both"/>
      </w:pPr>
      <w:r>
        <w:rPr>
          <w:rFonts w:ascii="Times New Roman" w:hAnsi="Times New Roman"/>
          <w:sz w:val="20"/>
        </w:rPr>
        <w:t xml:space="preserve">is treated as secondary and corroborating evidence only: its categorization covers 62 maps placed in one of three categories by a single annotator, with no inter-rater agreement and no rubric fixed in advance, so it is not a reproducible measurement (Section V-D). We call these </w:t>
      </w:r>
      <w:r>
        <w:rPr>
          <w:rFonts w:ascii="Times New Roman" w:hAnsi="Times New Roman"/>
          <w:i/>
          <w:sz w:val="20"/>
        </w:rPr>
        <w:t>attribution</w:t>
      </w:r>
      <w:r>
        <w:rPr>
          <w:rFonts w:ascii="Times New Roman" w:hAnsi="Times New Roman"/>
          <w:sz w:val="20"/>
        </w:rPr>
        <w:t xml:space="preserve"> rather than </w:t>
      </w:r>
      <w:r>
        <w:rPr>
          <w:rFonts w:ascii="Times New Roman" w:hAnsi="Times New Roman"/>
          <w:i/>
          <w:sz w:val="20"/>
        </w:rPr>
        <w:t>attention</w:t>
      </w:r>
      <w:r>
        <w:rPr>
          <w:rFonts w:ascii="Times New Roman" w:hAnsi="Times New Roman"/>
          <w:sz w:val="20"/>
        </w:rPr>
        <w:t xml:space="preserve"> analyses throughout, since neither is an attention mechanism.</w:t>
      </w:r>
    </w:p>
    <w:p>
      <w:pPr>
        <w:spacing w:after="0" w:before="0" w:line="240" w:lineRule="exact"/>
        <w:ind w:firstLine="202"/>
        <w:jc w:val="both"/>
      </w:pPr>
      <w:r>
        <w:rPr>
          <w:rFonts w:ascii="Times New Roman" w:hAnsi="Times New Roman"/>
          <w:sz w:val="20"/>
        </w:rPr>
        <w:t xml:space="preserve">Attribution for the linear baseline uses an exact logit decomposition. For a linear model, the contribution of feature </w:t>
      </w:r>
      <w:r>
        <w:rPr>
          <w:rFonts w:ascii="Times New Roman" w:hAnsi="Times New Roman"/>
          <w:i/>
          <w:sz w:val="20"/>
        </w:rPr>
        <w:t>i</w:t>
      </w:r>
      <w:r>
        <w:rPr>
          <w:rFonts w:ascii="Times New Roman" w:hAnsi="Times New Roman"/>
          <w:sz w:val="20"/>
        </w:rPr>
        <w:t xml:space="preserve"> to the logit of instance </w:t>
      </w:r>
      <w:r>
        <w:rPr>
          <w:rFonts w:ascii="Times New Roman" w:hAnsi="Times New Roman"/>
          <w:i/>
          <w:sz w:val="20"/>
        </w:rPr>
        <w:t>x</w:t>
      </w:r>
      <w:r>
        <w:rPr>
          <w:rFonts w:ascii="Times New Roman" w:hAnsi="Times New Roman"/>
          <w:sz w:val="20"/>
        </w:rPr>
        <w:t>, relative to a background mean, is</w:t>
      </w:r>
    </w:p>
    <w:p>
      <w:pPr>
        <w:tabs>
          <w:tab w:pos="4835" w:val="right"/>
        </w:tabs>
        <w:spacing w:before="80" w:after="80"/>
        <w:jc w:val="center"/>
      </w:pPr>
      <w:r>
        <w:rPr>
          <w:rFonts w:ascii="Times New Roman" w:hAnsi="Times New Roman"/>
          <w:i/>
          <w:sz w:val="20"/>
        </w:rPr>
        <w:t>φ_i(x) = w_i(φ_i(x) - E[φ_i])</w:t>
      </w:r>
      <w:r>
        <w:rPr>
          <w:rFonts w:ascii="Times New Roman" w:hAnsi="Times New Roman"/>
          <w:sz w:val="20"/>
        </w:rPr>
        <w:tab/>
        <w:t>(10)</w:t>
      </w:r>
    </w:p>
    <w:p>
      <w:pPr>
        <w:spacing w:after="0" w:before="0" w:line="240" w:lineRule="exact"/>
        <w:ind w:firstLine="202"/>
        <w:jc w:val="both"/>
      </w:pPr>
      <w:r>
        <w:rPr>
          <w:rFonts w:ascii="Times New Roman" w:hAnsi="Times New Roman"/>
          <w:sz w:val="20"/>
        </w:rPr>
        <w:t xml:space="preserve">so no sampling approximation is needed; </w:t>
      </w:r>
      <w:r>
        <w:rPr>
          <w:rFonts w:ascii="Times New Roman" w:hAnsi="Times New Roman"/>
          <w:i/>
          <w:sz w:val="20"/>
        </w:rPr>
        <w:t>E[φ_i]</w:t>
      </w:r>
      <w:r>
        <w:rPr>
          <w:rFonts w:ascii="Times New Roman" w:hAnsi="Times New Roman"/>
          <w:sz w:val="20"/>
        </w:rPr>
        <w:t xml:space="preserve"> is taken over the Split B training partition and </w:t>
      </w:r>
      <w:r>
        <w:rPr>
          <w:rFonts w:ascii="Times New Roman" w:hAnsi="Times New Roman"/>
          <w:i/>
          <w:sz w:val="20"/>
        </w:rPr>
        <w:t>|φ_i|̄</w:t>
      </w:r>
      <w:r>
        <w:rPr>
          <w:rFonts w:ascii="Times New Roman" w:hAnsi="Times New Roman"/>
          <w:sz w:val="20"/>
        </w:rPr>
        <w:t xml:space="preserve"> over its test partition reported as global importance. Eq. (10) coincides with the linear SHAP form of [16] under an independent-feature background, but histogram bins are not independent — the 32 bins of a channel sum to one by construction — so we do not call it a Shapley value; we call it an </w:t>
      </w:r>
      <w:r>
        <w:rPr>
          <w:rFonts w:ascii="Times New Roman" w:hAnsi="Times New Roman"/>
          <w:b/>
          <w:sz w:val="20"/>
        </w:rPr>
        <w:t>exact linear logit decomposition</w:t>
      </w:r>
      <w:r>
        <w:rPr>
          <w:rFonts w:ascii="Times New Roman" w:hAnsi="Times New Roman"/>
          <w:sz w:val="20"/>
        </w:rPr>
        <w:t xml:space="preserve"> and report the raw coefficients alongside it (Section S-I-P).</w:t>
      </w:r>
    </w:p>
    <w:p>
      <w:pPr>
        <w:keepNext/>
        <w:spacing w:before="200" w:after="60" w:line="240" w:lineRule="exact"/>
        <w:jc w:val="left"/>
      </w:pPr>
      <w:r>
        <w:rPr>
          <w:rFonts w:ascii="Arial" w:hAnsi="Arial"/>
          <w:b/>
          <w:i w:val="0"/>
          <w:color w:val="00548F"/>
          <w:sz w:val="18"/>
        </w:rPr>
        <w:t>IV. RESULTS</w:t>
      </w:r>
    </w:p>
    <w:p>
      <w:pPr>
        <w:spacing w:after="0" w:before="0" w:line="240" w:lineRule="exact"/>
        <w:ind w:firstLine="202"/>
        <w:jc w:val="both"/>
      </w:pPr>
      <w:r>
        <w:rPr>
          <w:rFonts w:ascii="Times New Roman" w:hAnsi="Times New Roman"/>
          <w:sz w:val="20"/>
        </w:rPr>
        <w:t xml:space="preserve">All results come from the deterministic pipeline and its persisted checkpoints, except where a table explicitly reports a baseline condition for contrast. Complete machine-readable tables are in </w:t>
      </w:r>
      <w:r>
        <w:rPr>
          <w:rFonts w:ascii="Consolas" w:hAnsi="Consolas"/>
          <w:sz w:val="18"/>
        </w:rPr>
        <w:t>paper/tables/</w:t>
      </w:r>
      <w:r>
        <w:rPr>
          <w:rFonts w:ascii="Times New Roman" w:hAnsi="Times New Roman"/>
          <w:sz w:val="20"/>
        </w:rPr>
        <w:t>.</w:t>
      </w:r>
    </w:p>
    <w:p>
      <w:pPr>
        <w:spacing w:after="0" w:before="0" w:line="240" w:lineRule="exact"/>
        <w:ind w:firstLine="202"/>
        <w:jc w:val="both"/>
      </w:pPr>
      <w:r>
        <w:rPr>
          <w:rFonts w:ascii="Times New Roman" w:hAnsi="Times New Roman"/>
          <w:b/>
          <w:sz w:val="20"/>
        </w:rPr>
        <w:t>Three tiers of evidence are reported here, and the distinction governs how each result should be weighted.</w:t>
      </w:r>
      <w:r>
        <w:rPr>
          <w:rFonts w:ascii="Times New Roman" w:hAnsi="Times New Roman"/>
          <w:sz w:val="20"/>
        </w:rPr>
        <w:t xml:space="preserve"> Everything in the first tier was fixed by the protocol before any of it ran. The second was specified in full before the data it is measured on existed, but was not pre-registered. Everything in the third was developed after the external failure was observed, and Section S-I-F sets out the sense in which it is exploratory. We do not present the three as equivalent, and no claim in Sections V–VI rests on the third tier alone.</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Tier</w:t>
            </w:r>
          </w:p>
        </w:tc>
        <w:tc>
          <w:tcPr>
            <w:tcW w:type="dxa" w:w="3355"/>
            <w:shd w:val="clear" w:color="auto" w:fill="DCE6EF"/>
          </w:tcPr>
          <w:p>
            <w:pPr>
              <w:spacing w:after="20" w:before="20"/>
              <w:jc w:val="center"/>
            </w:pPr>
            <w:r>
              <w:rPr>
                <w:b/>
              </w:rPr>
            </w:r>
            <w:r>
              <w:rPr>
                <w:rFonts w:ascii="Arial" w:hAnsi="Arial"/>
                <w:b/>
                <w:sz w:val="14"/>
              </w:rPr>
              <w:t>What it covers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b/>
                <w:sz w:val="14"/>
              </w:rPr>
              <w:t>Confirmatory</w:t>
            </w:r>
            <w:r>
              <w:rPr>
                <w:rFonts w:ascii="Arial" w:hAnsi="Arial"/>
                <w:sz w:val="14"/>
              </w:rPr>
              <w:t xml:space="preserve"> (pre-specified)</w:t>
            </w:r>
          </w:p>
        </w:tc>
        <w:tc>
          <w:tcPr>
            <w:tcW w:type="dxa" w:w="3355"/>
          </w:tcPr>
          <w:p>
            <w:pPr>
              <w:spacing w:after="20" w:before="20"/>
              <w:jc w:val="center"/>
            </w:pPr>
            <w:r/>
            <w:r>
              <w:rPr>
                <w:rFonts w:ascii="Arial" w:hAnsi="Arial"/>
                <w:sz w:val="14"/>
              </w:rPr>
              <w:t>The provenance audit; the Split A vs. Split B comparison and the paired leakage experiment; the baseline external evaluation of the four models on condition C</w:t>
            </w:r>
          </w:p>
        </w:tc>
        <w:tc>
          <w:tcPr>
            <w:tcW w:type="dxa" w:w="3355"/>
          </w:tcPr>
          <w:p>
            <w:pPr>
              <w:spacing w:after="20" w:before="20"/>
              <w:jc w:val="center"/>
            </w:pPr>
            <w:r/>
            <w:r>
              <w:rPr>
                <w:rFonts w:ascii="Arial" w:hAnsi="Arial"/>
                <w:sz w:val="14"/>
              </w:rPr>
              <w:t>Sections IV-A, IV-B, and the baseline column of Table 5</w:t>
            </w:r>
          </w:p>
        </w:tc>
      </w:tr>
      <w:tr>
        <w:tc>
          <w:tcPr>
            <w:tcW w:type="dxa" w:w="3355"/>
          </w:tcPr>
          <w:p>
            <w:pPr>
              <w:spacing w:after="20" w:before="20"/>
              <w:jc w:val="left"/>
            </w:pPr>
            <w:r/>
            <w:r>
              <w:rPr>
                <w:rFonts w:ascii="Arial" w:hAnsi="Arial"/>
                <w:b/>
                <w:sz w:val="14"/>
              </w:rPr>
              <w:t>Protocol-fixed</w:t>
            </w:r>
            <w:r>
              <w:rPr>
                <w:rFonts w:ascii="Arial" w:hAnsi="Arial"/>
                <w:sz w:val="14"/>
              </w:rPr>
              <w:t xml:space="preserve"> (frozen before the data existed)</w:t>
            </w:r>
          </w:p>
        </w:tc>
        <w:tc>
          <w:tcPr>
            <w:tcW w:type="dxa" w:w="3355"/>
          </w:tcPr>
          <w:p>
            <w:pPr>
              <w:spacing w:after="20" w:before="20"/>
              <w:jc w:val="center"/>
            </w:pPr>
            <w:r/>
            <w:r>
              <w:rPr>
                <w:rFonts w:ascii="Arial" w:hAnsi="Arial"/>
                <w:sz w:val="14"/>
              </w:rPr>
              <w:t>The balanced external evaluation: model, preprocessing, normalization, threshold and metric set were all frozen before the set was built, and it was scored once</w:t>
            </w:r>
          </w:p>
        </w:tc>
        <w:tc>
          <w:tcPr>
            <w:tcW w:type="dxa" w:w="3355"/>
          </w:tcPr>
          <w:p>
            <w:pPr>
              <w:spacing w:after="20" w:before="20"/>
              <w:jc w:val="center"/>
            </w:pPr>
            <w:r/>
            <w:r>
              <w:rPr>
                <w:rFonts w:ascii="Arial" w:hAnsi="Arial"/>
                <w:sz w:val="14"/>
              </w:rPr>
              <w:t>Section IV-C, Table 4</w:t>
            </w:r>
          </w:p>
        </w:tc>
      </w:tr>
      <w:tr>
        <w:tc>
          <w:tcPr>
            <w:tcW w:type="dxa" w:w="3355"/>
          </w:tcPr>
          <w:p>
            <w:pPr>
              <w:spacing w:after="20" w:before="20"/>
              <w:jc w:val="left"/>
            </w:pPr>
            <w:r/>
            <w:r>
              <w:rPr>
                <w:rFonts w:ascii="Arial" w:hAnsi="Arial"/>
                <w:b/>
                <w:sz w:val="14"/>
              </w:rPr>
              <w:t>Exploratory</w:t>
            </w:r>
            <w:r>
              <w:rPr>
                <w:rFonts w:ascii="Arial" w:hAnsi="Arial"/>
                <w:sz w:val="14"/>
              </w:rPr>
              <w:t xml:space="preserve"> (post-hoc)</w:t>
            </w:r>
          </w:p>
        </w:tc>
        <w:tc>
          <w:tcPr>
            <w:tcW w:type="dxa" w:w="3355"/>
          </w:tcPr>
          <w:p>
            <w:pPr>
              <w:spacing w:after="20" w:before="20"/>
              <w:jc w:val="center"/>
            </w:pPr>
            <w:r/>
            <w:r>
              <w:rPr>
                <w:rFonts w:ascii="Arial" w:hAnsi="Arial"/>
                <w:sz w:val="14"/>
              </w:rPr>
              <w:t>The normalization and the selection of its axes, constants and order; the attribution and region-substitution investigations; condition D</w:t>
            </w:r>
          </w:p>
        </w:tc>
        <w:tc>
          <w:tcPr>
            <w:tcW w:type="dxa" w:w="3355"/>
          </w:tcPr>
          <w:p>
            <w:pPr>
              <w:spacing w:after="20" w:before="20"/>
              <w:jc w:val="center"/>
            </w:pPr>
            <w:r/>
            <w:r>
              <w:rPr>
                <w:rFonts w:ascii="Arial" w:hAnsi="Arial"/>
                <w:sz w:val="14"/>
              </w:rPr>
              <w:t>Sections IV-D, IV-E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second row is labeled </w:t>
      </w:r>
      <w:r>
        <w:rPr>
          <w:rFonts w:ascii="Times New Roman" w:hAnsi="Times New Roman"/>
          <w:b/>
          <w:sz w:val="20"/>
        </w:rPr>
        <w:t>protocol-fixed</w:t>
      </w:r>
      <w:r>
        <w:rPr>
          <w:rFonts w:ascii="Times New Roman" w:hAnsi="Times New Roman"/>
          <w:sz w:val="20"/>
        </w:rPr>
        <w:t xml:space="preserve"> rather than confirmatory, and the distinction is deliberate. The </w:t>
      </w:r>
      <w:r>
        <w:rPr>
          <w:rFonts w:ascii="Times New Roman" w:hAnsi="Times New Roman"/>
          <w:i/>
          <w:sz w:val="20"/>
        </w:rPr>
        <w:t>decision</w:t>
      </w:r>
      <w:r>
        <w:rPr>
          <w:rFonts w:ascii="Times New Roman" w:hAnsi="Times New Roman"/>
          <w:sz w:val="20"/>
        </w:rPr>
        <w:t xml:space="preserve"> to build a balanced external set was taken after the one-sided results were in, so it was </w:t>
      </w:r>
      <w:r>
        <w:rPr>
          <w:rFonts w:ascii="Times New Roman" w:hAnsi="Times New Roman"/>
          <w:b/>
          <w:sz w:val="20"/>
        </w:rPr>
        <w:t>not pre-registered</w:t>
      </w:r>
      <w:r>
        <w:rPr>
          <w:rFonts w:ascii="Times New Roman" w:hAnsi="Times New Roman"/>
          <w:sz w:val="20"/>
        </w:rPr>
        <w:t xml:space="preserve"> in the sense the first row is. What it does have is a frozen protocol: the models, their preprocessing, the normalization, the decision threshold and the metric set were all settled before the set was built, and the set was scored once (Section III-D).</w:t>
      </w:r>
    </w:p>
    <w:p>
      <w:pPr>
        <w:spacing w:after="0" w:before="0" w:line="240" w:lineRule="exact"/>
        <w:ind w:firstLine="202"/>
        <w:jc w:val="both"/>
      </w:pPr>
      <w:r>
        <w:rPr>
          <w:rFonts w:ascii="Times New Roman" w:hAnsi="Times New Roman"/>
          <w:sz w:val="20"/>
        </w:rPr>
        <w:t xml:space="preserve">The third tier is where the strongest-looking numbers in this paper live, and it is also where condition C stops being an untouched external set: the three normalization axes were nominated </w:t>
      </w:r>
      <w:r>
        <w:rPr>
          <w:rFonts w:ascii="Times New Roman" w:hAnsi="Times New Roman"/>
          <w:i/>
          <w:sz w:val="20"/>
        </w:rPr>
        <w:t>because</w:t>
      </w:r>
      <w:r>
        <w:rPr>
          <w:rFonts w:ascii="Times New Roman" w:hAnsi="Times New Roman"/>
          <w:sz w:val="20"/>
        </w:rPr>
        <w:t xml:space="preserve"> Table 1 showed those statistics separating the training pool from it (Section III-F). The 86% and 81% figures of Section IV-E are therefore not clean external-validation results, and we do not report them as such.</w:t>
      </w:r>
    </w:p>
    <w:p>
      <w:pPr>
        <w:keepNext/>
        <w:spacing w:before="160" w:after="60" w:line="240" w:lineRule="exact"/>
        <w:jc w:val="left"/>
      </w:pPr>
      <w:r>
        <w:rPr>
          <w:rFonts w:ascii="Arial" w:hAnsi="Arial"/>
          <w:b/>
          <w:i/>
          <w:color w:val="000000"/>
          <w:sz w:val="18"/>
        </w:rPr>
        <w:t>A. THE PROVENANCE AUDIT</w:t>
      </w:r>
    </w:p>
    <w:p>
      <w:pPr>
        <w:spacing w:after="0" w:before="0" w:line="240" w:lineRule="exact"/>
        <w:ind w:firstLine="202"/>
        <w:jc w:val="both"/>
      </w:pPr>
      <w:r>
        <w:rPr>
          <w:rFonts w:ascii="Times New Roman" w:hAnsi="Times New Roman"/>
          <w:sz w:val="20"/>
        </w:rPr>
        <w:t>The strongest result in this study needs four learned parameters and no decoded pixels: a logistic regression on three header fields separates the two classes perfectly on the leakage-free partition (Table 2).</w:t>
      </w:r>
    </w:p>
    <w:p>
      <w:pPr>
        <w:spacing w:after="0" w:before="0" w:line="240" w:lineRule="exact"/>
        <w:ind w:firstLine="202"/>
        <w:jc w:val="both"/>
      </w:pPr>
      <w:r>
        <w:rPr>
          <w:rFonts w:ascii="Times New Roman" w:hAnsi="Times New Roman"/>
          <w:sz w:val="20"/>
        </w:rPr>
        <w:t xml:space="preserve">Every one of the 510 pool filenames falls into exactly one of two patterns, and </w:t>
      </w:r>
      <w:r>
        <w:rPr>
          <w:rFonts w:ascii="Times New Roman" w:hAnsi="Times New Roman"/>
          <w:b/>
          <w:sz w:val="20"/>
        </w:rPr>
        <w:t>the pattern predicts the class label with no exceptions</w:t>
      </w:r>
      <w:r>
        <w:rPr>
          <w:rFonts w:ascii="Times New Roman" w:hAnsi="Times New Roman"/>
          <w:sz w:val="20"/>
        </w:rPr>
        <w:t xml:space="preserve">: 272/272 authentic-labeled files are </w:t>
      </w:r>
      <w:r>
        <w:rPr>
          <w:rFonts w:ascii="Consolas" w:hAnsi="Consolas"/>
          <w:sz w:val="18"/>
        </w:rPr>
        <w:t>images*.jpg</w:t>
      </w:r>
      <w:r>
        <w:rPr>
          <w:rFonts w:ascii="Times New Roman" w:hAnsi="Times New Roman"/>
          <w:sz w:val="20"/>
        </w:rPr>
        <w:t xml:space="preserve"> and 238/238 counterfeit-labeled files </w:t>
      </w:r>
      <w:r>
        <w:rPr>
          <w:rFonts w:ascii="Consolas" w:hAnsi="Consolas"/>
          <w:sz w:val="18"/>
        </w:rPr>
        <w:t>Screenshot*.png</w:t>
      </w:r>
      <w:r>
        <w:rPr>
          <w:rFonts w:ascii="Times New Roman" w:hAnsi="Times New Roman"/>
          <w:sz w:val="20"/>
        </w:rPr>
        <w:t xml:space="preserve">. This is not an artifact of our filtering — it holds in the archive as distributed, where all 240 files in </w:t>
      </w:r>
      <w:r>
        <w:rPr>
          <w:rFonts w:ascii="Consolas" w:hAnsi="Consolas"/>
          <w:sz w:val="18"/>
        </w:rPr>
        <w:t>Fake/</w:t>
      </w:r>
      <w:r>
        <w:rPr>
          <w:rFonts w:ascii="Times New Roman" w:hAnsi="Times New Roman"/>
          <w:sz w:val="20"/>
        </w:rPr>
        <w:t xml:space="preserve"> are </w:t>
      </w:r>
      <w:r>
        <w:rPr>
          <w:rFonts w:ascii="Consolas" w:hAnsi="Consolas"/>
          <w:sz w:val="18"/>
        </w:rPr>
        <w:t>Screenshot*.png</w:t>
      </w:r>
      <w:r>
        <w:rPr>
          <w:rFonts w:ascii="Times New Roman" w:hAnsi="Times New Roman"/>
          <w:sz w:val="20"/>
        </w:rPr>
        <w:t xml:space="preserve"> and all 421 in </w:t>
      </w:r>
      <w:r>
        <w:rPr>
          <w:rFonts w:ascii="Consolas" w:hAnsi="Consolas"/>
          <w:sz w:val="18"/>
        </w:rPr>
        <w:t>Real/</w:t>
      </w:r>
      <w:r>
        <w:rPr>
          <w:rFonts w:ascii="Times New Roman" w:hAnsi="Times New Roman"/>
          <w:sz w:val="20"/>
        </w:rPr>
        <w:t xml:space="preserve"> are </w:t>
      </w:r>
      <w:r>
        <w:rPr>
          <w:rFonts w:ascii="Consolas" w:hAnsi="Consolas"/>
          <w:sz w:val="18"/>
        </w:rPr>
        <w:t>images*.jpg</w:t>
      </w:r>
      <w:r>
        <w:rPr>
          <w:rFonts w:ascii="Times New Roman" w:hAnsi="Times New Roman"/>
          <w:sz w:val="20"/>
        </w:rPr>
        <w:t xml:space="preserve"> — so any study using this dataset inherits it in full, and a classifier reading nothing but the file extension achieves </w:t>
      </w:r>
      <w:r>
        <w:rPr>
          <w:rFonts w:ascii="Times New Roman" w:hAnsi="Times New Roman"/>
          <w:b/>
          <w:sz w:val="20"/>
        </w:rPr>
        <w:t>100% accuracy</w:t>
      </w:r>
      <w:r>
        <w:rPr>
          <w:rFonts w:ascii="Times New Roman" w:hAnsi="Times New Roman"/>
          <w:sz w:val="20"/>
        </w:rPr>
        <w:t>.</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1. </w:t>
      </w:r>
      <w:r>
        <w:rPr>
          <w:rFonts w:ascii="Arial" w:hAnsi="Arial"/>
          <w:color w:val="000000"/>
          <w:sz w:val="14"/>
        </w:rPr>
        <w:t>The two acquisition pipelines in the Kaggle pool, and the external sets' position relative to both. Median short side and file size are header fields; mean brightness is the mean RGB value at 64 × 64 on a 0–1 scale, and is listed last because it requires decoding the image. Throughout this paper kB = 1000 bytes.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Group</w:t>
            </w:r>
          </w:p>
        </w:tc>
        <w:tc>
          <w:tcPr>
            <w:tcW w:type="dxa" w:w="1677"/>
            <w:shd w:val="clear" w:color="auto" w:fill="DCE6EF"/>
          </w:tcPr>
          <w:p>
            <w:pPr>
              <w:spacing w:after="20" w:before="20"/>
              <w:jc w:val="center"/>
            </w:pPr>
            <w:r>
              <w:rPr>
                <w:b/>
              </w:rPr>
            </w:r>
            <w:r>
              <w:rPr>
                <w:rFonts w:ascii="Arial" w:hAnsi="Arial"/>
                <w:b/>
                <w:sz w:val="14"/>
              </w:rPr>
              <w:t>n</w:t>
            </w:r>
          </w:p>
        </w:tc>
        <w:tc>
          <w:tcPr>
            <w:tcW w:type="dxa" w:w="1677"/>
            <w:shd w:val="clear" w:color="auto" w:fill="DCE6EF"/>
          </w:tcPr>
          <w:p>
            <w:pPr>
              <w:spacing w:after="20" w:before="20"/>
              <w:jc w:val="center"/>
            </w:pPr>
            <w:r>
              <w:rPr>
                <w:b/>
              </w:rPr>
            </w:r>
            <w:r>
              <w:rPr>
                <w:rFonts w:ascii="Arial" w:hAnsi="Arial"/>
                <w:b/>
                <w:sz w:val="14"/>
              </w:rPr>
              <w:t>Capture pattern</w:t>
            </w:r>
          </w:p>
        </w:tc>
        <w:tc>
          <w:tcPr>
            <w:tcW w:type="dxa" w:w="1677"/>
            <w:shd w:val="clear" w:color="auto" w:fill="DCE6EF"/>
          </w:tcPr>
          <w:p>
            <w:pPr>
              <w:spacing w:after="20" w:before="20"/>
              <w:jc w:val="center"/>
            </w:pPr>
            <w:r>
              <w:rPr>
                <w:b/>
              </w:rPr>
            </w:r>
            <w:r>
              <w:rPr>
                <w:rFonts w:ascii="Arial" w:hAnsi="Arial"/>
                <w:b/>
                <w:sz w:val="14"/>
              </w:rPr>
              <w:t>Median short side (px)</w:t>
            </w:r>
          </w:p>
        </w:tc>
        <w:tc>
          <w:tcPr>
            <w:tcW w:type="dxa" w:w="1677"/>
            <w:shd w:val="clear" w:color="auto" w:fill="DCE6EF"/>
          </w:tcPr>
          <w:p>
            <w:pPr>
              <w:spacing w:after="20" w:before="20"/>
              <w:jc w:val="center"/>
            </w:pPr>
            <w:r>
              <w:rPr>
                <w:b/>
              </w:rPr>
            </w:r>
            <w:r>
              <w:rPr>
                <w:rFonts w:ascii="Arial" w:hAnsi="Arial"/>
                <w:b/>
                <w:sz w:val="14"/>
              </w:rPr>
              <w:t>Mean file size</w:t>
            </w:r>
          </w:p>
        </w:tc>
        <w:tc>
          <w:tcPr>
            <w:tcW w:type="dxa" w:w="1677"/>
            <w:shd w:val="clear" w:color="auto" w:fill="DCE6EF"/>
          </w:tcPr>
          <w:p>
            <w:pPr>
              <w:spacing w:after="20" w:before="20"/>
              <w:jc w:val="center"/>
            </w:pPr>
            <w:r>
              <w:rPr>
                <w:b/>
              </w:rPr>
            </w:r>
            <w:r>
              <w:rPr>
                <w:rFonts w:ascii="Arial" w:hAnsi="Arial"/>
                <w:b/>
                <w:sz w:val="14"/>
              </w:rPr>
              <w:t>Mean brightness</w:t>
            </w:r>
          </w:p>
        </w:tc>
      </w:tr>
      <w:tr>
        <w:tc>
          <w:tcPr>
            <w:tcW w:type="dxa" w:w="1677"/>
          </w:tcPr>
          <w:p>
            <w:pPr>
              <w:spacing w:after="20" w:before="20"/>
              <w:jc w:val="left"/>
            </w:pPr>
            <w:r/>
            <w:r>
              <w:rPr>
                <w:rFonts w:ascii="Arial" w:hAnsi="Arial"/>
                <w:sz w:val="14"/>
              </w:rPr>
              <w:t>Kaggle authentic</w:t>
            </w:r>
          </w:p>
        </w:tc>
        <w:tc>
          <w:tcPr>
            <w:tcW w:type="dxa" w:w="1677"/>
          </w:tcPr>
          <w:p>
            <w:pPr>
              <w:spacing w:after="20" w:before="20"/>
              <w:jc w:val="center"/>
            </w:pPr>
            <w:r/>
            <w:r>
              <w:rPr>
                <w:rFonts w:ascii="Arial" w:hAnsi="Arial"/>
                <w:sz w:val="14"/>
              </w:rPr>
              <w:t>272</w:t>
            </w:r>
          </w:p>
        </w:tc>
        <w:tc>
          <w:tcPr>
            <w:tcW w:type="dxa" w:w="1677"/>
          </w:tcPr>
          <w:p>
            <w:pPr>
              <w:spacing w:after="20" w:before="20"/>
              <w:jc w:val="center"/>
            </w:pPr>
            <w:r/>
            <w:r>
              <w:rPr>
                <w:rFonts w:ascii="Consolas" w:hAnsi="Consolas"/>
                <w:sz w:val="12"/>
              </w:rPr>
              <w:t>images*.jpg</w:t>
            </w:r>
            <w:r>
              <w:rPr>
                <w:rFonts w:ascii="Arial" w:hAnsi="Arial"/>
                <w:sz w:val="14"/>
              </w:rPr>
              <w:t xml:space="preserve"> (100%)</w:t>
            </w:r>
          </w:p>
        </w:tc>
        <w:tc>
          <w:tcPr>
            <w:tcW w:type="dxa" w:w="1677"/>
          </w:tcPr>
          <w:p>
            <w:pPr>
              <w:spacing w:after="20" w:before="20"/>
              <w:jc w:val="center"/>
            </w:pPr>
            <w:r/>
            <w:r>
              <w:rPr>
                <w:rFonts w:ascii="Arial" w:hAnsi="Arial"/>
                <w:sz w:val="14"/>
              </w:rPr>
              <w:t>223</w:t>
            </w:r>
          </w:p>
        </w:tc>
        <w:tc>
          <w:tcPr>
            <w:tcW w:type="dxa" w:w="1677"/>
          </w:tcPr>
          <w:p>
            <w:pPr>
              <w:spacing w:after="20" w:before="20"/>
              <w:jc w:val="center"/>
            </w:pPr>
            <w:r/>
            <w:r>
              <w:rPr>
                <w:rFonts w:ascii="Arial" w:hAnsi="Arial"/>
                <w:sz w:val="14"/>
              </w:rPr>
              <w:t>6.0 kB</w:t>
            </w:r>
          </w:p>
        </w:tc>
        <w:tc>
          <w:tcPr>
            <w:tcW w:type="dxa" w:w="1677"/>
          </w:tcPr>
          <w:p>
            <w:pPr>
              <w:spacing w:after="20" w:before="20"/>
              <w:jc w:val="center"/>
            </w:pPr>
            <w:r/>
            <w:r>
              <w:rPr>
                <w:rFonts w:ascii="Arial" w:hAnsi="Arial"/>
                <w:sz w:val="14"/>
              </w:rPr>
              <w:t>0.767</w:t>
            </w:r>
          </w:p>
        </w:tc>
      </w:tr>
      <w:tr>
        <w:tc>
          <w:tcPr>
            <w:tcW w:type="dxa" w:w="1677"/>
          </w:tcPr>
          <w:p>
            <w:pPr>
              <w:spacing w:after="20" w:before="20"/>
              <w:jc w:val="left"/>
            </w:pPr>
            <w:r/>
            <w:r>
              <w:rPr>
                <w:rFonts w:ascii="Arial" w:hAnsi="Arial"/>
                <w:sz w:val="14"/>
              </w:rPr>
              <w:t>Kaggle counterfeit</w:t>
            </w:r>
          </w:p>
        </w:tc>
        <w:tc>
          <w:tcPr>
            <w:tcW w:type="dxa" w:w="1677"/>
          </w:tcPr>
          <w:p>
            <w:pPr>
              <w:spacing w:after="20" w:before="20"/>
              <w:jc w:val="center"/>
            </w:pPr>
            <w:r/>
            <w:r>
              <w:rPr>
                <w:rFonts w:ascii="Arial" w:hAnsi="Arial"/>
                <w:sz w:val="14"/>
              </w:rPr>
              <w:t>238</w:t>
            </w:r>
          </w:p>
        </w:tc>
        <w:tc>
          <w:tcPr>
            <w:tcW w:type="dxa" w:w="1677"/>
          </w:tcPr>
          <w:p>
            <w:pPr>
              <w:spacing w:after="20" w:before="20"/>
              <w:jc w:val="center"/>
            </w:pPr>
            <w:r/>
            <w:r>
              <w:rPr>
                <w:rFonts w:ascii="Consolas" w:hAnsi="Consolas"/>
                <w:sz w:val="12"/>
              </w:rPr>
              <w:t>Screenshot*.png</w:t>
            </w:r>
            <w:r>
              <w:rPr>
                <w:rFonts w:ascii="Arial" w:hAnsi="Arial"/>
                <w:sz w:val="14"/>
              </w:rPr>
              <w:t xml:space="preserve"> (100%)</w:t>
            </w:r>
          </w:p>
        </w:tc>
        <w:tc>
          <w:tcPr>
            <w:tcW w:type="dxa" w:w="1677"/>
          </w:tcPr>
          <w:p>
            <w:pPr>
              <w:spacing w:after="20" w:before="20"/>
              <w:jc w:val="center"/>
            </w:pPr>
            <w:r/>
            <w:r>
              <w:rPr>
                <w:rFonts w:ascii="Arial" w:hAnsi="Arial"/>
                <w:sz w:val="14"/>
              </w:rPr>
              <w:t>405</w:t>
            </w:r>
          </w:p>
        </w:tc>
        <w:tc>
          <w:tcPr>
            <w:tcW w:type="dxa" w:w="1677"/>
          </w:tcPr>
          <w:p>
            <w:pPr>
              <w:spacing w:after="20" w:before="20"/>
              <w:jc w:val="center"/>
            </w:pPr>
            <w:r/>
            <w:r>
              <w:rPr>
                <w:rFonts w:ascii="Arial" w:hAnsi="Arial"/>
                <w:sz w:val="14"/>
              </w:rPr>
              <w:t>339 kB</w:t>
            </w:r>
          </w:p>
        </w:tc>
        <w:tc>
          <w:tcPr>
            <w:tcW w:type="dxa" w:w="1677"/>
          </w:tcPr>
          <w:p>
            <w:pPr>
              <w:spacing w:after="20" w:before="20"/>
              <w:jc w:val="center"/>
            </w:pPr>
            <w:r/>
            <w:r>
              <w:rPr>
                <w:rFonts w:ascii="Arial" w:hAnsi="Arial"/>
                <w:sz w:val="14"/>
              </w:rPr>
              <w:t>0.555</w:t>
            </w:r>
          </w:p>
        </w:tc>
      </w:tr>
      <w:tr>
        <w:tc>
          <w:tcPr>
            <w:tcW w:type="dxa" w:w="1677"/>
          </w:tcPr>
          <w:p>
            <w:pPr>
              <w:spacing w:after="20" w:before="20"/>
              <w:jc w:val="left"/>
            </w:pPr>
            <w:r/>
            <w:r>
              <w:rPr>
                <w:rFonts w:ascii="Arial" w:hAnsi="Arial"/>
                <w:sz w:val="14"/>
              </w:rPr>
              <w:t>Condition C external (authentic)</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device photograph</w:t>
            </w:r>
          </w:p>
        </w:tc>
        <w:tc>
          <w:tcPr>
            <w:tcW w:type="dxa" w:w="1677"/>
          </w:tcPr>
          <w:p>
            <w:pPr>
              <w:spacing w:after="20" w:before="20"/>
              <w:jc w:val="center"/>
            </w:pPr>
            <w:r/>
            <w:r>
              <w:rPr>
                <w:rFonts w:ascii="Arial" w:hAnsi="Arial"/>
                <w:b/>
                <w:sz w:val="14"/>
              </w:rPr>
              <w:t>2448</w:t>
            </w:r>
          </w:p>
        </w:tc>
        <w:tc>
          <w:tcPr>
            <w:tcW w:type="dxa" w:w="1677"/>
          </w:tcPr>
          <w:p>
            <w:pPr>
              <w:spacing w:after="20" w:before="20"/>
              <w:jc w:val="center"/>
            </w:pPr>
            <w:r/>
            <w:r>
              <w:rPr>
                <w:rFonts w:ascii="Arial" w:hAnsi="Arial"/>
                <w:sz w:val="14"/>
              </w:rPr>
              <w:t>1,656 kB</w:t>
            </w:r>
          </w:p>
        </w:tc>
        <w:tc>
          <w:tcPr>
            <w:tcW w:type="dxa" w:w="1677"/>
          </w:tcPr>
          <w:p>
            <w:pPr>
              <w:spacing w:after="20" w:before="20"/>
              <w:jc w:val="center"/>
            </w:pPr>
            <w:r/>
            <w:r>
              <w:rPr>
                <w:rFonts w:ascii="Arial" w:hAnsi="Arial"/>
                <w:b/>
                <w:sz w:val="14"/>
              </w:rPr>
              <w:t>0.162</w:t>
            </w:r>
          </w:p>
        </w:tc>
      </w:tr>
      <w:tr>
        <w:tc>
          <w:tcPr>
            <w:tcW w:type="dxa" w:w="1677"/>
          </w:tcPr>
          <w:p>
            <w:pPr>
              <w:spacing w:after="20" w:before="20"/>
              <w:jc w:val="left"/>
            </w:pPr>
            <w:r/>
            <w:r>
              <w:rPr>
                <w:rFonts w:ascii="Arial" w:hAnsi="Arial"/>
                <w:sz w:val="14"/>
              </w:rPr>
              <w:t>Condition C synthetic (proxy counterfeit)</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perturbed copy of the above</w:t>
            </w:r>
          </w:p>
        </w:tc>
        <w:tc>
          <w:tcPr>
            <w:tcW w:type="dxa" w:w="1677"/>
          </w:tcPr>
          <w:p>
            <w:pPr>
              <w:spacing w:after="20" w:before="20"/>
              <w:jc w:val="center"/>
            </w:pPr>
            <w:r/>
            <w:r>
              <w:rPr>
                <w:rFonts w:ascii="Arial" w:hAnsi="Arial"/>
                <w:sz w:val="14"/>
              </w:rPr>
              <w:t>2448</w:t>
            </w:r>
          </w:p>
        </w:tc>
        <w:tc>
          <w:tcPr>
            <w:tcW w:type="dxa" w:w="1677"/>
          </w:tcPr>
          <w:p>
            <w:pPr>
              <w:spacing w:after="20" w:before="20"/>
              <w:jc w:val="center"/>
            </w:pPr>
            <w:r/>
            <w:r>
              <w:rPr>
                <w:rFonts w:ascii="Arial" w:hAnsi="Arial"/>
                <w:sz w:val="14"/>
              </w:rPr>
              <w:t>1,018 kB</w:t>
            </w:r>
          </w:p>
        </w:tc>
        <w:tc>
          <w:tcPr>
            <w:tcW w:type="dxa" w:w="1677"/>
          </w:tcPr>
          <w:p>
            <w:pPr>
              <w:spacing w:after="20" w:before="20"/>
              <w:jc w:val="center"/>
            </w:pPr>
            <w:r/>
            <w:r>
              <w:rPr>
                <w:rFonts w:ascii="Arial" w:hAnsi="Arial"/>
                <w:sz w:val="14"/>
              </w:rPr>
              <w:t>0.153</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A two-sample </w:t>
      </w:r>
      <w:r>
        <w:rPr>
          <w:rFonts w:ascii="Times New Roman" w:hAnsi="Times New Roman"/>
          <w:i/>
          <w:sz w:val="20"/>
        </w:rPr>
        <w:t>t</w:t>
      </w:r>
      <w:r>
        <w:rPr>
          <w:rFonts w:ascii="Times New Roman" w:hAnsi="Times New Roman"/>
          <w:sz w:val="20"/>
        </w:rPr>
        <w:t xml:space="preserve">-test on brightness between the classes gives </w:t>
      </w:r>
      <w:r>
        <w:rPr>
          <w:rFonts w:ascii="Times New Roman" w:hAnsi="Times New Roman"/>
          <w:i/>
          <w:sz w:val="20"/>
        </w:rPr>
        <w:t>t</w:t>
      </w:r>
      <w:r>
        <w:rPr>
          <w:rFonts w:ascii="Times New Roman" w:hAnsi="Times New Roman"/>
          <w:sz w:val="20"/>
        </w:rPr>
        <w:t xml:space="preserve"> = 17.0 on 508 degrees of freedom, </w:t>
      </w:r>
      <w:r>
        <w:rPr>
          <w:rFonts w:ascii="Times New Roman" w:hAnsi="Times New Roman"/>
          <w:i/>
          <w:sz w:val="20"/>
        </w:rPr>
        <w:t>p</w:t>
      </w:r>
      <w:r>
        <w:rPr>
          <w:rFonts w:ascii="Times New Roman" w:hAnsi="Times New Roman"/>
          <w:sz w:val="20"/>
        </w:rPr>
        <w:t xml:space="preserve"> &lt; 10⁻¹⁵. Table 1 makes a second point, plotted by Fig. S14: the external set does not sit </w:t>
      </w:r>
      <w:r>
        <w:rPr>
          <w:rFonts w:ascii="Times New Roman" w:hAnsi="Times New Roman"/>
          <w:i/>
          <w:sz w:val="20"/>
        </w:rPr>
        <w:t>between</w:t>
      </w:r>
      <w:r>
        <w:rPr>
          <w:rFonts w:ascii="Times New Roman" w:hAnsi="Times New Roman"/>
          <w:sz w:val="20"/>
        </w:rPr>
        <w:t xml:space="preserve"> the two training classes on these axes but far outside both, roughly 10× higher in linear resolution and darker than even the counterfeit class. A model that had learned "bright, small, heavily compressed → authentic" would have every statistical reason to call every external photograph counterfeit — a prediction the external results are consistent with, not an observation about any model's internals.</w:t>
      </w:r>
    </w:p>
    <w:p>
      <w:pPr>
        <w:spacing w:after="0" w:before="0" w:line="240" w:lineRule="exact"/>
        <w:ind w:firstLine="202"/>
        <w:jc w:val="both"/>
      </w:pPr>
      <w:r>
        <w:rPr>
          <w:rFonts w:ascii="Times New Roman" w:hAnsi="Times New Roman"/>
          <w:sz w:val="20"/>
        </w:rPr>
        <w:t>The confound is visible in the simplest model's decision function. Of M1's 96 coefficients, 93 lie within ±0.35 of zero while the top intensity bin (248–255) of each channel carries a large negative weight (β = −2.86, −2.84, −2.95), and the logit decomposition of Eq. (10) puts those three bins in the top three positions by mean |φ|, at 0.079–0.082 against 0.002 for the fourth (Section S-I-P). M1's 83.8% accuracy therefore appears driven largely by near-white pixel prevalence rather than by packaging.</w:t>
      </w:r>
    </w:p>
    <w:p>
      <w:pPr>
        <w:spacing w:after="0" w:before="0" w:line="240" w:lineRule="exact"/>
        <w:ind w:firstLine="202"/>
        <w:jc w:val="both"/>
      </w:pPr>
      <w:r>
        <w:rPr>
          <w:rFonts w:ascii="Times New Roman" w:hAnsi="Times New Roman"/>
          <w:b/>
          <w:sz w:val="20"/>
        </w:rPr>
        <w:t>A header-only oracle shows acquisition alone suffices.</w:t>
      </w:r>
      <w:r>
        <w:rPr>
          <w:rFonts w:ascii="Times New Roman" w:hAnsi="Times New Roman"/>
          <w:sz w:val="20"/>
        </w:rPr>
        <w:t xml:space="preserve"> A 96-bin color histogram still reads pixel intensities and could in principle carry packaging information, so we fitted the same logistic regression to what a file listing and a header parse supply — container format, log encoded size, log short-side resolution, and the implied aspect ratio — decoding no pixel (Table 2). Mean brightness is not metadata but a </w:t>
      </w:r>
      <w:r>
        <w:rPr>
          <w:rFonts w:ascii="Times New Roman" w:hAnsi="Times New Roman"/>
          <w:b/>
          <w:sz w:val="20"/>
        </w:rPr>
        <w:t>low-level acquisition proxy</w:t>
      </w:r>
      <w:r>
        <w:rPr>
          <w:rFonts w:ascii="Times New Roman" w:hAnsi="Times New Roman"/>
          <w:sz w:val="20"/>
        </w:rPr>
        <w:t>, cheap yet needing the image decoded, so it sits in Table 2's last row rather than among the header rows.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2. </w:t>
      </w:r>
      <w:r>
        <w:rPr>
          <w:rFonts w:ascii="Arial" w:hAnsi="Arial"/>
          <w:color w:val="000000"/>
          <w:sz w:val="14"/>
        </w:rPr>
        <w:t>The provenance audit on the case-study pool. LR = logistic regression, fitted on each split's own training partition. Every row but the last reads only what a file listing and a header parse provide, with no pixel decoding; the last is a pixel-derived acquisition proxy and is separated for that reason. Resolution and file size enter as log₁₀. The deterministic rule is not fitted. Intervals are 95% Wilson.</w:t>
      </w:r>
    </w:p>
    <w:tbl>
      <w:tblPr>
        <w:tblStyle w:val="TableGrid"/>
        <w:tblW w:type="auto" w:w="0"/>
        <w:jc w:val="center"/>
        <w:tblLayout w:type="autofit"/>
        <w:tblLook w:firstColumn="1" w:firstRow="1" w:lastColumn="0" w:lastRow="0" w:noHBand="0" w:noVBand="1" w:val="04A0"/>
      </w:tblPr>
      <w:tblGrid>
        <w:gridCol w:w="2516"/>
        <w:gridCol w:w="2516"/>
        <w:gridCol w:w="2516"/>
        <w:gridCol w:w="2516"/>
      </w:tblGrid>
      <w:tr>
        <w:tc>
          <w:tcPr>
            <w:tcW w:type="dxa" w:w="2516"/>
            <w:shd w:val="clear" w:color="auto" w:fill="DCE6EF"/>
          </w:tcPr>
          <w:p>
            <w:pPr>
              <w:spacing w:after="20" w:before="20"/>
              <w:jc w:val="left"/>
            </w:pPr>
            <w:r>
              <w:rPr>
                <w:b/>
              </w:rPr>
            </w:r>
            <w:r>
              <w:rPr>
                <w:rFonts w:ascii="Arial" w:hAnsi="Arial"/>
                <w:b/>
                <w:sz w:val="14"/>
              </w:rPr>
              <w:t>Classifier</w:t>
            </w:r>
          </w:p>
        </w:tc>
        <w:tc>
          <w:tcPr>
            <w:tcW w:type="dxa" w:w="2516"/>
            <w:shd w:val="clear" w:color="auto" w:fill="DCE6EF"/>
          </w:tcPr>
          <w:p>
            <w:pPr>
              <w:spacing w:after="20" w:before="20"/>
              <w:jc w:val="center"/>
            </w:pPr>
            <w:r>
              <w:rPr>
                <w:b/>
              </w:rPr>
            </w:r>
            <w:r>
              <w:rPr>
                <w:rFonts w:ascii="Arial" w:hAnsi="Arial"/>
                <w:b/>
                <w:sz w:val="14"/>
              </w:rPr>
              <w:t>Features</w:t>
            </w:r>
          </w:p>
        </w:tc>
        <w:tc>
          <w:tcPr>
            <w:tcW w:type="dxa" w:w="2516"/>
            <w:shd w:val="clear" w:color="auto" w:fill="DCE6EF"/>
          </w:tcPr>
          <w:p>
            <w:pPr>
              <w:spacing w:after="20" w:before="20"/>
              <w:jc w:val="center"/>
            </w:pPr>
            <w:r>
              <w:rPr>
                <w:b/>
              </w:rPr>
            </w:r>
            <w:r>
              <w:rPr>
                <w:rFonts w:ascii="Arial" w:hAnsi="Arial"/>
                <w:b/>
                <w:sz w:val="14"/>
              </w:rPr>
              <w:t>Split A test (n = 76)</w:t>
            </w:r>
          </w:p>
        </w:tc>
        <w:tc>
          <w:tcPr>
            <w:tcW w:type="dxa" w:w="2516"/>
            <w:shd w:val="clear" w:color="auto" w:fill="DCE6EF"/>
          </w:tcPr>
          <w:p>
            <w:pPr>
              <w:spacing w:after="20" w:before="20"/>
              <w:jc w:val="center"/>
            </w:pPr>
            <w:r>
              <w:rPr>
                <w:b/>
              </w:rPr>
            </w:r>
            <w:r>
              <w:rPr>
                <w:rFonts w:ascii="Arial" w:hAnsi="Arial"/>
                <w:b/>
                <w:sz w:val="14"/>
              </w:rPr>
              <w:t>Split B test (n = 74)</w:t>
            </w:r>
          </w:p>
        </w:tc>
      </w:tr>
      <w:tr>
        <w:tc>
          <w:tcPr>
            <w:tcW w:type="dxa" w:w="2516"/>
          </w:tcPr>
          <w:p>
            <w:pPr>
              <w:spacing w:after="20" w:before="20"/>
              <w:jc w:val="left"/>
            </w:pPr>
            <w:r/>
            <w:r>
              <w:rPr>
                <w:rFonts w:ascii="Arial" w:hAnsi="Arial"/>
                <w:sz w:val="14"/>
              </w:rPr>
              <w:t xml:space="preserve">Deterministic rule: </w:t>
            </w:r>
            <w:r>
              <w:rPr>
                <w:rFonts w:ascii="Consolas" w:hAnsi="Consolas"/>
                <w:sz w:val="12"/>
              </w:rPr>
              <w:t>.png</w:t>
            </w:r>
            <w:r>
              <w:rPr>
                <w:rFonts w:ascii="Arial" w:hAnsi="Arial"/>
                <w:sz w:val="14"/>
              </w:rPr>
              <w:t xml:space="preserve"> → counterfeit</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sz w:val="14"/>
              </w:rPr>
              <w:t xml:space="preserve">510/510 = </w:t>
            </w:r>
            <w:r>
              <w:rPr>
                <w:rFonts w:ascii="Arial" w:hAnsi="Arial"/>
                <w:b/>
                <w:sz w:val="14"/>
              </w:rPr>
              <w:t>1.000</w:t>
            </w:r>
            <w:r>
              <w:rPr>
                <w:rFonts w:ascii="Arial" w:hAnsi="Arial"/>
                <w:sz w:val="14"/>
              </w:rPr>
              <w:t xml:space="preserve"> [0.993, 1.000] over the whole pool</w:t>
            </w:r>
          </w:p>
        </w:tc>
        <w:tc>
          <w:tcPr>
            <w:tcW w:type="dxa" w:w="2516"/>
          </w:tcPr>
          <w:p>
            <w:pPr>
              <w:spacing w:after="20" w:before="20"/>
              <w:jc w:val="center"/>
            </w:pPr>
            <w:r/>
            <w:r>
              <w:rPr>
                <w:rFonts w:ascii="Arial" w:hAnsi="Arial"/>
                <w:sz w:val="14"/>
              </w:rPr>
              <w:t>—</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encoded file size</w:t>
            </w:r>
          </w:p>
        </w:tc>
        <w:tc>
          <w:tcPr>
            <w:tcW w:type="dxa" w:w="2516"/>
          </w:tcPr>
          <w:p>
            <w:pPr>
              <w:spacing w:after="20" w:before="20"/>
              <w:jc w:val="center"/>
            </w:pPr>
            <w:r/>
            <w:r>
              <w:rPr>
                <w:rFonts w:ascii="Arial" w:hAnsi="Arial"/>
                <w:sz w:val="14"/>
              </w:rPr>
              <w:t>0.974 [0.909, 0.993]</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short-side resolution</w:t>
            </w:r>
          </w:p>
        </w:tc>
        <w:tc>
          <w:tcPr>
            <w:tcW w:type="dxa" w:w="2516"/>
          </w:tcPr>
          <w:p>
            <w:pPr>
              <w:spacing w:after="20" w:before="20"/>
              <w:jc w:val="center"/>
            </w:pPr>
            <w:r/>
            <w:r>
              <w:rPr>
                <w:rFonts w:ascii="Arial" w:hAnsi="Arial"/>
                <w:sz w:val="14"/>
              </w:rPr>
              <w:t>0.947 [0.872, 0.979]</w:t>
            </w:r>
          </w:p>
        </w:tc>
        <w:tc>
          <w:tcPr>
            <w:tcW w:type="dxa" w:w="2516"/>
          </w:tcPr>
          <w:p>
            <w:pPr>
              <w:spacing w:after="20" w:before="20"/>
              <w:jc w:val="center"/>
            </w:pPr>
            <w:r/>
            <w:r>
              <w:rPr>
                <w:rFonts w:ascii="Arial" w:hAnsi="Arial"/>
                <w:sz w:val="14"/>
              </w:rPr>
              <w:t>0.946 [0.869, 0.979]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aspect ratio</w:t>
            </w:r>
          </w:p>
        </w:tc>
        <w:tc>
          <w:tcPr>
            <w:tcW w:type="dxa" w:w="2516"/>
          </w:tcPr>
          <w:p>
            <w:pPr>
              <w:spacing w:after="20" w:before="20"/>
              <w:jc w:val="center"/>
            </w:pPr>
            <w:r/>
            <w:r>
              <w:rPr>
                <w:rFonts w:ascii="Arial" w:hAnsi="Arial"/>
                <w:sz w:val="14"/>
              </w:rPr>
              <w:t>0.645 [0.533, 0.743]</w:t>
            </w:r>
          </w:p>
        </w:tc>
        <w:tc>
          <w:tcPr>
            <w:tcW w:type="dxa" w:w="2516"/>
          </w:tcPr>
          <w:p>
            <w:pPr>
              <w:spacing w:after="20" w:before="20"/>
              <w:jc w:val="center"/>
            </w:pPr>
            <w:r/>
            <w:r>
              <w:rPr>
                <w:rFonts w:ascii="Arial" w:hAnsi="Arial"/>
                <w:sz w:val="14"/>
              </w:rPr>
              <w:t>0.595 [0.481, 0.699]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size + resolution + aspect ratio</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Pixel-derived proxy LR</w:t>
            </w:r>
          </w:p>
        </w:tc>
        <w:tc>
          <w:tcPr>
            <w:tcW w:type="dxa" w:w="2516"/>
          </w:tcPr>
          <w:p>
            <w:pPr>
              <w:spacing w:after="20" w:before="20"/>
              <w:jc w:val="center"/>
            </w:pPr>
            <w:r/>
            <w:r>
              <w:rPr>
                <w:rFonts w:ascii="Arial" w:hAnsi="Arial"/>
                <w:sz w:val="14"/>
              </w:rPr>
              <w:t>mean brightness</w:t>
            </w:r>
          </w:p>
        </w:tc>
        <w:tc>
          <w:tcPr>
            <w:tcW w:type="dxa" w:w="2516"/>
          </w:tcPr>
          <w:p>
            <w:pPr>
              <w:spacing w:after="20" w:before="20"/>
              <w:jc w:val="center"/>
            </w:pPr>
            <w:r/>
            <w:r>
              <w:rPr>
                <w:rFonts w:ascii="Arial" w:hAnsi="Arial"/>
                <w:sz w:val="14"/>
              </w:rPr>
              <w:t>0.829 [0.729, 0.897]</w:t>
            </w:r>
          </w:p>
        </w:tc>
        <w:tc>
          <w:tcPr>
            <w:tcW w:type="dxa" w:w="2516"/>
          </w:tcPr>
          <w:p>
            <w:pPr>
              <w:spacing w:after="20" w:before="20"/>
              <w:jc w:val="center"/>
            </w:pPr>
            <w:r/>
            <w:r>
              <w:rPr>
                <w:rFonts w:ascii="Arial" w:hAnsi="Arial"/>
                <w:sz w:val="14"/>
              </w:rPr>
              <w:t>0.716 [0.605, 0.806]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What follows is stronger than anything the pixel-based models here establish. First, </w:t>
      </w:r>
      <w:r>
        <w:rPr>
          <w:rFonts w:ascii="Times New Roman" w:hAnsi="Times New Roman"/>
          <w:b/>
          <w:sz w:val="20"/>
        </w:rPr>
        <w:t>a single scalar that is not an image classifies this dataset perfectly</w:t>
      </w:r>
      <w:r>
        <w:rPr>
          <w:rFonts w:ascii="Times New Roman" w:hAnsi="Times New Roman"/>
          <w:sz w:val="20"/>
        </w:rPr>
        <w:t xml:space="preserve">: encoded file size alone reaches 74/74 on the leakage-free partition, above every trained model here including M4 (Table S3), using no pixel at all. Second, </w:t>
      </w:r>
      <w:r>
        <w:rPr>
          <w:rFonts w:ascii="Times New Roman" w:hAnsi="Times New Roman"/>
          <w:b/>
          <w:sz w:val="20"/>
        </w:rPr>
        <w:t>acquisition variables alone reproduce the labels with accuracy 1.000</w:t>
      </w:r>
      <w:r>
        <w:rPr>
          <w:rFonts w:ascii="Times New Roman" w:hAnsi="Times New Roman"/>
          <w:sz w:val="20"/>
        </w:rPr>
        <w:t>, three header fields doing it without even the file extension.</w:t>
      </w:r>
    </w:p>
    <w:p>
      <w:pPr>
        <w:spacing w:after="0" w:before="0" w:line="240" w:lineRule="exact"/>
        <w:ind w:firstLine="202"/>
        <w:jc w:val="both"/>
      </w:pPr>
      <w:r>
        <w:rPr>
          <w:rFonts w:ascii="Times New Roman" w:hAnsi="Times New Roman"/>
          <w:sz w:val="20"/>
        </w:rPr>
        <w:t xml:space="preserve">Because provenance predicts the label perfectly here, in-distribution accuracy on this pool cannot distinguish a classifier that learned packaging semantics from one that learned provenance-associated cues, and is uninformative about the stated task — ours as much as anyone's. Third, </w:t>
      </w:r>
      <w:r>
        <w:rPr>
          <w:rFonts w:ascii="Times New Roman" w:hAnsi="Times New Roman"/>
          <w:b/>
          <w:sz w:val="20"/>
        </w:rPr>
        <w:t>the pixel-derived proxy is the weakest candidate here, not the strongest.</w:t>
      </w:r>
      <w:r>
        <w:rPr>
          <w:rFonts w:ascii="Times New Roman" w:hAnsi="Times New Roman"/>
          <w:sz w:val="20"/>
        </w:rPr>
        <w:t xml:space="preserve"> Brightness alone reaches 0.716 on Split B, below resolution (0.946) and file size (1.000), despite having the largest </w:t>
      </w:r>
      <w:r>
        <w:rPr>
          <w:rFonts w:ascii="Times New Roman" w:hAnsi="Times New Roman"/>
          <w:i/>
          <w:sz w:val="20"/>
        </w:rPr>
        <w:t>t</w:t>
      </w:r>
      <w:r>
        <w:rPr>
          <w:rFonts w:ascii="Times New Roman" w:hAnsi="Times New Roman"/>
          <w:sz w:val="20"/>
        </w:rPr>
        <w:t xml:space="preserve">-statistic: the brightness distributions differ in mean but overlap substantially, whereas the file-size distributions barely overlap. Rank candidate confounds by fitting a classifier to each, not by </w:t>
      </w:r>
      <w:r>
        <w:rPr>
          <w:rFonts w:ascii="Times New Roman" w:hAnsi="Times New Roman"/>
          <w:i/>
          <w:sz w:val="20"/>
        </w:rPr>
        <w:t>t</w:t>
      </w:r>
      <w:r>
        <w:rPr>
          <w:rFonts w:ascii="Times New Roman" w:hAnsi="Times New Roman"/>
          <w:sz w:val="20"/>
        </w:rPr>
        <w:t>-statistic.</w:t>
      </w:r>
    </w:p>
    <w:p>
      <w:pPr>
        <w:spacing w:after="0" w:before="0" w:line="240" w:lineRule="exact"/>
        <w:ind w:firstLine="202"/>
        <w:jc w:val="both"/>
      </w:pPr>
      <w:r>
        <w:rPr>
          <w:rFonts w:ascii="Times New Roman" w:hAnsi="Times New Roman"/>
          <w:b/>
          <w:sz w:val="20"/>
        </w:rPr>
        <w:t>A feasibility check outside the case study.</w:t>
      </w:r>
      <w:r>
        <w:rPr>
          <w:rFonts w:ascii="Times New Roman" w:hAnsi="Times New Roman"/>
          <w:sz w:val="20"/>
        </w:rPr>
        <w:t xml:space="preserve"> A screen that fires on every dataset carries no information, so the same procedure was run on six further public archives across four application areas (Table 3; Section S-I-W gives the full record, archive by archive). Four of the seven were scorable, the case study among them, the other three reaching only one class before the listing endpoint's file limit; the Roboflow archive of Section III-A, audited separately in Table S20, is the fifth row.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3. </w:t>
      </w:r>
      <w:r>
        <w:rPr>
          <w:rFonts w:ascii="Arial" w:hAnsi="Arial"/>
          <w:color w:val="000000"/>
          <w:sz w:val="14"/>
        </w:rPr>
        <w:t>The provenance audit outside the case study, summarized from Tables S18 and S20. Balanced accuracy of a logistic regression on the named metadata alone under cross-validation; chance is 0.500. Format is the one-hot container format, the axis nearest to isolating acquisition, because storage format is never a property of the photographed object. A pilot audit of archives chosen for accessibility, not a prevalence estimate over a defined sampling frame.</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Dataset</w:t>
            </w:r>
          </w:p>
        </w:tc>
        <w:tc>
          <w:tcPr>
            <w:tcW w:type="dxa" w:w="1677"/>
            <w:shd w:val="clear" w:color="auto" w:fill="DCE6EF"/>
          </w:tcPr>
          <w:p>
            <w:pPr>
              <w:spacing w:after="20" w:before="20"/>
              <w:jc w:val="center"/>
            </w:pPr>
            <w:r>
              <w:rPr>
                <w:b/>
              </w:rPr>
            </w:r>
            <w:r>
              <w:rPr>
                <w:rFonts w:ascii="Arial" w:hAnsi="Arial"/>
                <w:b/>
                <w:sz w:val="14"/>
              </w:rPr>
              <w:t>Area</w:t>
            </w:r>
          </w:p>
        </w:tc>
        <w:tc>
          <w:tcPr>
            <w:tcW w:type="dxa" w:w="1677"/>
            <w:shd w:val="clear" w:color="auto" w:fill="DCE6EF"/>
          </w:tcPr>
          <w:p>
            <w:pPr>
              <w:spacing w:after="20" w:before="20"/>
              <w:jc w:val="center"/>
            </w:pPr>
            <w:r>
              <w:rPr>
                <w:b/>
              </w:rPr>
            </w:r>
            <w:r>
              <w:rPr>
                <w:rFonts w:ascii="Arial" w:hAnsi="Arial"/>
                <w:b/>
                <w:sz w:val="14"/>
              </w:rPr>
              <w:t>Provenance issue</w:t>
            </w:r>
          </w:p>
        </w:tc>
        <w:tc>
          <w:tcPr>
            <w:tcW w:type="dxa" w:w="1677"/>
            <w:shd w:val="clear" w:color="auto" w:fill="DCE6EF"/>
          </w:tcPr>
          <w:p>
            <w:pPr>
              <w:spacing w:after="20" w:before="20"/>
              <w:jc w:val="center"/>
            </w:pPr>
            <w:r>
              <w:rPr>
                <w:b/>
              </w:rPr>
            </w:r>
            <w:r>
              <w:rPr>
                <w:rFonts w:ascii="Arial" w:hAnsi="Arial"/>
                <w:b/>
                <w:sz w:val="14"/>
              </w:rPr>
              <w:t>Format</w:t>
            </w:r>
          </w:p>
        </w:tc>
        <w:tc>
          <w:tcPr>
            <w:tcW w:type="dxa" w:w="1677"/>
            <w:shd w:val="clear" w:color="auto" w:fill="DCE6EF"/>
          </w:tcPr>
          <w:p>
            <w:pPr>
              <w:spacing w:after="20" w:before="20"/>
              <w:jc w:val="center"/>
            </w:pPr>
            <w:r>
              <w:rPr>
                <w:b/>
              </w:rPr>
            </w:r>
            <w:r>
              <w:rPr>
                <w:rFonts w:ascii="Arial" w:hAnsi="Arial"/>
                <w:b/>
                <w:sz w:val="14"/>
              </w:rPr>
              <w:t>All features audited</w:t>
            </w:r>
          </w:p>
        </w:tc>
        <w:tc>
          <w:tcPr>
            <w:tcW w:type="dxa" w:w="1677"/>
            <w:shd w:val="clear" w:color="auto" w:fill="DCE6EF"/>
          </w:tcPr>
          <w:p>
            <w:pPr>
              <w:spacing w:after="20" w:before="20"/>
              <w:jc w:val="center"/>
            </w:pPr>
            <w:r>
              <w:rPr>
                <w:b/>
              </w:rPr>
            </w:r>
            <w:r>
              <w:rPr>
                <w:rFonts w:ascii="Arial" w:hAnsi="Arial"/>
                <w:b/>
                <w:sz w:val="14"/>
              </w:rPr>
              <w:t>Outcome</w:t>
            </w:r>
          </w:p>
        </w:tc>
      </w:tr>
      <w:tr>
        <w:tc>
          <w:tcPr>
            <w:tcW w:type="dxa" w:w="1677"/>
          </w:tcPr>
          <w:p>
            <w:pPr>
              <w:spacing w:after="20" w:before="20"/>
              <w:jc w:val="left"/>
            </w:pPr>
            <w:r/>
            <w:r>
              <w:rPr>
                <w:rFonts w:ascii="Arial" w:hAnsi="Arial"/>
                <w:sz w:val="14"/>
              </w:rPr>
              <w:t xml:space="preserve">Kaggle </w:t>
            </w:r>
            <w:r>
              <w:rPr>
                <w:rFonts w:ascii="Arial" w:hAnsi="Arial"/>
                <w:i/>
                <w:sz w:val="14"/>
              </w:rPr>
              <w:t>Fake vs Real Medicine</w:t>
            </w:r>
            <w:r>
              <w:rPr>
                <w:rFonts w:ascii="Arial" w:hAnsi="Arial"/>
                <w:sz w:val="14"/>
              </w:rPr>
              <w:t xml:space="preserve"> [19]</w:t>
            </w:r>
          </w:p>
        </w:tc>
        <w:tc>
          <w:tcPr>
            <w:tcW w:type="dxa" w:w="1677"/>
          </w:tcPr>
          <w:p>
            <w:pPr>
              <w:spacing w:after="20" w:before="20"/>
              <w:jc w:val="center"/>
            </w:pPr>
            <w:r/>
            <w:r>
              <w:rPr>
                <w:rFonts w:ascii="Arial" w:hAnsi="Arial"/>
                <w:sz w:val="14"/>
              </w:rPr>
              <w:t>Medicines (positive control)</w:t>
            </w:r>
          </w:p>
        </w:tc>
        <w:tc>
          <w:tcPr>
            <w:tcW w:type="dxa" w:w="1677"/>
          </w:tcPr>
          <w:p>
            <w:pPr>
              <w:spacing w:after="20" w:before="20"/>
              <w:jc w:val="center"/>
            </w:pPr>
            <w:r/>
            <w:r>
              <w:rPr>
                <w:rFonts w:ascii="Arial" w:hAnsi="Arial"/>
                <w:sz w:val="14"/>
              </w:rPr>
              <w:t>Type A: acquisition determines the label</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rhythmghai/ai-vs-real-images-dataset</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Type A, independently arising</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cashbowman/ai-generated-images-vs-real...</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None these features find</w:t>
            </w:r>
          </w:p>
        </w:tc>
        <w:tc>
          <w:tcPr>
            <w:tcW w:type="dxa" w:w="1677"/>
          </w:tcPr>
          <w:p>
            <w:pPr>
              <w:spacing w:after="20" w:before="20"/>
              <w:jc w:val="center"/>
            </w:pPr>
            <w:r/>
            <w:r>
              <w:rPr>
                <w:rFonts w:ascii="Arial" w:hAnsi="Arial"/>
                <w:sz w:val="14"/>
              </w:rPr>
              <w:t>0.577</w:t>
            </w:r>
          </w:p>
        </w:tc>
        <w:tc>
          <w:tcPr>
            <w:tcW w:type="dxa" w:w="1677"/>
          </w:tcPr>
          <w:p>
            <w:pPr>
              <w:spacing w:after="20" w:before="20"/>
              <w:jc w:val="center"/>
            </w:pPr>
            <w:r/>
            <w:r>
              <w:rPr>
                <w:rFonts w:ascii="Arial" w:hAnsi="Arial"/>
                <w:sz w:val="14"/>
              </w:rPr>
              <w:t>0.562</w:t>
            </w:r>
          </w:p>
        </w:tc>
        <w:tc>
          <w:tcPr>
            <w:tcW w:type="dxa" w:w="1677"/>
          </w:tcPr>
          <w:p>
            <w:pPr>
              <w:spacing w:after="20" w:before="20"/>
              <w:jc w:val="center"/>
            </w:pPr>
            <w:r/>
            <w:r>
              <w:rPr>
                <w:rFonts w:ascii="Arial" w:hAnsi="Arial"/>
                <w:sz w:val="14"/>
              </w:rPr>
              <w:t>Near chance</w:t>
            </w:r>
          </w:p>
        </w:tc>
      </w:tr>
      <w:tr>
        <w:tc>
          <w:tcPr>
            <w:tcW w:type="dxa" w:w="1677"/>
          </w:tcPr>
          <w:p>
            <w:pPr>
              <w:spacing w:after="20" w:before="20"/>
              <w:jc w:val="left"/>
            </w:pPr>
            <w:r/>
            <w:r>
              <w:rPr>
                <w:rFonts w:ascii="Arial" w:hAnsi="Arial"/>
                <w:sz w:val="14"/>
              </w:rPr>
              <w:t xml:space="preserve">Roboflow </w:t>
            </w:r>
            <w:r>
              <w:rPr>
                <w:rFonts w:ascii="Arial" w:hAnsi="Arial"/>
                <w:i/>
                <w:sz w:val="14"/>
              </w:rPr>
              <w:t>Counterfeit_med_detection</w:t>
            </w:r>
            <w:r>
              <w:rPr>
                <w:rFonts w:ascii="Arial" w:hAnsi="Arial"/>
                <w:sz w:val="14"/>
              </w:rPr>
              <w:t xml:space="preserve"> [21]</w:t>
            </w:r>
          </w:p>
        </w:tc>
        <w:tc>
          <w:tcPr>
            <w:tcW w:type="dxa" w:w="1677"/>
          </w:tcPr>
          <w:p>
            <w:pPr>
              <w:spacing w:after="20" w:before="20"/>
              <w:jc w:val="center"/>
            </w:pPr>
            <w:r/>
            <w:r>
              <w:rPr>
                <w:rFonts w:ascii="Arial" w:hAnsi="Arial"/>
                <w:sz w:val="14"/>
              </w:rPr>
              <w:t>Medicines</w:t>
            </w:r>
          </w:p>
        </w:tc>
        <w:tc>
          <w:tcPr>
            <w:tcW w:type="dxa" w:w="1677"/>
          </w:tcPr>
          <w:p>
            <w:pPr>
              <w:spacing w:after="20" w:before="20"/>
              <w:jc w:val="center"/>
            </w:pPr>
            <w:r/>
            <w:r>
              <w:rPr>
                <w:rFonts w:ascii="Arial" w:hAnsi="Arial"/>
                <w:sz w:val="14"/>
              </w:rPr>
              <w:t>Type B: a modality confound, acquisition traces erased by the publisher</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0.717</w:t>
            </w:r>
          </w:p>
        </w:tc>
        <w:tc>
          <w:tcPr>
            <w:tcW w:type="dxa" w:w="1677"/>
          </w:tcPr>
          <w:p>
            <w:pPr>
              <w:spacing w:after="20" w:before="20"/>
              <w:jc w:val="center"/>
            </w:pPr>
            <w:r/>
            <w:r>
              <w:rPr>
                <w:rFonts w:ascii="Arial" w:hAnsi="Arial"/>
                <w:sz w:val="14"/>
              </w:rPr>
              <w:t>Partially detects</w:t>
            </w:r>
          </w:p>
        </w:tc>
      </w:tr>
      <w:tr>
        <w:tc>
          <w:tcPr>
            <w:tcW w:type="dxa" w:w="1677"/>
          </w:tcPr>
          <w:p>
            <w:pPr>
              <w:spacing w:after="20" w:before="20"/>
              <w:jc w:val="left"/>
            </w:pPr>
            <w:r/>
            <w:r>
              <w:rPr>
                <w:rFonts w:ascii="Consolas" w:hAnsi="Consolas"/>
                <w:sz w:val="12"/>
              </w:rPr>
              <w:t>ishanikathuria/handwritten-signature...</w:t>
            </w:r>
          </w:p>
        </w:tc>
        <w:tc>
          <w:tcPr>
            <w:tcW w:type="dxa" w:w="1677"/>
          </w:tcPr>
          <w:p>
            <w:pPr>
              <w:spacing w:after="20" w:before="20"/>
              <w:jc w:val="center"/>
            </w:pPr>
            <w:r/>
            <w:r>
              <w:rPr>
                <w:rFonts w:ascii="Arial" w:hAnsi="Arial"/>
                <w:sz w:val="14"/>
              </w:rPr>
              <w:t>Signatures (negative control)</w:t>
            </w:r>
          </w:p>
        </w:tc>
        <w:tc>
          <w:tcPr>
            <w:tcW w:type="dxa" w:w="1677"/>
          </w:tcPr>
          <w:p>
            <w:pPr>
              <w:spacing w:after="20" w:before="20"/>
              <w:jc w:val="center"/>
            </w:pPr>
            <w:r/>
            <w:r>
              <w:rPr>
                <w:rFonts w:ascii="Arial" w:hAnsi="Arial"/>
                <w:sz w:val="14"/>
              </w:rPr>
              <w:t>None; one acquisition procedure for both classes</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0.845</w:t>
            </w:r>
          </w:p>
        </w:tc>
        <w:tc>
          <w:tcPr>
            <w:tcW w:type="dxa" w:w="1677"/>
          </w:tcPr>
          <w:p>
            <w:pPr>
              <w:spacing w:after="20" w:before="20"/>
              <w:jc w:val="center"/>
            </w:pPr>
            <w:r/>
            <w:r>
              <w:rPr>
                <w:rFonts w:ascii="Arial" w:hAnsi="Arial"/>
                <w:sz w:val="14"/>
              </w:rPr>
              <w:t>False positive on size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Table 3 is an opportunistic feasibility screen, not a survey.</w:t>
      </w:r>
      <w:r>
        <w:rPr>
          <w:rFonts w:ascii="Times New Roman" w:hAnsi="Times New Roman"/>
          <w:sz w:val="20"/>
        </w:rPr>
        <w:t xml:space="preserve"> The archives were selected for public accessibility rather than by any sampling frame. It is reported to establish that the procedure runs cheaply against unfamiliar collections and to characterize its sensitivity and its failure modes. </w:t>
      </w:r>
      <w:r>
        <w:rPr>
          <w:rFonts w:ascii="Times New Roman" w:hAnsi="Times New Roman"/>
          <w:b/>
          <w:sz w:val="20"/>
        </w:rPr>
        <w:t>No estimate of how often provenance confounding occurs in image datasets can be drawn from it, and none is claimed.</w:t>
      </w:r>
    </w:p>
    <w:p>
      <w:pPr>
        <w:spacing w:after="0" w:before="0" w:line="240" w:lineRule="exact"/>
        <w:ind w:firstLine="202"/>
        <w:jc w:val="both"/>
      </w:pPr>
      <w:r>
        <w:rPr>
          <w:rFonts w:ascii="Times New Roman" w:hAnsi="Times New Roman"/>
          <w:b/>
          <w:sz w:val="20"/>
        </w:rPr>
        <w:t>Within those limits, the screen discriminates.</w:t>
      </w:r>
      <w:r>
        <w:rPr>
          <w:rFonts w:ascii="Times New Roman" w:hAnsi="Times New Roman"/>
          <w:sz w:val="20"/>
        </w:rPr>
        <w:t xml:space="preserve"> Two archives return 1.000 on format and two at or near chance. The generated-image pair is the sharper case: two datasets built for the same task by different people return 1.000 and 0.577, which cautions against reading the mechanism as a law.</w:t>
      </w:r>
    </w:p>
    <w:p>
      <w:pPr>
        <w:spacing w:after="0" w:before="0" w:line="240" w:lineRule="exact"/>
        <w:ind w:firstLine="202"/>
        <w:jc w:val="both"/>
      </w:pPr>
      <w:r>
        <w:rPr>
          <w:rFonts w:ascii="Times New Roman" w:hAnsi="Times New Roman"/>
          <w:b/>
          <w:sz w:val="20"/>
        </w:rPr>
        <w:t>The audit has a false-negative mode, and publisher-side tidying causes it.</w:t>
      </w:r>
      <w:r>
        <w:rPr>
          <w:rFonts w:ascii="Times New Roman" w:hAnsi="Times New Roman"/>
          <w:sz w:val="20"/>
        </w:rPr>
        <w:t xml:space="preserve"> The Roboflow archive is confounded at least as severely as the case study, yet format returns 0.500 and the full set 0.717, because the publisher resized to 640 × 640 and re-encoded before release. Its </w:t>
      </w:r>
      <w:r>
        <w:rPr>
          <w:rFonts w:ascii="Times New Roman" w:hAnsi="Times New Roman"/>
          <w:b/>
          <w:sz w:val="20"/>
        </w:rPr>
        <w:t>false-positive mode is on the mixed axes</w:t>
      </w:r>
      <w:r>
        <w:rPr>
          <w:rFonts w:ascii="Times New Roman" w:hAnsi="Times New Roman"/>
          <w:sz w:val="20"/>
        </w:rPr>
        <w:t xml:space="preserve">: genuine and forged signatures in BHSig260 are written on one paper and digitized by one procedure, so format returns exactly 0.500 while encoded size returns 0.843, most likely because forged signatures differ in stroke complexity and so in ink coverage. That separation along </w:t>
      </w:r>
      <w:r>
        <w:rPr>
          <w:rFonts w:ascii="Times New Roman" w:hAnsi="Times New Roman"/>
          <w:i/>
          <w:sz w:val="20"/>
        </w:rPr>
        <w:t>A_(pure)</w:t>
      </w:r>
      <w:r>
        <w:rPr>
          <w:rFonts w:ascii="Times New Roman" w:hAnsi="Times New Roman"/>
          <w:sz w:val="20"/>
        </w:rPr>
        <w:t xml:space="preserve"> versus </w:t>
      </w:r>
      <w:r>
        <w:rPr>
          <w:rFonts w:ascii="Times New Roman" w:hAnsi="Times New Roman"/>
          <w:i/>
          <w:sz w:val="20"/>
        </w:rPr>
        <w:t>A_(mix)</w:t>
      </w:r>
      <w:r>
        <w:rPr>
          <w:rFonts w:ascii="Times New Roman" w:hAnsi="Times New Roman"/>
          <w:sz w:val="20"/>
        </w:rPr>
        <w:t xml:space="preserve"> is the distinction of Section I-A, measured. </w:t>
      </w:r>
      <w:r>
        <w:rPr>
          <w:rFonts w:ascii="Times New Roman" w:hAnsi="Times New Roman"/>
          <w:b/>
          <w:sz w:val="20"/>
        </w:rPr>
        <w:t>A provenance audit is a diagnostic, not a clearance</w:t>
      </w:r>
      <w:r>
        <w:rPr>
          <w:rFonts w:ascii="Times New Roman" w:hAnsi="Times New Roman"/>
          <w:sz w:val="20"/>
        </w:rPr>
        <w:t>: a high score on format is close to decisive, and a low one is where an investigation starts rather than where it ends.</w:t>
      </w:r>
    </w:p>
    <w:p>
      <w:pPr>
        <w:keepNext/>
        <w:spacing w:before="160" w:after="60" w:line="240" w:lineRule="exact"/>
        <w:jc w:val="left"/>
      </w:pPr>
      <w:r>
        <w:rPr>
          <w:rFonts w:ascii="Arial" w:hAnsi="Arial"/>
          <w:b/>
          <w:i/>
          <w:color w:val="000000"/>
          <w:sz w:val="18"/>
        </w:rPr>
        <w:t>B. THE LEAKAGE EXPERIMENT</w:t>
      </w:r>
    </w:p>
    <w:p>
      <w:pPr>
        <w:spacing w:after="0" w:before="0" w:line="240" w:lineRule="exact"/>
        <w:ind w:firstLine="202"/>
        <w:jc w:val="both"/>
      </w:pPr>
      <w:r>
        <w:rPr>
          <w:rFonts w:ascii="Times New Roman" w:hAnsi="Times New Roman"/>
          <w:sz w:val="20"/>
        </w:rPr>
        <w:t xml:space="preserve">In-distribution, the four models reach 0.842, 0.868, 0.934 and 0.987 on the naive split and 0.838, 0.865, 0.932 and 0.919 on the leakage-free one — deltas of +0.004, +0.004, +0.002 and +0.068, three of them within half a point of zero. Six pairwise McNemar tests compare </w:t>
      </w:r>
      <w:r>
        <w:rPr>
          <w:rFonts w:ascii="Times New Roman" w:hAnsi="Times New Roman"/>
          <w:i/>
          <w:sz w:val="20"/>
        </w:rPr>
        <w:t>models against each other</w:t>
      </w:r>
      <w:r>
        <w:rPr>
          <w:rFonts w:ascii="Times New Roman" w:hAnsi="Times New Roman"/>
          <w:sz w:val="20"/>
        </w:rPr>
        <w:t xml:space="preserve"> on one shared test partition; none is significant, and Holm–Bonferroni over the six raises the smallest adjusted </w:t>
      </w:r>
      <w:r>
        <w:rPr>
          <w:rFonts w:ascii="Times New Roman" w:hAnsi="Times New Roman"/>
          <w:i/>
          <w:sz w:val="20"/>
        </w:rPr>
        <w:t>p</w:t>
      </w:r>
      <w:r>
        <w:rPr>
          <w:rFonts w:ascii="Times New Roman" w:hAnsi="Times New Roman"/>
          <w:sz w:val="20"/>
        </w:rPr>
        <w:t xml:space="preserve"> from 0.118 to 0.711. They do not test the Split A − Split B difference, whose two partitions hold different images and for which no paired test exists. The full metric set, the tests and their power analysis are Tables S3–S5 and Section S-I-H.</w:t>
      </w:r>
    </w:p>
    <w:p>
      <w:pPr>
        <w:spacing w:after="0" w:before="0" w:line="240" w:lineRule="exact"/>
        <w:ind w:firstLine="202"/>
        <w:jc w:val="both"/>
      </w:pPr>
      <w:r>
        <w:rPr>
          <w:rFonts w:ascii="Times New Roman" w:hAnsi="Times New Roman"/>
          <w:sz w:val="20"/>
        </w:rPr>
        <w:t xml:space="preserve">Those deltas settle less than they appear to. Exactly 7 of the 76 Split A test images belong to a product group also in Split A's training partition, a </w:t>
      </w:r>
      <w:r>
        <w:rPr>
          <w:rFonts w:ascii="Times New Roman" w:hAnsi="Times New Roman"/>
          <w:b/>
          <w:sz w:val="20"/>
        </w:rPr>
        <w:t>direct exposure rate of 9.2%</w:t>
      </w:r>
      <w:r>
        <w:rPr>
          <w:rFonts w:ascii="Times New Roman" w:hAnsi="Times New Roman"/>
          <w:sz w:val="20"/>
        </w:rPr>
        <w:t>, so at most seven predictions can be got right by recognizing a training photograph — but that bounds one channel only, since admitting a near-duplicate also changes the fitted parameters, which decide the other 69. And Split A and Split B do not share a test set: 230 of 510 images are assigned differently, so their difference mixes leakage with the effect of testing on different images.</w:t>
      </w:r>
    </w:p>
    <w:p>
      <w:pPr>
        <w:spacing w:after="0" w:before="0" w:line="240" w:lineRule="exact"/>
        <w:ind w:firstLine="202"/>
        <w:jc w:val="both"/>
      </w:pPr>
      <w:r>
        <w:rPr>
          <w:rFonts w:ascii="Times New Roman" w:hAnsi="Times New Roman"/>
          <w:sz w:val="20"/>
        </w:rPr>
        <w:t xml:space="preserve">A paired design separates the two. One test set is held fixed and two training sets are built around it differing in exactly one respect — whether the near-duplicate mates of the test images are admitted — with size, class balance, validation set, architecture and learning rate identical, the 30 mates balanced by class-matched substitutes (Section S-I-V). Of the 74 test images, 28 are </w:t>
      </w:r>
      <w:r>
        <w:rPr>
          <w:rFonts w:ascii="Times New Roman" w:hAnsi="Times New Roman"/>
          <w:i/>
          <w:sz w:val="20"/>
        </w:rPr>
        <w:t>exposed</w:t>
      </w:r>
      <w:r>
        <w:rPr>
          <w:rFonts w:ascii="Times New Roman" w:hAnsi="Times New Roman"/>
          <w:sz w:val="20"/>
        </w:rPr>
        <w:t xml:space="preserve">, which is every exposed image the pool admits; on the other 46 any difference is the indirect channel. Across five seeds, admitting the mates moves M2 by </w:t>
      </w:r>
      <w:r>
        <w:rPr>
          <w:rFonts w:ascii="Times New Roman" w:hAnsi="Times New Roman"/>
          <w:b/>
          <w:sz w:val="20"/>
        </w:rPr>
        <w:t>+0.3 points [−1.9, +2.4]</w:t>
      </w:r>
      <w:r>
        <w:rPr>
          <w:rFonts w:ascii="Times New Roman" w:hAnsi="Times New Roman"/>
          <w:sz w:val="20"/>
        </w:rPr>
        <w:t xml:space="preserve"> (paired bootstrap; McNemar </w:t>
      </w:r>
      <w:r>
        <w:rPr>
          <w:rFonts w:ascii="Times New Roman" w:hAnsi="Times New Roman"/>
          <w:i/>
          <w:sz w:val="20"/>
        </w:rPr>
        <w:t>p</w:t>
      </w:r>
      <w:r>
        <w:rPr>
          <w:rFonts w:ascii="Times New Roman" w:hAnsi="Times New Roman"/>
          <w:sz w:val="20"/>
        </w:rPr>
        <w:t xml:space="preserve"> = 1.000), by +0.0 [−2.9, +2.9] on the exposed subset and +0.4 [−2.2, +3.5] on the unexposed. M3 and M4 are unchanged at every seed, though both sit at ceiling (1.000 and 0.987), which leaves an effect almost no room to appear — itself a consequence of the confound, an in-distribution partition of this pool being close to trivial.</w:t>
      </w:r>
    </w:p>
    <w:p>
      <w:pPr>
        <w:spacing w:after="0" w:before="0" w:line="240" w:lineRule="exact"/>
        <w:ind w:firstLine="202"/>
        <w:jc w:val="both"/>
      </w:pPr>
      <w:r>
        <w:rPr>
          <w:rFonts w:ascii="Times New Roman" w:hAnsi="Times New Roman"/>
          <w:b/>
          <w:sz w:val="20"/>
        </w:rPr>
        <w:t>Near-duplicate leakage is therefore the smaller effect on this dataset, and the two figures above answer different questions.</w:t>
      </w:r>
      <w:r>
        <w:rPr>
          <w:rFonts w:ascii="Times New Roman" w:hAnsi="Times New Roman"/>
          <w:sz w:val="20"/>
        </w:rPr>
        <w:t xml:space="preserve"> The 6.8-point maximum is </w:t>
      </w:r>
      <w:r>
        <w:rPr>
          <w:rFonts w:ascii="Times New Roman" w:hAnsi="Times New Roman"/>
          <w:i/>
          <w:sz w:val="20"/>
        </w:rPr>
        <w:t>descriptive</w:t>
      </w:r>
      <w:r>
        <w:rPr>
          <w:rFonts w:ascii="Times New Roman" w:hAnsi="Times New Roman"/>
          <w:sz w:val="20"/>
        </w:rPr>
        <w:t xml:space="preserve"> of the difference between two split designs; because Split A and Split B do not share a test set, it confounds leakage with the effect of evaluating on different images and is not a leakage estimate. The paired experiment is the controlled one, and it puts the leakage effect at 0.3 points [−1.9, +2.4]. Both are small beside the external gap reported next.</w:t>
      </w:r>
    </w:p>
    <w:p>
      <w:pPr>
        <w:keepNext/>
        <w:spacing w:before="160" w:after="60" w:line="240" w:lineRule="exact"/>
        <w:jc w:val="left"/>
      </w:pPr>
      <w:r>
        <w:rPr>
          <w:rFonts w:ascii="Arial" w:hAnsi="Arial"/>
          <w:b/>
          <w:i/>
          <w:color w:val="000000"/>
          <w:sz w:val="18"/>
        </w:rPr>
        <w:t>C. THE BALANCED EXTERNAL EVALUATION</w:t>
      </w:r>
    </w:p>
    <w:p>
      <w:pPr>
        <w:spacing w:after="0" w:before="0" w:line="240" w:lineRule="exact"/>
        <w:ind w:firstLine="202"/>
        <w:jc w:val="both"/>
      </w:pPr>
      <w:r>
        <w:rPr>
          <w:rFonts w:ascii="Times New Roman" w:hAnsi="Times New Roman"/>
          <w:sz w:val="20"/>
        </w:rPr>
        <w:t xml:space="preserve">This is the study's primary external result and the only one on which a two-class metric is defined. The set is 46 regulator-confirmed falsified products from FDA and WHO alerts against 46 independently sourced photographs of authentic-labeled products, ingested through one pipeline so that container format, encoder, encoding settings and stored resolution are standardized across the classes, audited at 0.620 against 1.000 for the case-study pool, and scored </w:t>
      </w:r>
      <w:r>
        <w:rPr>
          <w:rFonts w:ascii="Times New Roman" w:hAnsi="Times New Roman"/>
          <w:b/>
          <w:sz w:val="20"/>
        </w:rPr>
        <w:t>once</w:t>
      </w:r>
      <w:r>
        <w:rPr>
          <w:rFonts w:ascii="Times New Roman" w:hAnsi="Times New Roman"/>
          <w:sz w:val="20"/>
        </w:rPr>
        <w:t xml:space="preserve"> against the frozen Split B checkpoints at the project's standing 0.5 threshold (Section III-D).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4. </w:t>
      </w:r>
      <w:r>
        <w:rPr>
          <w:rFonts w:ascii="Arial" w:hAnsi="Arial"/>
          <w:color w:val="000000"/>
          <w:sz w:val="14"/>
        </w:rPr>
        <w:t>The balanced external test: 92 photographs, 46 authentic-labeled and 46 regulator-confirmed counterfeit, scored once from the persisted Split B checkpoints at a decision threshold of 0.5 fixed before the set was built. Counterfeit is the positive class, so recall is counterfeit sensitivity and specificity is the authentic true-negative rate. Because the set is balanced by construction, accuracy and balanced accuracy coincide and one column reports both; it is the column to read first, being the one quantity a shifted operating point cannot inflate. Intervals are 95% stratified bootstrap percentiles, resampling each class to its own fixed size. The confusion matrix is given as TN / FP / FN / TP.</w:t>
      </w:r>
    </w:p>
    <w:tbl>
      <w:tblPr>
        <w:tblStyle w:val="TableGrid"/>
        <w:tblW w:type="auto" w:w="0"/>
        <w:jc w:val="center"/>
        <w:tblLayout w:type="autofit"/>
        <w:tblLook w:firstColumn="1" w:firstRow="1" w:lastColumn="0" w:lastRow="0" w:noHBand="0" w:noVBand="1" w:val="04A0"/>
      </w:tblPr>
      <w:tblGrid>
        <w:gridCol w:w="1258"/>
        <w:gridCol w:w="1258"/>
        <w:gridCol w:w="1258"/>
        <w:gridCol w:w="1258"/>
        <w:gridCol w:w="1258"/>
        <w:gridCol w:w="1258"/>
        <w:gridCol w:w="1258"/>
        <w:gridCol w:w="1258"/>
      </w:tblGrid>
      <w:tr>
        <w:tc>
          <w:tcPr>
            <w:tcW w:type="dxa" w:w="1258"/>
            <w:shd w:val="clear" w:color="auto" w:fill="DCE6EF"/>
          </w:tcPr>
          <w:p>
            <w:pPr>
              <w:spacing w:after="20" w:before="20"/>
              <w:jc w:val="left"/>
            </w:pPr>
            <w:r>
              <w:rPr>
                <w:b/>
              </w:rPr>
            </w:r>
            <w:r>
              <w:rPr>
                <w:rFonts w:ascii="Arial" w:hAnsi="Arial"/>
                <w:b/>
                <w:sz w:val="14"/>
              </w:rPr>
              <w:t>Model</w:t>
            </w:r>
          </w:p>
        </w:tc>
        <w:tc>
          <w:tcPr>
            <w:tcW w:type="dxa" w:w="1258"/>
            <w:shd w:val="clear" w:color="auto" w:fill="DCE6EF"/>
          </w:tcPr>
          <w:p>
            <w:pPr>
              <w:spacing w:after="20" w:before="20"/>
              <w:jc w:val="center"/>
            </w:pPr>
            <w:r>
              <w:rPr>
                <w:b/>
              </w:rPr>
            </w:r>
            <w:r>
              <w:rPr>
                <w:rFonts w:ascii="Arial" w:hAnsi="Arial"/>
                <w:b/>
                <w:sz w:val="14"/>
              </w:rPr>
              <w:t>Confusion (TN/FP/FN/TP)</w:t>
            </w:r>
          </w:p>
        </w:tc>
        <w:tc>
          <w:tcPr>
            <w:tcW w:type="dxa" w:w="1258"/>
            <w:shd w:val="clear" w:color="auto" w:fill="DCE6EF"/>
          </w:tcPr>
          <w:p>
            <w:pPr>
              <w:spacing w:after="20" w:before="20"/>
              <w:jc w:val="center"/>
            </w:pPr>
            <w:r>
              <w:rPr>
                <w:b/>
              </w:rPr>
            </w:r>
            <w:r>
              <w:rPr>
                <w:rFonts w:ascii="Arial" w:hAnsi="Arial"/>
                <w:b/>
                <w:sz w:val="14"/>
              </w:rPr>
              <w:t>Balanced external accuracy</w:t>
            </w:r>
          </w:p>
        </w:tc>
        <w:tc>
          <w:tcPr>
            <w:tcW w:type="dxa" w:w="1258"/>
            <w:shd w:val="clear" w:color="auto" w:fill="DCE6EF"/>
          </w:tcPr>
          <w:p>
            <w:pPr>
              <w:spacing w:after="20" w:before="20"/>
              <w:jc w:val="center"/>
            </w:pPr>
            <w:r>
              <w:rPr>
                <w:b/>
              </w:rPr>
            </w:r>
            <w:r>
              <w:rPr>
                <w:rFonts w:ascii="Arial" w:hAnsi="Arial"/>
                <w:b/>
                <w:sz w:val="14"/>
              </w:rPr>
              <w:t>Counterfeit recall</w:t>
            </w:r>
          </w:p>
        </w:tc>
        <w:tc>
          <w:tcPr>
            <w:tcW w:type="dxa" w:w="1258"/>
            <w:shd w:val="clear" w:color="auto" w:fill="DCE6EF"/>
          </w:tcPr>
          <w:p>
            <w:pPr>
              <w:spacing w:after="20" w:before="20"/>
              <w:jc w:val="center"/>
            </w:pPr>
            <w:r>
              <w:rPr>
                <w:b/>
              </w:rPr>
            </w:r>
            <w:r>
              <w:rPr>
                <w:rFonts w:ascii="Arial" w:hAnsi="Arial"/>
                <w:b/>
                <w:sz w:val="14"/>
              </w:rPr>
              <w:t>Authentic specificity</w:t>
            </w:r>
          </w:p>
        </w:tc>
        <w:tc>
          <w:tcPr>
            <w:tcW w:type="dxa" w:w="1258"/>
            <w:shd w:val="clear" w:color="auto" w:fill="DCE6EF"/>
          </w:tcPr>
          <w:p>
            <w:pPr>
              <w:spacing w:after="20" w:before="20"/>
              <w:jc w:val="center"/>
            </w:pPr>
            <w:r>
              <w:rPr>
                <w:b/>
              </w:rPr>
            </w:r>
            <w:r>
              <w:rPr>
                <w:rFonts w:ascii="Arial" w:hAnsi="Arial"/>
                <w:b/>
                <w:sz w:val="14"/>
              </w:rPr>
              <w:t>Precision</w:t>
            </w:r>
          </w:p>
        </w:tc>
        <w:tc>
          <w:tcPr>
            <w:tcW w:type="dxa" w:w="1258"/>
            <w:shd w:val="clear" w:color="auto" w:fill="DCE6EF"/>
          </w:tcPr>
          <w:p>
            <w:pPr>
              <w:spacing w:after="20" w:before="20"/>
              <w:jc w:val="center"/>
            </w:pPr>
            <w:r>
              <w:rPr>
                <w:b/>
              </w:rPr>
            </w:r>
            <w:r>
              <w:rPr>
                <w:rFonts w:ascii="Arial" w:hAnsi="Arial"/>
                <w:b/>
                <w:sz w:val="14"/>
              </w:rPr>
              <w:t>F1</w:t>
            </w:r>
          </w:p>
        </w:tc>
        <w:tc>
          <w:tcPr>
            <w:tcW w:type="dxa" w:w="1258"/>
            <w:shd w:val="clear" w:color="auto" w:fill="DCE6EF"/>
          </w:tcPr>
          <w:p>
            <w:pPr>
              <w:spacing w:after="20" w:before="20"/>
              <w:jc w:val="center"/>
            </w:pPr>
            <w:r>
              <w:rPr>
                <w:b/>
              </w:rPr>
            </w:r>
            <w:r>
              <w:rPr>
                <w:rFonts w:ascii="Arial" w:hAnsi="Arial"/>
                <w:b/>
                <w:sz w:val="14"/>
              </w:rPr>
              <w:t>ROC-AUC</w:t>
            </w:r>
          </w:p>
        </w:tc>
      </w:tr>
      <w:tr>
        <w:tc>
          <w:tcPr>
            <w:tcW w:type="dxa" w:w="1258"/>
          </w:tcPr>
          <w:p>
            <w:pPr>
              <w:spacing w:after="20" w:before="20"/>
              <w:jc w:val="left"/>
            </w:pPr>
            <w:r/>
            <w:r>
              <w:rPr>
                <w:rFonts w:ascii="Arial" w:hAnsi="Arial"/>
                <w:sz w:val="14"/>
              </w:rPr>
              <w:t>M1 hist+LR</w:t>
            </w:r>
          </w:p>
        </w:tc>
        <w:tc>
          <w:tcPr>
            <w:tcW w:type="dxa" w:w="1258"/>
          </w:tcPr>
          <w:p>
            <w:pPr>
              <w:spacing w:after="20" w:before="20"/>
              <w:jc w:val="center"/>
            </w:pPr>
            <w:r/>
            <w:r>
              <w:rPr>
                <w:rFonts w:ascii="Arial" w:hAnsi="Arial"/>
                <w:sz w:val="14"/>
              </w:rPr>
              <w:t>0 / 46 / 2 / 44</w:t>
            </w:r>
          </w:p>
        </w:tc>
        <w:tc>
          <w:tcPr>
            <w:tcW w:type="dxa" w:w="1258"/>
          </w:tcPr>
          <w:p>
            <w:pPr>
              <w:spacing w:after="20" w:before="20"/>
              <w:jc w:val="center"/>
            </w:pPr>
            <w:r/>
            <w:r>
              <w:rPr>
                <w:rFonts w:ascii="Arial" w:hAnsi="Arial"/>
                <w:sz w:val="14"/>
              </w:rPr>
              <w:t>0.478 [0.446, 0.500]</w:t>
            </w:r>
          </w:p>
        </w:tc>
        <w:tc>
          <w:tcPr>
            <w:tcW w:type="dxa" w:w="1258"/>
          </w:tcPr>
          <w:p>
            <w:pPr>
              <w:spacing w:after="20" w:before="20"/>
              <w:jc w:val="center"/>
            </w:pPr>
            <w:r/>
            <w:r>
              <w:rPr>
                <w:rFonts w:ascii="Arial" w:hAnsi="Arial"/>
                <w:b/>
                <w:sz w:val="14"/>
              </w:rPr>
              <w:t>0.957</w:t>
            </w:r>
            <w:r>
              <w:rPr>
                <w:rFonts w:ascii="Arial" w:hAnsi="Arial"/>
                <w:sz w:val="14"/>
              </w:rPr>
              <w:t xml:space="preserve"> [0.891, 1.000]</w:t>
            </w:r>
          </w:p>
        </w:tc>
        <w:tc>
          <w:tcPr>
            <w:tcW w:type="dxa" w:w="1258"/>
          </w:tcPr>
          <w:p>
            <w:pPr>
              <w:spacing w:after="20" w:before="20"/>
              <w:jc w:val="center"/>
            </w:pPr>
            <w:r/>
            <w:r>
              <w:rPr>
                <w:rFonts w:ascii="Arial" w:hAnsi="Arial"/>
                <w:b/>
                <w:sz w:val="14"/>
              </w:rPr>
              <w:t>0.000</w:t>
            </w:r>
            <w:r>
              <w:rPr>
                <w:rFonts w:ascii="Arial" w:hAnsi="Arial"/>
                <w:sz w:val="14"/>
              </w:rPr>
              <w:t xml:space="preserve"> [0.000, 0.000]</w:t>
            </w:r>
          </w:p>
        </w:tc>
        <w:tc>
          <w:tcPr>
            <w:tcW w:type="dxa" w:w="1258"/>
          </w:tcPr>
          <w:p>
            <w:pPr>
              <w:spacing w:after="20" w:before="20"/>
              <w:jc w:val="center"/>
            </w:pPr>
            <w:r/>
            <w:r>
              <w:rPr>
                <w:rFonts w:ascii="Arial" w:hAnsi="Arial"/>
                <w:sz w:val="14"/>
              </w:rPr>
              <w:t>0.489 [0.471, 0.500]</w:t>
            </w:r>
          </w:p>
        </w:tc>
        <w:tc>
          <w:tcPr>
            <w:tcW w:type="dxa" w:w="1258"/>
          </w:tcPr>
          <w:p>
            <w:pPr>
              <w:spacing w:after="20" w:before="20"/>
              <w:jc w:val="center"/>
            </w:pPr>
            <w:r/>
            <w:r>
              <w:rPr>
                <w:rFonts w:ascii="Arial" w:hAnsi="Arial"/>
                <w:sz w:val="14"/>
              </w:rPr>
              <w:t>0.647 [0.617, 0.667]</w:t>
            </w:r>
          </w:p>
        </w:tc>
        <w:tc>
          <w:tcPr>
            <w:tcW w:type="dxa" w:w="1258"/>
          </w:tcPr>
          <w:p>
            <w:pPr>
              <w:spacing w:after="20" w:before="20"/>
              <w:jc w:val="center"/>
            </w:pPr>
            <w:r/>
            <w:r>
              <w:rPr>
                <w:rFonts w:ascii="Arial" w:hAnsi="Arial"/>
                <w:sz w:val="14"/>
              </w:rPr>
              <w:t>0.422 [0.307, 0.541]</w:t>
            </w:r>
          </w:p>
        </w:tc>
      </w:tr>
      <w:tr>
        <w:tc>
          <w:tcPr>
            <w:tcW w:type="dxa" w:w="1258"/>
          </w:tcPr>
          <w:p>
            <w:pPr>
              <w:spacing w:after="20" w:before="20"/>
              <w:jc w:val="left"/>
            </w:pPr>
            <w:r/>
            <w:r>
              <w:rPr>
                <w:rFonts w:ascii="Arial" w:hAnsi="Arial"/>
                <w:sz w:val="14"/>
              </w:rPr>
              <w:t>M2 CNN</w:t>
            </w:r>
          </w:p>
        </w:tc>
        <w:tc>
          <w:tcPr>
            <w:tcW w:type="dxa" w:w="1258"/>
          </w:tcPr>
          <w:p>
            <w:pPr>
              <w:spacing w:after="20" w:before="20"/>
              <w:jc w:val="center"/>
            </w:pPr>
            <w:r/>
            <w:r>
              <w:rPr>
                <w:rFonts w:ascii="Arial" w:hAnsi="Arial"/>
                <w:sz w:val="14"/>
              </w:rPr>
              <w:t>14 / 32 / 16 / 30</w:t>
            </w:r>
          </w:p>
        </w:tc>
        <w:tc>
          <w:tcPr>
            <w:tcW w:type="dxa" w:w="1258"/>
          </w:tcPr>
          <w:p>
            <w:pPr>
              <w:spacing w:after="20" w:before="20"/>
              <w:jc w:val="center"/>
            </w:pPr>
            <w:r/>
            <w:r>
              <w:rPr>
                <w:rFonts w:ascii="Arial" w:hAnsi="Arial"/>
                <w:sz w:val="14"/>
              </w:rPr>
              <w:t>0.478 [0.380, 0.576]</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0.304 [0.174, 0.435]</w:t>
            </w:r>
          </w:p>
        </w:tc>
        <w:tc>
          <w:tcPr>
            <w:tcW w:type="dxa" w:w="1258"/>
          </w:tcPr>
          <w:p>
            <w:pPr>
              <w:spacing w:after="20" w:before="20"/>
              <w:jc w:val="center"/>
            </w:pPr>
            <w:r/>
            <w:r>
              <w:rPr>
                <w:rFonts w:ascii="Arial" w:hAnsi="Arial"/>
                <w:sz w:val="14"/>
              </w:rPr>
              <w:t>0.484 [0.411, 0.556]</w:t>
            </w:r>
          </w:p>
        </w:tc>
        <w:tc>
          <w:tcPr>
            <w:tcW w:type="dxa" w:w="1258"/>
          </w:tcPr>
          <w:p>
            <w:pPr>
              <w:spacing w:after="20" w:before="20"/>
              <w:jc w:val="center"/>
            </w:pPr>
            <w:r/>
            <w:r>
              <w:rPr>
                <w:rFonts w:ascii="Arial" w:hAnsi="Arial"/>
                <w:sz w:val="14"/>
              </w:rPr>
              <w:t>0.556 [0.460, 0.642]</w:t>
            </w:r>
          </w:p>
        </w:tc>
        <w:tc>
          <w:tcPr>
            <w:tcW w:type="dxa" w:w="1258"/>
          </w:tcPr>
          <w:p>
            <w:pPr>
              <w:spacing w:after="20" w:before="20"/>
              <w:jc w:val="center"/>
            </w:pPr>
            <w:r/>
            <w:r>
              <w:rPr>
                <w:rFonts w:ascii="Arial" w:hAnsi="Arial"/>
                <w:sz w:val="14"/>
              </w:rPr>
              <w:t>0.403 [0.289, 0.523]</w:t>
            </w:r>
          </w:p>
        </w:tc>
      </w:tr>
      <w:tr>
        <w:tc>
          <w:tcPr>
            <w:tcW w:type="dxa" w:w="1258"/>
          </w:tcPr>
          <w:p>
            <w:pPr>
              <w:spacing w:after="20" w:before="20"/>
              <w:jc w:val="left"/>
            </w:pPr>
            <w:r/>
            <w:r>
              <w:rPr>
                <w:rFonts w:ascii="Arial" w:hAnsi="Arial"/>
                <w:sz w:val="14"/>
              </w:rPr>
              <w:t>M3 MobileNetV3</w:t>
            </w:r>
          </w:p>
        </w:tc>
        <w:tc>
          <w:tcPr>
            <w:tcW w:type="dxa" w:w="1258"/>
          </w:tcPr>
          <w:p>
            <w:pPr>
              <w:spacing w:after="20" w:before="20"/>
              <w:jc w:val="center"/>
            </w:pPr>
            <w:r/>
            <w:r>
              <w:rPr>
                <w:rFonts w:ascii="Arial" w:hAnsi="Arial"/>
                <w:sz w:val="14"/>
              </w:rPr>
              <w:t>30 / 16 / 26 / 20</w:t>
            </w:r>
          </w:p>
        </w:tc>
        <w:tc>
          <w:tcPr>
            <w:tcW w:type="dxa" w:w="1258"/>
          </w:tcPr>
          <w:p>
            <w:pPr>
              <w:spacing w:after="20" w:before="20"/>
              <w:jc w:val="center"/>
            </w:pPr>
            <w:r/>
            <w:r>
              <w:rPr>
                <w:rFonts w:ascii="Arial" w:hAnsi="Arial"/>
                <w:sz w:val="14"/>
              </w:rPr>
              <w:t>0.543 [0.446, 0.641]</w:t>
            </w:r>
          </w:p>
        </w:tc>
        <w:tc>
          <w:tcPr>
            <w:tcW w:type="dxa" w:w="1258"/>
          </w:tcPr>
          <w:p>
            <w:pPr>
              <w:spacing w:after="20" w:before="20"/>
              <w:jc w:val="center"/>
            </w:pPr>
            <w:r/>
            <w:r>
              <w:rPr>
                <w:rFonts w:ascii="Arial" w:hAnsi="Arial"/>
                <w:sz w:val="14"/>
              </w:rPr>
              <w:t>0.435 [0.283, 0.587]</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0.556 [0.424, 0.690]</w:t>
            </w:r>
          </w:p>
        </w:tc>
        <w:tc>
          <w:tcPr>
            <w:tcW w:type="dxa" w:w="1258"/>
          </w:tcPr>
          <w:p>
            <w:pPr>
              <w:spacing w:after="20" w:before="20"/>
              <w:jc w:val="center"/>
            </w:pPr>
            <w:r/>
            <w:r>
              <w:rPr>
                <w:rFonts w:ascii="Arial" w:hAnsi="Arial"/>
                <w:sz w:val="14"/>
              </w:rPr>
              <w:t>0.488 [0.354, 0.612]</w:t>
            </w:r>
          </w:p>
        </w:tc>
        <w:tc>
          <w:tcPr>
            <w:tcW w:type="dxa" w:w="1258"/>
          </w:tcPr>
          <w:p>
            <w:pPr>
              <w:spacing w:after="20" w:before="20"/>
              <w:jc w:val="center"/>
            </w:pPr>
            <w:r/>
            <w:r>
              <w:rPr>
                <w:rFonts w:ascii="Arial" w:hAnsi="Arial"/>
                <w:sz w:val="14"/>
              </w:rPr>
              <w:t>0.641 [0.523, 0.755]</w:t>
            </w:r>
          </w:p>
        </w:tc>
      </w:tr>
      <w:tr>
        <w:tc>
          <w:tcPr>
            <w:tcW w:type="dxa" w:w="1258"/>
          </w:tcPr>
          <w:p>
            <w:pPr>
              <w:spacing w:after="20" w:before="20"/>
              <w:jc w:val="left"/>
            </w:pPr>
            <w:r/>
            <w:r>
              <w:rPr>
                <w:rFonts w:ascii="Arial" w:hAnsi="Arial"/>
                <w:sz w:val="14"/>
              </w:rPr>
              <w:t>M4 EfficientNet-B0</w:t>
            </w:r>
          </w:p>
        </w:tc>
        <w:tc>
          <w:tcPr>
            <w:tcW w:type="dxa" w:w="1258"/>
          </w:tcPr>
          <w:p>
            <w:pPr>
              <w:spacing w:after="20" w:before="20"/>
              <w:jc w:val="center"/>
            </w:pPr>
            <w:r/>
            <w:r>
              <w:rPr>
                <w:rFonts w:ascii="Arial" w:hAnsi="Arial"/>
                <w:sz w:val="14"/>
              </w:rPr>
              <w:t>33 / 13 / 19 / 27</w:t>
            </w:r>
          </w:p>
        </w:tc>
        <w:tc>
          <w:tcPr>
            <w:tcW w:type="dxa" w:w="1258"/>
          </w:tcPr>
          <w:p>
            <w:pPr>
              <w:spacing w:after="20" w:before="20"/>
              <w:jc w:val="center"/>
            </w:pPr>
            <w:r/>
            <w:r>
              <w:rPr>
                <w:rFonts w:ascii="Arial" w:hAnsi="Arial"/>
                <w:b/>
                <w:sz w:val="14"/>
              </w:rPr>
              <w:t>0.652</w:t>
            </w:r>
            <w:r>
              <w:rPr>
                <w:rFonts w:ascii="Arial" w:hAnsi="Arial"/>
                <w:sz w:val="14"/>
              </w:rPr>
              <w:t xml:space="preserve"> [0.554, 0.750]</w:t>
            </w:r>
          </w:p>
        </w:tc>
        <w:tc>
          <w:tcPr>
            <w:tcW w:type="dxa" w:w="1258"/>
          </w:tcPr>
          <w:p>
            <w:pPr>
              <w:spacing w:after="20" w:before="20"/>
              <w:jc w:val="center"/>
            </w:pPr>
            <w:r/>
            <w:r>
              <w:rPr>
                <w:rFonts w:ascii="Arial" w:hAnsi="Arial"/>
                <w:sz w:val="14"/>
              </w:rPr>
              <w:t>0.587 [0.435, 0.717]</w:t>
            </w:r>
          </w:p>
        </w:tc>
        <w:tc>
          <w:tcPr>
            <w:tcW w:type="dxa" w:w="1258"/>
          </w:tcPr>
          <w:p>
            <w:pPr>
              <w:spacing w:after="20" w:before="20"/>
              <w:jc w:val="center"/>
            </w:pPr>
            <w:r/>
            <w:r>
              <w:rPr>
                <w:rFonts w:ascii="Arial" w:hAnsi="Arial"/>
                <w:sz w:val="14"/>
              </w:rPr>
              <w:t>0.717 [0.587, 0.848]</w:t>
            </w:r>
          </w:p>
        </w:tc>
        <w:tc>
          <w:tcPr>
            <w:tcW w:type="dxa" w:w="1258"/>
          </w:tcPr>
          <w:p>
            <w:pPr>
              <w:spacing w:after="20" w:before="20"/>
              <w:jc w:val="center"/>
            </w:pPr>
            <w:r/>
            <w:r>
              <w:rPr>
                <w:rFonts w:ascii="Arial" w:hAnsi="Arial"/>
                <w:sz w:val="14"/>
              </w:rPr>
              <w:t>0.675 [0.564, 0.795]</w:t>
            </w:r>
          </w:p>
        </w:tc>
        <w:tc>
          <w:tcPr>
            <w:tcW w:type="dxa" w:w="1258"/>
          </w:tcPr>
          <w:p>
            <w:pPr>
              <w:spacing w:after="20" w:before="20"/>
              <w:jc w:val="center"/>
            </w:pPr>
            <w:r/>
            <w:r>
              <w:rPr>
                <w:rFonts w:ascii="Arial" w:hAnsi="Arial"/>
                <w:sz w:val="14"/>
              </w:rPr>
              <w:t>0.628 [0.506, 0.736]</w:t>
            </w:r>
          </w:p>
        </w:tc>
        <w:tc>
          <w:tcPr>
            <w:tcW w:type="dxa" w:w="1258"/>
          </w:tcPr>
          <w:p>
            <w:pPr>
              <w:spacing w:after="20" w:before="20"/>
              <w:jc w:val="center"/>
            </w:pPr>
            <w:r/>
            <w:r>
              <w:rPr>
                <w:rFonts w:ascii="Arial" w:hAnsi="Arial"/>
                <w:b/>
                <w:sz w:val="14"/>
              </w:rPr>
              <w:t>0.713</w:t>
            </w:r>
            <w:r>
              <w:rPr>
                <w:rFonts w:ascii="Arial" w:hAnsi="Arial"/>
                <w:sz w:val="14"/>
              </w:rPr>
              <w:t xml:space="preserve"> [0.603, 0.816]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of the four models are indistinguishable from chance, and one of the three is below it.</w:t>
      </w:r>
      <w:r>
        <w:rPr>
          <w:rFonts w:ascii="Times New Roman" w:hAnsi="Times New Roman"/>
          <w:sz w:val="20"/>
        </w:rPr>
        <w:t xml:space="preserve"> Balanced accuracy runs 0.478, 0.478, 0.543 and 0.652, and </w:t>
      </w:r>
      <w:r>
        <w:rPr>
          <w:rFonts w:ascii="Times New Roman" w:hAnsi="Times New Roman"/>
          <w:b/>
          <w:sz w:val="20"/>
        </w:rPr>
        <w:t>only M4's interval excludes 0.500</w:t>
      </w:r>
      <w:r>
        <w:rPr>
          <w:rFonts w:ascii="Times New Roman" w:hAnsi="Times New Roman"/>
          <w:sz w:val="20"/>
        </w:rPr>
        <w:t>. M1 and M2 return ROC-AUCs of 0.422 and 0.403, whose intervals reach above 0.5 but whose point estimates are on the wrong side of it: on this set their scores carry no usable information about the label, and what ordering they do impose runs backwards. These are the same four models that reach 0.842 to 0.987 on their own internal partitions.</w:t>
      </w:r>
    </w:p>
    <w:p>
      <w:pPr>
        <w:spacing w:after="0" w:before="0" w:line="240" w:lineRule="exact"/>
        <w:ind w:firstLine="202"/>
        <w:jc w:val="both"/>
      </w:pPr>
      <w:r>
        <w:rPr>
          <w:rFonts w:ascii="Times New Roman" w:hAnsi="Times New Roman"/>
          <w:b/>
          <w:sz w:val="20"/>
        </w:rPr>
        <w:t>The degenerate classifier the one-sided evaluations could not exclude is now measured as degenerate.</w:t>
      </w:r>
      <w:r>
        <w:rPr>
          <w:rFonts w:ascii="Times New Roman" w:hAnsi="Times New Roman"/>
          <w:sz w:val="20"/>
        </w:rPr>
        <w:t xml:space="preserve"> Section III-D notes that an authentic-only set cannot separate a real decision rule from a shifted operating point. M1 is the case: it calls </w:t>
      </w:r>
      <w:r>
        <w:rPr>
          <w:rFonts w:ascii="Times New Roman" w:hAnsi="Times New Roman"/>
          <w:b/>
          <w:sz w:val="20"/>
        </w:rPr>
        <w:t>90 of 92</w:t>
      </w:r>
      <w:r>
        <w:rPr>
          <w:rFonts w:ascii="Times New Roman" w:hAnsi="Times New Roman"/>
          <w:sz w:val="20"/>
        </w:rPr>
        <w:t xml:space="preserve"> images counterfeit, which buys 0.957 recall at 0.000 specificity and an F1 of 0.647 — a figure that looks respectable in isolation and describes a classifier that has never once said "authentic". Its balanced accuracy is 0.478. </w:t>
      </w:r>
      <w:r>
        <w:rPr>
          <w:rFonts w:ascii="Times New Roman" w:hAnsi="Times New Roman"/>
          <w:b/>
          <w:sz w:val="20"/>
        </w:rPr>
        <w:t>A one-sided external evaluation, or an F1 quoted alone, would have concealed this; the balanced set names it in one row.</w:t>
      </w:r>
    </w:p>
    <w:p>
      <w:pPr>
        <w:spacing w:after="0" w:before="0" w:line="240" w:lineRule="exact"/>
        <w:ind w:firstLine="202"/>
        <w:jc w:val="both"/>
      </w:pPr>
      <w:r>
        <w:rPr>
          <w:rFonts w:ascii="Times New Roman" w:hAnsi="Times New Roman"/>
          <w:b/>
          <w:sz w:val="20"/>
        </w:rPr>
        <w:t>Surviving the acquisition-shift test does not predict this result, and M2 is the demonstration.</w:t>
      </w:r>
      <w:r>
        <w:rPr>
          <w:rFonts w:ascii="Times New Roman" w:hAnsi="Times New Roman"/>
          <w:sz w:val="20"/>
        </w:rPr>
        <w:t xml:space="preserve"> M2 holds the highest external specificity anywhere in this study — 0.860 on condition C, above its own in-distribution authentic-class accuracy (Table 5) — and returns balanced accuracy 0.478 with ROC-AUC 0.403 on the balanced set. The ordering of the four models is not preserved between the two evaluations either: M2 leads on condition C and is joint-last here, tied with the 97-parameter baseline, while M4 leads here. </w:t>
      </w:r>
      <w:r>
        <w:rPr>
          <w:rFonts w:ascii="Times New Roman" w:hAnsi="Times New Roman"/>
          <w:b/>
          <w:sz w:val="20"/>
        </w:rPr>
        <w:t>The two evaluations answer different questions, and the one-sided answer does not transfer.</w:t>
      </w:r>
    </w:p>
    <w:p>
      <w:pPr>
        <w:spacing w:after="0" w:before="0" w:line="240" w:lineRule="exact"/>
        <w:ind w:firstLine="202"/>
        <w:jc w:val="both"/>
      </w:pPr>
      <w:r>
        <w:rPr>
          <w:rFonts w:ascii="Times New Roman" w:hAnsi="Times New Roman"/>
          <w:b/>
          <w:sz w:val="20"/>
        </w:rPr>
        <w:t>What Table 4 does and does not establish.</w:t>
      </w:r>
      <w:r>
        <w:rPr>
          <w:rFonts w:ascii="Times New Roman" w:hAnsi="Times New Roman"/>
          <w:sz w:val="20"/>
        </w:rPr>
        <w:t xml:space="preserve"> It establishes that these models, evaluated on independently sourced photographs of both classes with container format, encoder, encoding settings and stored resolution standardized across the classes by construction, perform at or near chance, with the single best reaching 0.652 [0.554, 0.750]. It does </w:t>
      </w:r>
      <w:r>
        <w:rPr>
          <w:rFonts w:ascii="Times New Roman" w:hAnsi="Times New Roman"/>
          <w:b/>
          <w:sz w:val="20"/>
        </w:rPr>
        <w:t>not</w:t>
      </w:r>
      <w:r>
        <w:rPr>
          <w:rFonts w:ascii="Times New Roman" w:hAnsi="Times New Roman"/>
          <w:sz w:val="20"/>
        </w:rPr>
        <w:t xml:space="preserve"> establish general counterfeit-detection performance in the field, and the shift here is one of source rather than of the acquisition axis this paper is about; Section V-D states the bound and what the two classes are samples of.</w:t>
      </w:r>
    </w:p>
    <w:p>
      <w:pPr>
        <w:keepNext/>
        <w:spacing w:before="160" w:after="60" w:line="240" w:lineRule="exact"/>
        <w:jc w:val="left"/>
      </w:pPr>
      <w:r>
        <w:rPr>
          <w:rFonts w:ascii="Arial" w:hAnsi="Arial"/>
          <w:b/>
          <w:i/>
          <w:color w:val="000000"/>
          <w:sz w:val="18"/>
        </w:rPr>
        <w:t>D. THE EXTERNAL ACQUISITION-SHIFT TEST</w:t>
      </w:r>
    </w:p>
    <w:p>
      <w:pPr>
        <w:spacing w:after="0" w:before="0" w:line="240" w:lineRule="exact"/>
        <w:ind w:firstLine="202"/>
        <w:jc w:val="both"/>
      </w:pPr>
      <w:r>
        <w:rPr>
          <w:rFonts w:ascii="Times New Roman" w:hAnsi="Times New Roman"/>
          <w:sz w:val="20"/>
        </w:rPr>
        <w:t xml:space="preserve">The acquisition-shift experiment measures one thing the balanced set cannot: what happens to the authentic class when capture conditions change. Both conditions hold authentic images only, so every number in this section is an </w:t>
      </w:r>
      <w:r>
        <w:rPr>
          <w:rFonts w:ascii="Times New Roman" w:hAnsi="Times New Roman"/>
          <w:b/>
          <w:sz w:val="20"/>
        </w:rPr>
        <w:t>external authentic-class specificity</w:t>
      </w:r>
      <w:r>
        <w:rPr>
          <w:rFonts w:ascii="Times New Roman" w:hAnsi="Times New Roman"/>
          <w:sz w:val="20"/>
        </w:rPr>
        <w:t xml:space="preserve">, and </w:t>
      </w:r>
      <w:r>
        <w:rPr>
          <w:rFonts w:ascii="Times New Roman" w:hAnsi="Times New Roman"/>
          <w:b/>
          <w:sz w:val="20"/>
        </w:rPr>
        <w:t>the experiment measures no counterfeit recall whatever</w:t>
      </w:r>
      <w:r>
        <w:rPr>
          <w:rFonts w:ascii="Times New Roman" w:hAnsi="Times New Roman"/>
          <w:sz w:val="20"/>
        </w:rPr>
        <w:t xml:space="preserve"> (Section III-D).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5. </w:t>
      </w:r>
      <w:r>
        <w:rPr>
          <w:rFonts w:ascii="Arial" w:hAnsi="Arial"/>
          <w:color w:val="000000"/>
          <w:sz w:val="14"/>
        </w:rPr>
        <w:t xml:space="preserve">The acquisition-shift experiment: authentic-class specificity under two capture conditions on approximately the same products. Every figure is a true-negative rate and none estimates counterfeit recall. </w:t>
      </w:r>
      <w:r>
        <w:rPr>
          <w:rFonts w:ascii="Arial" w:hAnsi="Arial"/>
          <w:b/>
          <w:color w:val="000000"/>
          <w:sz w:val="14"/>
        </w:rPr>
        <w:t>Both model conditions come from the current deterministic pipeline at seed 42</w:t>
      </w:r>
      <w:r>
        <w:rPr>
          <w:rFonts w:ascii="Arial" w:hAnsi="Arial"/>
          <w:color w:val="000000"/>
          <w:sz w:val="14"/>
        </w:rPr>
        <w:t>, so the baseline and normalized columns differ only by the operator of Eq. (8) and the comparison is within-run; Table 6 gives both across five seeds. The in-distribution reference is authentic-class accuracy on each model's own Split B test partition (n = 39). Conditions C and D cover the same packages and are compared as independent proportions rather than pooled (Section III-D). Intervals are 95% Wilson on the counts given as k/n.</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Model</w:t>
            </w:r>
          </w:p>
        </w:tc>
        <w:tc>
          <w:tcPr>
            <w:tcW w:type="dxa" w:w="1677"/>
            <w:shd w:val="clear" w:color="auto" w:fill="DCE6EF"/>
          </w:tcPr>
          <w:p>
            <w:pPr>
              <w:spacing w:after="20" w:before="20"/>
              <w:jc w:val="center"/>
            </w:pPr>
            <w:r>
              <w:rPr>
                <w:b/>
              </w:rPr>
            </w:r>
            <w:r>
              <w:rPr>
                <w:rFonts w:ascii="Arial" w:hAnsi="Arial"/>
                <w:b/>
                <w:sz w:val="14"/>
              </w:rPr>
              <w:t>In-distribution authentic accuracy (k = 39)</w:t>
            </w:r>
          </w:p>
        </w:tc>
        <w:tc>
          <w:tcPr>
            <w:tcW w:type="dxa" w:w="1677"/>
            <w:shd w:val="clear" w:color="auto" w:fill="DCE6EF"/>
          </w:tcPr>
          <w:p>
            <w:pPr>
              <w:spacing w:after="20" w:before="20"/>
              <w:jc w:val="center"/>
            </w:pPr>
            <w:r>
              <w:rPr>
                <w:b/>
              </w:rPr>
            </w:r>
            <w:r>
              <w:rPr>
                <w:rFonts w:ascii="Arial" w:hAnsi="Arial"/>
                <w:b/>
                <w:sz w:val="14"/>
              </w:rPr>
              <w:t>Condition C, baseline (n = 150)</w:t>
            </w:r>
          </w:p>
        </w:tc>
        <w:tc>
          <w:tcPr>
            <w:tcW w:type="dxa" w:w="1677"/>
            <w:shd w:val="clear" w:color="auto" w:fill="DCE6EF"/>
          </w:tcPr>
          <w:p>
            <w:pPr>
              <w:spacing w:after="20" w:before="20"/>
              <w:jc w:val="center"/>
            </w:pPr>
            <w:r>
              <w:rPr>
                <w:b/>
              </w:rPr>
            </w:r>
            <w:r>
              <w:rPr>
                <w:rFonts w:ascii="Arial" w:hAnsi="Arial"/>
                <w:b/>
                <w:sz w:val="14"/>
              </w:rPr>
              <w:t>Condition C, normalized (n = 150)</w:t>
            </w:r>
          </w:p>
        </w:tc>
        <w:tc>
          <w:tcPr>
            <w:tcW w:type="dxa" w:w="1677"/>
            <w:shd w:val="clear" w:color="auto" w:fill="DCE6EF"/>
          </w:tcPr>
          <w:p>
            <w:pPr>
              <w:spacing w:after="20" w:before="20"/>
              <w:jc w:val="center"/>
            </w:pPr>
            <w:r>
              <w:rPr>
                <w:b/>
              </w:rPr>
            </w:r>
            <w:r>
              <w:rPr>
                <w:rFonts w:ascii="Arial" w:hAnsi="Arial"/>
                <w:b/>
                <w:sz w:val="14"/>
              </w:rPr>
              <w:t>Condition D, normalized (n = 149)</w:t>
            </w:r>
          </w:p>
        </w:tc>
        <w:tc>
          <w:tcPr>
            <w:tcW w:type="dxa" w:w="1677"/>
            <w:shd w:val="clear" w:color="auto" w:fill="DCE6EF"/>
          </w:tcPr>
          <w:p>
            <w:pPr>
              <w:spacing w:after="20" w:before="20"/>
              <w:jc w:val="center"/>
            </w:pPr>
            <w:r>
              <w:rPr>
                <w:b/>
              </w:rPr>
            </w:r>
            <w:r>
              <w:rPr>
                <w:rFonts w:ascii="Arial" w:hAnsi="Arial"/>
                <w:b/>
                <w:sz w:val="14"/>
              </w:rPr>
              <w:t>C → D change (points)</w:t>
            </w:r>
          </w:p>
        </w:tc>
      </w:tr>
      <w:tr>
        <w:tc>
          <w:tcPr>
            <w:tcW w:type="dxa" w:w="1677"/>
          </w:tcPr>
          <w:p>
            <w:pPr>
              <w:spacing w:after="20" w:before="20"/>
              <w:jc w:val="left"/>
            </w:pPr>
            <w:r/>
            <w:r>
              <w:rPr>
                <w:rFonts w:ascii="Arial" w:hAnsi="Arial"/>
                <w:sz w:val="14"/>
              </w:rPr>
              <w:t>M1 hist+LR</w:t>
            </w:r>
          </w:p>
        </w:tc>
        <w:tc>
          <w:tcPr>
            <w:tcW w:type="dxa" w:w="1677"/>
          </w:tcPr>
          <w:p>
            <w:pPr>
              <w:spacing w:after="20" w:before="20"/>
              <w:jc w:val="center"/>
            </w:pPr>
            <w:r/>
            <w:r>
              <w:rPr>
                <w:rFonts w:ascii="Arial" w:hAnsi="Arial"/>
                <w:sz w:val="14"/>
              </w:rPr>
              <w:t>27/39 = 0.692 [0.536, 0.814]</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0/149 = 0.000 [0.000, 0.025]</w:t>
            </w:r>
          </w:p>
        </w:tc>
        <w:tc>
          <w:tcPr>
            <w:tcW w:type="dxa" w:w="1677"/>
          </w:tcPr>
          <w:p>
            <w:pPr>
              <w:spacing w:after="20" w:before="20"/>
              <w:jc w:val="center"/>
            </w:pPr>
            <w:r/>
            <w:r>
              <w:rPr>
                <w:rFonts w:ascii="Arial" w:hAnsi="Arial"/>
                <w:sz w:val="14"/>
              </w:rPr>
              <w:t>0.0</w:t>
            </w:r>
          </w:p>
        </w:tc>
      </w:tr>
      <w:tr>
        <w:tc>
          <w:tcPr>
            <w:tcW w:type="dxa" w:w="1677"/>
          </w:tcPr>
          <w:p>
            <w:pPr>
              <w:spacing w:after="20" w:before="20"/>
              <w:jc w:val="left"/>
            </w:pPr>
            <w:r/>
            <w:r>
              <w:rPr>
                <w:rFonts w:ascii="Arial" w:hAnsi="Arial"/>
                <w:sz w:val="14"/>
              </w:rPr>
              <w:t>M2 CNN</w:t>
            </w:r>
          </w:p>
        </w:tc>
        <w:tc>
          <w:tcPr>
            <w:tcW w:type="dxa" w:w="1677"/>
          </w:tcPr>
          <w:p>
            <w:pPr>
              <w:spacing w:after="20" w:before="20"/>
              <w:jc w:val="center"/>
            </w:pPr>
            <w:r/>
            <w:r>
              <w:rPr>
                <w:rFonts w:ascii="Arial" w:hAnsi="Arial"/>
                <w:sz w:val="14"/>
              </w:rPr>
              <w:t>33/39 = 0.846 [0.703, 0.928]</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 xml:space="preserve">129/150 = </w:t>
            </w:r>
            <w:r>
              <w:rPr>
                <w:rFonts w:ascii="Arial" w:hAnsi="Arial"/>
                <w:b/>
                <w:sz w:val="14"/>
              </w:rPr>
              <w:t>0.860</w:t>
            </w:r>
            <w:r>
              <w:rPr>
                <w:rFonts w:ascii="Arial" w:hAnsi="Arial"/>
                <w:sz w:val="14"/>
              </w:rPr>
              <w:t xml:space="preserve"> [0.795, 0.907]</w:t>
            </w:r>
          </w:p>
        </w:tc>
        <w:tc>
          <w:tcPr>
            <w:tcW w:type="dxa" w:w="1677"/>
          </w:tcPr>
          <w:p>
            <w:pPr>
              <w:spacing w:after="20" w:before="20"/>
              <w:jc w:val="center"/>
            </w:pPr>
            <w:r/>
            <w:r>
              <w:rPr>
                <w:rFonts w:ascii="Arial" w:hAnsi="Arial"/>
                <w:sz w:val="14"/>
              </w:rPr>
              <w:t xml:space="preserve">69/149 = </w:t>
            </w:r>
            <w:r>
              <w:rPr>
                <w:rFonts w:ascii="Arial" w:hAnsi="Arial"/>
                <w:b/>
                <w:sz w:val="14"/>
              </w:rPr>
              <w:t>0.463</w:t>
            </w:r>
            <w:r>
              <w:rPr>
                <w:rFonts w:ascii="Arial" w:hAnsi="Arial"/>
                <w:sz w:val="14"/>
              </w:rPr>
              <w:t xml:space="preserve"> [0.385, 0.543]</w:t>
            </w:r>
          </w:p>
        </w:tc>
        <w:tc>
          <w:tcPr>
            <w:tcW w:type="dxa" w:w="1677"/>
          </w:tcPr>
          <w:p>
            <w:pPr>
              <w:spacing w:after="20" w:before="20"/>
              <w:jc w:val="center"/>
            </w:pPr>
            <w:r/>
            <w:r>
              <w:rPr>
                <w:rFonts w:ascii="Arial" w:hAnsi="Arial"/>
                <w:b/>
                <w:sz w:val="14"/>
              </w:rPr>
              <w:t>−39.7</w:t>
            </w:r>
          </w:p>
        </w:tc>
      </w:tr>
      <w:tr>
        <w:tc>
          <w:tcPr>
            <w:tcW w:type="dxa" w:w="1677"/>
          </w:tcPr>
          <w:p>
            <w:pPr>
              <w:spacing w:after="20" w:before="20"/>
              <w:jc w:val="left"/>
            </w:pPr>
            <w:r/>
            <w:r>
              <w:rPr>
                <w:rFonts w:ascii="Arial" w:hAnsi="Arial"/>
                <w:sz w:val="14"/>
              </w:rPr>
              <w:t>M3 MobileNetV3</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100/150 = 0.667 [0.588, 0.737]</w:t>
            </w:r>
          </w:p>
        </w:tc>
        <w:tc>
          <w:tcPr>
            <w:tcW w:type="dxa" w:w="1677"/>
          </w:tcPr>
          <w:p>
            <w:pPr>
              <w:spacing w:after="20" w:before="20"/>
              <w:jc w:val="center"/>
            </w:pPr>
            <w:r/>
            <w:r>
              <w:rPr>
                <w:rFonts w:ascii="Arial" w:hAnsi="Arial"/>
                <w:sz w:val="14"/>
              </w:rPr>
              <w:t>116/150 = 0.773 [0.700, 0.833]</w:t>
            </w:r>
          </w:p>
        </w:tc>
        <w:tc>
          <w:tcPr>
            <w:tcW w:type="dxa" w:w="1677"/>
          </w:tcPr>
          <w:p>
            <w:pPr>
              <w:spacing w:after="20" w:before="20"/>
              <w:jc w:val="center"/>
            </w:pPr>
            <w:r/>
            <w:r>
              <w:rPr>
                <w:rFonts w:ascii="Arial" w:hAnsi="Arial"/>
                <w:sz w:val="14"/>
              </w:rPr>
              <w:t>108/149 = 0.725 [0.648, 0.790]</w:t>
            </w:r>
          </w:p>
        </w:tc>
        <w:tc>
          <w:tcPr>
            <w:tcW w:type="dxa" w:w="1677"/>
          </w:tcPr>
          <w:p>
            <w:pPr>
              <w:spacing w:after="20" w:before="20"/>
              <w:jc w:val="center"/>
            </w:pPr>
            <w:r/>
            <w:r>
              <w:rPr>
                <w:rFonts w:ascii="Arial" w:hAnsi="Arial"/>
                <w:sz w:val="14"/>
              </w:rPr>
              <w:t>−4.9</w:t>
            </w:r>
          </w:p>
        </w:tc>
      </w:tr>
      <w:tr>
        <w:tc>
          <w:tcPr>
            <w:tcW w:type="dxa" w:w="1677"/>
          </w:tcPr>
          <w:p>
            <w:pPr>
              <w:spacing w:after="20" w:before="20"/>
              <w:jc w:val="left"/>
            </w:pPr>
            <w:r/>
            <w:r>
              <w:rPr>
                <w:rFonts w:ascii="Arial" w:hAnsi="Arial"/>
                <w:sz w:val="14"/>
              </w:rPr>
              <w:t>M4 EfficientNet-B0</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9/150 = 0.060 [0.032, 0.110]</w:t>
            </w:r>
          </w:p>
        </w:tc>
        <w:tc>
          <w:tcPr>
            <w:tcW w:type="dxa" w:w="1677"/>
          </w:tcPr>
          <w:p>
            <w:pPr>
              <w:spacing w:after="20" w:before="20"/>
              <w:jc w:val="center"/>
            </w:pPr>
            <w:r/>
            <w:r>
              <w:rPr>
                <w:rFonts w:ascii="Arial" w:hAnsi="Arial"/>
                <w:sz w:val="14"/>
              </w:rPr>
              <w:t>121/150 = 0.807 [0.736, 0.862]</w:t>
            </w:r>
          </w:p>
        </w:tc>
        <w:tc>
          <w:tcPr>
            <w:tcW w:type="dxa" w:w="1677"/>
          </w:tcPr>
          <w:p>
            <w:pPr>
              <w:spacing w:after="20" w:before="20"/>
              <w:jc w:val="center"/>
            </w:pPr>
            <w:r/>
            <w:r>
              <w:rPr>
                <w:rFonts w:ascii="Arial" w:hAnsi="Arial"/>
                <w:sz w:val="14"/>
              </w:rPr>
              <w:t>124/149 = 0.832 [0.764, 0.884]</w:t>
            </w:r>
          </w:p>
        </w:tc>
        <w:tc>
          <w:tcPr>
            <w:tcW w:type="dxa" w:w="1677"/>
          </w:tcPr>
          <w:p>
            <w:pPr>
              <w:spacing w:after="20" w:before="20"/>
              <w:jc w:val="center"/>
            </w:pPr>
            <w:r/>
            <w:r>
              <w:rPr>
                <w:rFonts w:ascii="Arial" w:hAnsi="Arial"/>
                <w:sz w:val="14"/>
              </w:rPr>
              <w:t>+2.6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Two conventions govern the table. The Wilson intervals quantify sampling uncertainty on a fixed trained model, not training-run variance, which Table 6 measures separately. And one earlier measurement is superseded rather than reported: an archived run predating three-way normalization returned 104/150 for M3 and 5/150 for M4, from a pipeline carrying two defects since fixed (Section S-I-G).</w:t>
      </w:r>
    </w:p>
    <w:p>
      <w:pPr>
        <w:spacing w:after="0" w:before="0" w:line="240" w:lineRule="exact"/>
        <w:ind w:firstLine="202"/>
        <w:jc w:val="both"/>
      </w:pPr>
      <w:r>
        <w:rPr>
          <w:rFonts w:ascii="Times New Roman" w:hAnsi="Times New Roman"/>
          <w:b/>
          <w:sz w:val="20"/>
        </w:rPr>
        <w:t>Read the baseline column first, because it is this paper's secondary finding.</w:t>
      </w:r>
      <w:r>
        <w:rPr>
          <w:rFonts w:ascii="Times New Roman" w:hAnsi="Times New Roman"/>
          <w:sz w:val="20"/>
        </w:rPr>
        <w:t xml:space="preserve"> Two of the four models classified </w:t>
      </w:r>
      <w:r>
        <w:rPr>
          <w:rFonts w:ascii="Times New Roman" w:hAnsi="Times New Roman"/>
          <w:b/>
          <w:sz w:val="20"/>
        </w:rPr>
        <w:t>zero of 150</w:t>
      </w:r>
      <w:r>
        <w:rPr>
          <w:rFonts w:ascii="Times New Roman" w:hAnsi="Times New Roman"/>
          <w:sz w:val="20"/>
        </w:rPr>
        <w:t xml:space="preserve"> external authentic photographs correctly, and the best in-distribution model in the study (M4, 0.987 on Split A) reached 9/150 = 6.0%. This is a near-complete inversion on the easiest possible external case — a set holding only the class the models were most accurate on in-distribution. A model at 91.9% on Split B that recovers nine of 150 plainly authentic photographs has not learned to recognize authentic packaging; what it has learned is consistent with recognizing this dataset's photography, which Section IV-A establishes was available to it.</w:t>
      </w:r>
    </w:p>
    <w:p>
      <w:pPr>
        <w:spacing w:after="0" w:before="0" w:line="240" w:lineRule="exact"/>
        <w:ind w:firstLine="202"/>
        <w:jc w:val="both"/>
      </w:pPr>
      <w:r>
        <w:rPr>
          <w:rFonts w:ascii="Times New Roman" w:hAnsi="Times New Roman"/>
          <w:b/>
          <w:sz w:val="20"/>
        </w:rPr>
        <w:t>The correction does not transfer uniformly across the capture shift, and the model it fails for is the one that looked best.</w:t>
      </w:r>
      <w:r>
        <w:rPr>
          <w:rFonts w:ascii="Times New Roman" w:hAnsi="Times New Roman"/>
          <w:sz w:val="20"/>
        </w:rPr>
        <w:t xml:space="preserve"> M2 loses 39.7 points between the two conditions, from 0.860 — the highest in the study — to 0.463, with intervals nowhere near overlapping. Read that with Table 6: M2's condition D specificity is the most seed-sensitive quantity in the study (0.627 ± 0.135) and the run of record is the lowest of five, so the mean drop is 28 points rather than 39.7. The direction, and the contrast with the backbones' −3.9 and +1.8 at five seeds, hold at every seed. One capture condition cannot distinguish a general repair from one fitting condition C in particular; the second suggests it was substantially the latter.</w:t>
      </w:r>
    </w:p>
    <w:p>
      <w:pPr>
        <w:spacing w:after="0" w:before="0" w:line="240" w:lineRule="exact"/>
        <w:ind w:firstLine="202"/>
        <w:jc w:val="both"/>
      </w:pPr>
      <w:r>
        <w:rPr>
          <w:rFonts w:ascii="Times New Roman" w:hAnsi="Times New Roman"/>
          <w:b/>
          <w:sz w:val="20"/>
        </w:rPr>
        <w:t>The two pretrained backbones hold their specificity across the shift.</w:t>
      </w:r>
      <w:r>
        <w:rPr>
          <w:rFonts w:ascii="Times New Roman" w:hAnsi="Times New Roman"/>
          <w:sz w:val="20"/>
        </w:rPr>
        <w:t xml:space="preserve"> M3 moves −4.9 points and M4 +2.6, both with comfortably overlapping intervals, so neither change is distinguishable from sampling noise. The backbones are therefore shown to be </w:t>
      </w:r>
      <w:r>
        <w:rPr>
          <w:rFonts w:ascii="Times New Roman" w:hAnsi="Times New Roman"/>
          <w:b/>
          <w:sz w:val="20"/>
        </w:rPr>
        <w:t>stable across the device and lighting shift these two conditions represent, and are not shown to generalize across acquisition.</w:t>
      </w:r>
      <w:r>
        <w:rPr>
          <w:rFonts w:ascii="Times New Roman" w:hAnsi="Times New Roman"/>
          <w:sz w:val="20"/>
        </w:rPr>
        <w:t xml:space="preserve"> The two conditions share one dark backdrop, and Section IV-E finds both backbones relying strongly on the outer region of the frame; a model applying such a rule would hold its specificity across exactly this shift. </w:t>
      </w:r>
      <w:r>
        <w:rPr>
          <w:rFonts w:ascii="Times New Roman" w:hAnsi="Times New Roman"/>
          <w:b/>
          <w:sz w:val="20"/>
        </w:rPr>
        <w:t>The experiment tests the capture-pipeline confound and leaves the outer-region cue untouched.</w:t>
      </w:r>
      <w:r>
        <w:rPr>
          <w:rFonts w:ascii="Times New Roman" w:hAnsi="Times New Roman"/>
          <w:sz w:val="20"/>
        </w:rPr>
        <w:t xml:space="preserve"> M4's stability here and its 0.652 on the balanced set are the same model answering two different questions.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6. </w:t>
      </w:r>
      <w:r>
        <w:rPr>
          <w:rFonts w:ascii="Arial" w:hAnsi="Arial"/>
          <w:color w:val="000000"/>
          <w:sz w:val="14"/>
        </w:rPr>
        <w:t>Five-seed sensitivity analysis, seeds 42–46, mean ± sample standard deviation. Every other number in this paper comes from one run at seed 42; this table says how much of it is initialization. Split assignments, preprocessing and learning rates are fixed across seeds, so the training seed is the only thing that moves. Both conditions come from the same current harness as Table 5, whose columns are this table's seed-42 draw. Conditions C and D are authentic-only, so those columns are specificities. M1 is omitted: a convex fit with a deterministic solver and no augmentation, its accuracy is identical under every seed. Per-seed values are in Section S-I-U.</w:t>
      </w:r>
    </w:p>
    <w:tbl>
      <w:tblPr>
        <w:tblStyle w:val="TableGrid"/>
        <w:tblW w:type="auto" w:w="0"/>
        <w:jc w:val="center"/>
        <w:tblLayout w:type="autofit"/>
        <w:tblLook w:firstColumn="1" w:firstRow="1" w:lastColumn="0" w:lastRow="0" w:noHBand="0" w:noVBand="1" w:val="04A0"/>
      </w:tblPr>
      <w:tblGrid>
        <w:gridCol w:w="2013"/>
        <w:gridCol w:w="2013"/>
        <w:gridCol w:w="2013"/>
        <w:gridCol w:w="2013"/>
        <w:gridCol w:w="2013"/>
      </w:tblGrid>
      <w:tr>
        <w:tc>
          <w:tcPr>
            <w:tcW w:type="dxa" w:w="2013"/>
            <w:shd w:val="clear" w:color="auto" w:fill="DCE6EF"/>
          </w:tcPr>
          <w:p>
            <w:pPr>
              <w:spacing w:after="20" w:before="20"/>
              <w:jc w:val="left"/>
            </w:pPr>
            <w:r>
              <w:rPr>
                <w:b/>
              </w:rPr>
            </w:r>
            <w:r>
              <w:rPr>
                <w:rFonts w:ascii="Arial" w:hAnsi="Arial"/>
                <w:b/>
                <w:sz w:val="14"/>
              </w:rPr>
              <w:t>Model</w:t>
            </w:r>
          </w:p>
        </w:tc>
        <w:tc>
          <w:tcPr>
            <w:tcW w:type="dxa" w:w="2013"/>
            <w:shd w:val="clear" w:color="auto" w:fill="DCE6EF"/>
          </w:tcPr>
          <w:p>
            <w:pPr>
              <w:spacing w:after="20" w:before="20"/>
              <w:jc w:val="center"/>
            </w:pPr>
            <w:r>
              <w:rPr>
                <w:b/>
              </w:rPr>
            </w:r>
            <w:r>
              <w:rPr>
                <w:rFonts w:ascii="Arial" w:hAnsi="Arial"/>
                <w:b/>
                <w:sz w:val="14"/>
              </w:rPr>
              <w:t>Condition</w:t>
            </w:r>
          </w:p>
        </w:tc>
        <w:tc>
          <w:tcPr>
            <w:tcW w:type="dxa" w:w="2013"/>
            <w:shd w:val="clear" w:color="auto" w:fill="DCE6EF"/>
          </w:tcPr>
          <w:p>
            <w:pPr>
              <w:spacing w:after="20" w:before="20"/>
              <w:jc w:val="center"/>
            </w:pPr>
            <w:r>
              <w:rPr>
                <w:b/>
              </w:rPr>
            </w:r>
            <w:r>
              <w:rPr>
                <w:rFonts w:ascii="Arial" w:hAnsi="Arial"/>
                <w:b/>
                <w:sz w:val="14"/>
              </w:rPr>
              <w:t>Split B test</w:t>
            </w:r>
          </w:p>
        </w:tc>
        <w:tc>
          <w:tcPr>
            <w:tcW w:type="dxa" w:w="2013"/>
            <w:shd w:val="clear" w:color="auto" w:fill="DCE6EF"/>
          </w:tcPr>
          <w:p>
            <w:pPr>
              <w:spacing w:after="20" w:before="20"/>
              <w:jc w:val="center"/>
            </w:pPr>
            <w:r>
              <w:rPr>
                <w:b/>
              </w:rPr>
            </w:r>
            <w:r>
              <w:rPr>
                <w:rFonts w:ascii="Arial" w:hAnsi="Arial"/>
                <w:b/>
                <w:sz w:val="14"/>
              </w:rPr>
              <w:t>Condition C</w:t>
            </w:r>
          </w:p>
        </w:tc>
        <w:tc>
          <w:tcPr>
            <w:tcW w:type="dxa" w:w="2013"/>
            <w:shd w:val="clear" w:color="auto" w:fill="DCE6EF"/>
          </w:tcPr>
          <w:p>
            <w:pPr>
              <w:spacing w:after="20" w:before="20"/>
              <w:jc w:val="center"/>
            </w:pPr>
            <w:r>
              <w:rPr>
                <w:b/>
              </w:rPr>
            </w:r>
            <w:r>
              <w:rPr>
                <w:rFonts w:ascii="Arial" w:hAnsi="Arial"/>
                <w:b/>
                <w:sz w:val="14"/>
              </w:rPr>
              <w:t>Condition D</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0.854 ± 0.018</w:t>
            </w:r>
          </w:p>
        </w:tc>
        <w:tc>
          <w:tcPr>
            <w:tcW w:type="dxa" w:w="2013"/>
          </w:tcPr>
          <w:p>
            <w:pPr>
              <w:spacing w:after="20" w:before="20"/>
              <w:jc w:val="center"/>
            </w:pPr>
            <w:r/>
            <w:r>
              <w:rPr>
                <w:rFonts w:ascii="Arial" w:hAnsi="Arial"/>
                <w:sz w:val="14"/>
              </w:rPr>
              <w:t>0.051 ± 0.103</w:t>
            </w:r>
          </w:p>
        </w:tc>
        <w:tc>
          <w:tcPr>
            <w:tcW w:type="dxa" w:w="2013"/>
          </w:tcPr>
          <w:p>
            <w:pPr>
              <w:spacing w:after="20" w:before="20"/>
              <w:jc w:val="center"/>
            </w:pPr>
            <w:r/>
            <w:r>
              <w:rPr>
                <w:rFonts w:ascii="Arial" w:hAnsi="Arial"/>
                <w:sz w:val="14"/>
              </w:rPr>
              <w:t>0.176 ± 0.201</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0.824 ± 0.042</w:t>
            </w:r>
          </w:p>
        </w:tc>
        <w:tc>
          <w:tcPr>
            <w:tcW w:type="dxa" w:w="2013"/>
          </w:tcPr>
          <w:p>
            <w:pPr>
              <w:spacing w:after="20" w:before="20"/>
              <w:jc w:val="center"/>
            </w:pPr>
            <w:r/>
            <w:r>
              <w:rPr>
                <w:rFonts w:ascii="Arial" w:hAnsi="Arial"/>
                <w:b/>
                <w:sz w:val="14"/>
              </w:rPr>
              <w:t>0.909 ± 0.038</w:t>
            </w:r>
          </w:p>
        </w:tc>
        <w:tc>
          <w:tcPr>
            <w:tcW w:type="dxa" w:w="2013"/>
          </w:tcPr>
          <w:p>
            <w:pPr>
              <w:spacing w:after="20" w:before="20"/>
              <w:jc w:val="center"/>
            </w:pPr>
            <w:r/>
            <w:r>
              <w:rPr>
                <w:rFonts w:ascii="Arial" w:hAnsi="Arial"/>
                <w:sz w:val="14"/>
              </w:rPr>
              <w:t>0.627 ± 0.135</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0.941 ± 0.007</w:t>
            </w:r>
          </w:p>
        </w:tc>
        <w:tc>
          <w:tcPr>
            <w:tcW w:type="dxa" w:w="2013"/>
          </w:tcPr>
          <w:p>
            <w:pPr>
              <w:spacing w:after="20" w:before="20"/>
              <w:jc w:val="center"/>
            </w:pPr>
            <w:r/>
            <w:r>
              <w:rPr>
                <w:rFonts w:ascii="Arial" w:hAnsi="Arial"/>
                <w:sz w:val="14"/>
              </w:rPr>
              <w:t>0.715 ± 0.057</w:t>
            </w:r>
          </w:p>
        </w:tc>
        <w:tc>
          <w:tcPr>
            <w:tcW w:type="dxa" w:w="2013"/>
          </w:tcPr>
          <w:p>
            <w:pPr>
              <w:spacing w:after="20" w:before="20"/>
              <w:jc w:val="center"/>
            </w:pPr>
            <w:r/>
            <w:r>
              <w:rPr>
                <w:rFonts w:ascii="Arial" w:hAnsi="Arial"/>
                <w:sz w:val="14"/>
              </w:rPr>
              <w:t>0.644 ± 0.043</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0.938 ± 0.007</w:t>
            </w:r>
          </w:p>
        </w:tc>
        <w:tc>
          <w:tcPr>
            <w:tcW w:type="dxa" w:w="2013"/>
          </w:tcPr>
          <w:p>
            <w:pPr>
              <w:spacing w:after="20" w:before="20"/>
              <w:jc w:val="center"/>
            </w:pPr>
            <w:r/>
            <w:r>
              <w:rPr>
                <w:rFonts w:ascii="Arial" w:hAnsi="Arial"/>
                <w:sz w:val="14"/>
              </w:rPr>
              <w:t>0.724 ± 0.047</w:t>
            </w:r>
          </w:p>
        </w:tc>
        <w:tc>
          <w:tcPr>
            <w:tcW w:type="dxa" w:w="2013"/>
          </w:tcPr>
          <w:p>
            <w:pPr>
              <w:spacing w:after="20" w:before="20"/>
              <w:jc w:val="center"/>
            </w:pPr>
            <w:r/>
            <w:r>
              <w:rPr>
                <w:rFonts w:ascii="Arial" w:hAnsi="Arial"/>
                <w:sz w:val="14"/>
              </w:rPr>
              <w:t>0.685 ± 0.044</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0.905 ± 0.000</w:t>
            </w:r>
          </w:p>
        </w:tc>
        <w:tc>
          <w:tcPr>
            <w:tcW w:type="dxa" w:w="2013"/>
          </w:tcPr>
          <w:p>
            <w:pPr>
              <w:spacing w:after="20" w:before="20"/>
              <w:jc w:val="center"/>
            </w:pPr>
            <w:r/>
            <w:r>
              <w:rPr>
                <w:rFonts w:ascii="Arial" w:hAnsi="Arial"/>
                <w:sz w:val="14"/>
              </w:rPr>
              <w:t>0.100 ± 0.026</w:t>
            </w:r>
          </w:p>
        </w:tc>
        <w:tc>
          <w:tcPr>
            <w:tcW w:type="dxa" w:w="2013"/>
          </w:tcPr>
          <w:p>
            <w:pPr>
              <w:spacing w:after="20" w:before="20"/>
              <w:jc w:val="center"/>
            </w:pPr>
            <w:r/>
            <w:r>
              <w:rPr>
                <w:rFonts w:ascii="Arial" w:hAnsi="Arial"/>
                <w:sz w:val="14"/>
              </w:rPr>
              <w:t>0.240 ± 0.048</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0.935 ± 0.011</w:t>
            </w:r>
          </w:p>
        </w:tc>
        <w:tc>
          <w:tcPr>
            <w:tcW w:type="dxa" w:w="2013"/>
          </w:tcPr>
          <w:p>
            <w:pPr>
              <w:spacing w:after="20" w:before="20"/>
              <w:jc w:val="center"/>
            </w:pPr>
            <w:r/>
            <w:r>
              <w:rPr>
                <w:rFonts w:ascii="Arial" w:hAnsi="Arial"/>
                <w:b/>
                <w:sz w:val="14"/>
              </w:rPr>
              <w:t>0.860 ± 0.034</w:t>
            </w:r>
          </w:p>
        </w:tc>
        <w:tc>
          <w:tcPr>
            <w:tcW w:type="dxa" w:w="2013"/>
          </w:tcPr>
          <w:p>
            <w:pPr>
              <w:spacing w:after="20" w:before="20"/>
              <w:jc w:val="center"/>
            </w:pPr>
            <w:r/>
            <w:r>
              <w:rPr>
                <w:rFonts w:ascii="Arial" w:hAnsi="Arial"/>
                <w:sz w:val="14"/>
              </w:rPr>
              <w:t>0.878 ± 0.031</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Seed 42 is not a central draw, and not in one direction: its condition C value is the lowest of five for M2 and M4 and the highest for M3, so the single-run figures understate the correction where it works and flatter it where it does not. We report the spread rather than restate the paper around the means, seed 42 having been fixed before any of this existed and every artifact of record produced under it. Five seeds assess seed sensitivity rather than characterize it comprehensively, so only separations far larger than the spread they show are read as findings anywhere in this paper; a point or two between models, orderings or seeds is inside what 74 to 150 images and five runs can resolve.</w:t>
      </w:r>
    </w:p>
    <w:p>
      <w:pPr>
        <w:spacing w:after="0" w:before="0" w:line="240" w:lineRule="exact"/>
        <w:ind w:firstLine="202"/>
        <w:jc w:val="both"/>
      </w:pPr>
      <w:r>
        <w:rPr>
          <w:rFonts w:ascii="Times New Roman" w:hAnsi="Times New Roman"/>
          <w:b/>
          <w:sz w:val="20"/>
        </w:rPr>
        <w:t>The regulatory source in its native encodings.</w:t>
      </w:r>
      <w:r>
        <w:rPr>
          <w:rFonts w:ascii="Times New Roman" w:hAnsi="Times New Roman"/>
          <w:sz w:val="20"/>
        </w:rPr>
        <w:t xml:space="preserve"> All 150 regulatory photographs, rather than the 46 that enter Table 4, were also scored in their original files. That measurement is a one-sided recall under a source shift and is reported in Section S-IX with its sensitivity analysis, not here: it cannot be read beside a specificity without the reasoning Section IV-C now supplies directly, and Table 4 supersedes it as the counterfeit-side evidence of record.</w:t>
      </w:r>
    </w:p>
    <w:p>
      <w:pPr>
        <w:keepNext/>
        <w:spacing w:before="160" w:after="60" w:line="240" w:lineRule="exact"/>
        <w:jc w:val="left"/>
      </w:pPr>
      <w:r>
        <w:rPr>
          <w:rFonts w:ascii="Arial" w:hAnsi="Arial"/>
          <w:b/>
          <w:i/>
          <w:color w:val="000000"/>
          <w:sz w:val="18"/>
        </w:rPr>
        <w:t>E. EXPLORATORY ANALYSES</w:t>
      </w:r>
    </w:p>
    <w:p>
      <w:pPr>
        <w:spacing w:after="0" w:before="0" w:line="240" w:lineRule="exact"/>
        <w:ind w:firstLine="202"/>
        <w:jc w:val="both"/>
      </w:pPr>
      <w:r>
        <w:rPr>
          <w:rFonts w:ascii="Times New Roman" w:hAnsi="Times New Roman"/>
          <w:sz w:val="20"/>
        </w:rPr>
        <w:t>The two analyses in this section were developed after the external failure was observed and belong to the exploratory tier of the table at the head of this section. Neither is offered for adoption and no claim in Sections V–VI rests on either alone.</w:t>
      </w:r>
    </w:p>
    <w:p>
      <w:pPr>
        <w:keepNext/>
        <w:spacing w:before="160" w:after="60" w:line="240" w:lineRule="exact"/>
        <w:jc w:val="left"/>
      </w:pPr>
      <w:r>
        <w:rPr>
          <w:rFonts w:ascii="Arial" w:hAnsi="Arial"/>
          <w:b w:val="0"/>
          <w:i w:val="0"/>
          <w:color w:val="000000"/>
          <w:sz w:val="18"/>
        </w:rPr>
        <w:t>1) Exploratory normalization</w:t>
      </w:r>
    </w:p>
    <w:p>
      <w:pPr>
        <w:spacing w:after="0" w:before="0" w:line="240" w:lineRule="exact"/>
        <w:ind w:firstLine="202"/>
        <w:jc w:val="both"/>
      </w:pPr>
      <w:r>
        <w:rPr>
          <w:rFonts w:ascii="Times New Roman" w:hAnsi="Times New Roman"/>
          <w:sz w:val="20"/>
        </w:rPr>
        <w:t xml:space="preserve">The normalized columns of Table 5 carry the qualification stated at the head of this section: </w:t>
      </w:r>
      <w:r>
        <w:rPr>
          <w:rFonts w:ascii="Times New Roman" w:hAnsi="Times New Roman"/>
          <w:b/>
          <w:sz w:val="20"/>
        </w:rPr>
        <w:t>condition C was not an untouched validation set for this experiment</w:t>
      </w:r>
      <w:r>
        <w:rPr>
          <w:rFonts w:ascii="Times New Roman" w:hAnsi="Times New Roman"/>
          <w:sz w:val="20"/>
        </w:rPr>
        <w:t xml:space="preserve"> (Section III-F).</w:t>
      </w:r>
    </w:p>
    <w:p>
      <w:pPr>
        <w:spacing w:after="0" w:before="0" w:line="240" w:lineRule="exact"/>
        <w:ind w:firstLine="202"/>
        <w:jc w:val="both"/>
      </w:pPr>
      <w:r>
        <w:rPr>
          <w:rFonts w:ascii="Times New Roman" w:hAnsi="Times New Roman"/>
          <w:sz w:val="20"/>
        </w:rPr>
        <w:t xml:space="preserve">The same models, retrained on the same images with the same seeds and hyperparameters and differing only by the label-free operator of Eq. (8), recover 86.0%, 77.3% and 80.7% external authentic-class specificity. Because both conditions are evaluated on the same 150 images, the comparison is paired; Section S-I-Z runs it across all five seeds, resampling images so both arms' verdicts move together, and reports </w:t>
      </w:r>
      <w:r>
        <w:rPr>
          <w:rFonts w:ascii="Times New Roman" w:hAnsi="Times New Roman"/>
          <w:b/>
          <w:sz w:val="20"/>
        </w:rPr>
        <w:t>+85.9 points [+81.7, +89.7]</w:t>
      </w:r>
      <w:r>
        <w:rPr>
          <w:rFonts w:ascii="Times New Roman" w:hAnsi="Times New Roman"/>
          <w:sz w:val="20"/>
        </w:rPr>
        <w:t xml:space="preserve"> for M2, </w:t>
      </w:r>
      <w:r>
        <w:rPr>
          <w:rFonts w:ascii="Times New Roman" w:hAnsi="Times New Roman"/>
          <w:b/>
          <w:sz w:val="20"/>
        </w:rPr>
        <w:t>+76.0 [+69.9, +81.5]</w:t>
      </w:r>
      <w:r>
        <w:rPr>
          <w:rFonts w:ascii="Times New Roman" w:hAnsi="Times New Roman"/>
          <w:sz w:val="20"/>
        </w:rPr>
        <w:t xml:space="preserve"> for M4, and </w:t>
      </w:r>
      <w:r>
        <w:rPr>
          <w:rFonts w:ascii="Times New Roman" w:hAnsi="Times New Roman"/>
          <w:b/>
          <w:sz w:val="20"/>
        </w:rPr>
        <w:t>+0.9 [−6.9, +8.8]</w:t>
      </w:r>
      <w:r>
        <w:rPr>
          <w:rFonts w:ascii="Times New Roman" w:hAnsi="Times New Roman"/>
          <w:sz w:val="20"/>
        </w:rPr>
        <w:t xml:space="preserve"> for M3 (Table S23). M3's baseline and normalized seeds interleave (0.715 ± 0.057 against 0.724 ± 0.047), so </w:t>
      </w:r>
      <w:r>
        <w:rPr>
          <w:rFonts w:ascii="Times New Roman" w:hAnsi="Times New Roman"/>
          <w:b/>
          <w:sz w:val="20"/>
        </w:rPr>
        <w:t>we claim no normalization benefit for M3</w:t>
      </w:r>
      <w:r>
        <w:rPr>
          <w:rFonts w:ascii="Times New Roman" w:hAnsi="Times New Roman"/>
          <w:sz w:val="20"/>
        </w:rPr>
        <w:t>, as a measurement rather than a caution, and rest the result on M2 and M4.</w:t>
      </w:r>
    </w:p>
    <w:p>
      <w:pPr>
        <w:spacing w:after="0" w:before="0" w:line="240" w:lineRule="exact"/>
        <w:ind w:firstLine="202"/>
        <w:jc w:val="both"/>
      </w:pPr>
      <w:r>
        <w:rPr>
          <w:rFonts w:ascii="Times New Roman" w:hAnsi="Times New Roman"/>
          <w:b/>
          <w:sz w:val="20"/>
        </w:rPr>
        <w:t>The in-distribution price is small at the run of record and larger across seeds.</w:t>
      </w:r>
      <w:r>
        <w:rPr>
          <w:rFonts w:ascii="Times New Roman" w:hAnsi="Times New Roman"/>
          <w:sz w:val="20"/>
        </w:rPr>
        <w:t xml:space="preserve"> At seed 42 it is small — no more than 1.4 points in either direction — but that describes the run of record, not the five-seed record, which is larger and signed both ways: M2 loses 3.0 points and M4 gains 3.0 (Table 6). M2's external specificity exceeds its own in-distribution accuracy, the only negative gap here, because with the shortcut suppressed its mixed-class test partition is the harder problem. M1 bypasses the operator and is unchanged at 0.000.</w:t>
      </w:r>
    </w:p>
    <w:p>
      <w:pPr>
        <w:spacing w:after="0" w:before="0" w:line="240" w:lineRule="exact"/>
        <w:ind w:firstLine="202"/>
        <w:jc w:val="both"/>
      </w:pPr>
      <w:r>
        <w:rPr>
          <w:rFonts w:ascii="Times New Roman" w:hAnsi="Times New Roman"/>
          <w:b/>
          <w:sz w:val="20"/>
        </w:rPr>
        <w:t>The recovery is not an artifact of having seen the external set, and it is also not a remedy.</w:t>
      </w:r>
      <w:r>
        <w:rPr>
          <w:rFonts w:ascii="Times New Roman" w:hAnsi="Times New Roman"/>
          <w:sz w:val="20"/>
        </w:rPr>
        <w:t xml:space="preserve"> Section S-I-S re-derives the three axes inside the Split B training partition alone under a threshold fixed in advance, and Table S27 runs the operator that rule nominates end to end for all three models and both authentic-only external sets, with nothing in its construction consulting an external image; it averages 0.842 against the reported operator's 0.818. A practitioner who never saw condition C would therefore have measured the same effect, and slightly more of it.</w:t>
      </w:r>
    </w:p>
    <w:p>
      <w:pPr>
        <w:spacing w:after="0" w:before="0" w:line="240" w:lineRule="exact"/>
        <w:ind w:firstLine="202"/>
        <w:jc w:val="both"/>
      </w:pPr>
      <w:r>
        <w:rPr>
          <w:rFonts w:ascii="Times New Roman" w:hAnsi="Times New Roman"/>
          <w:sz w:val="20"/>
        </w:rPr>
        <w:t xml:space="preserve">Sections S-I-N to S-I-X ablate the correction per axis, per architecture, per constant and per composition order. One of those results bears on how any such pipeline should be reported: </w:t>
      </w:r>
      <w:r>
        <w:rPr>
          <w:rFonts w:ascii="Times New Roman" w:hAnsi="Times New Roman"/>
          <w:b/>
          <w:sz w:val="20"/>
        </w:rPr>
        <w:t>composition order matters more than any of the three magnitudes</w:t>
      </w:r>
      <w:r>
        <w:rPr>
          <w:rFonts w:ascii="Times New Roman" w:hAnsi="Times New Roman"/>
          <w:sz w:val="20"/>
        </w:rPr>
        <w:t>, and the ordering with the highest in-distribution accuracy of the six has the lowest external specificity of the six, so a practitioner selecting the order the ordinary way would have chosen the worst while watching a small in-distribution spread conceal a large external one (Section S-I-X). Composition order is normally left implicit in a preprocessing description; on this evidence it deserves the treatment of a hyperparameter.</w:t>
      </w:r>
    </w:p>
    <w:p>
      <w:pPr>
        <w:spacing w:after="0" w:before="0" w:line="240" w:lineRule="exact"/>
        <w:ind w:firstLine="202"/>
        <w:jc w:val="both"/>
      </w:pPr>
      <w:r>
        <w:rPr>
          <w:rFonts w:ascii="Times New Roman" w:hAnsi="Times New Roman"/>
          <w:b/>
          <w:sz w:val="20"/>
        </w:rPr>
        <w:t>We do not propose Eq. (8) for adoption.</w:t>
      </w:r>
      <w:r>
        <w:rPr>
          <w:rFonts w:ascii="Times New Roman" w:hAnsi="Times New Roman"/>
          <w:sz w:val="20"/>
        </w:rPr>
        <w:t xml:space="preserve"> It is an instrument for testing whether intervening on three named acquisition statistics changes the external result, and it does. What it does not do is establish that the corrected models recognize packaging, which the next analysis takes up.</w:t>
      </w:r>
    </w:p>
    <w:p>
      <w:pPr>
        <w:keepNext/>
        <w:spacing w:before="160" w:after="60" w:line="240" w:lineRule="exact"/>
        <w:jc w:val="left"/>
      </w:pPr>
      <w:r>
        <w:rPr>
          <w:rFonts w:ascii="Arial" w:hAnsi="Arial"/>
          <w:b w:val="0"/>
          <w:i w:val="0"/>
          <w:color w:val="000000"/>
          <w:sz w:val="18"/>
        </w:rPr>
        <w:t>2) Residual dependence on the outer region</w:t>
      </w:r>
    </w:p>
    <w:p>
      <w:pPr>
        <w:spacing w:after="0" w:before="0" w:line="240" w:lineRule="exact"/>
        <w:ind w:firstLine="202"/>
        <w:jc w:val="both"/>
      </w:pPr>
      <w:r>
        <w:rPr>
          <w:rFonts w:ascii="Times New Roman" w:hAnsi="Times New Roman"/>
          <w:sz w:val="20"/>
        </w:rPr>
        <w:t>Specificity that survives a capture shift still has to be shown to rest on the intended cue, and here it is not.</w:t>
      </w:r>
    </w:p>
    <w:p>
      <w:pPr>
        <w:spacing w:after="0" w:before="0" w:line="240" w:lineRule="exact"/>
        <w:ind w:firstLine="202"/>
        <w:jc w:val="both"/>
      </w:pPr>
      <w:r>
        <w:rPr>
          <w:rFonts w:ascii="Times New Roman" w:hAnsi="Times New Roman"/>
          <w:sz w:val="20"/>
        </w:rPr>
        <w:t xml:space="preserve">The occlusion analysis is annotation-free, runs over every external image, and reproduces each model's condition C specificity of record before reporting anything. It localizes M3's evidence for "authentic" to the photographic surround (border mass 0.760, 96 of 116 images above the 0.642 uniform reference) and both backbones' evidence for "counterfeit" to the product on the images they get wrong (0.856 and 0.803). For M4's correct external answers it returns 0.614 [0.585, 0.643], indistinguishable from uniform. Occlusion asks a local question — how far does hiding </w:t>
      </w:r>
      <w:r>
        <w:rPr>
          <w:rFonts w:ascii="Times New Roman" w:hAnsi="Times New Roman"/>
          <w:i/>
          <w:sz w:val="20"/>
        </w:rPr>
        <w:t>this patch</w:t>
      </w:r>
      <w:r>
        <w:rPr>
          <w:rFonts w:ascii="Times New Roman" w:hAnsi="Times New Roman"/>
          <w:sz w:val="20"/>
        </w:rPr>
        <w:t xml:space="preserve"> move the score — which a decision spread over a large region answers weakly wherever that region is, so the M4 result is uninformative rather than negative, and a global test settles it. A qualitative Grad-CAM categorization was also performed and is reported in full in Section S-I-J. It is one annotator's reading, it establishes no causal reliance on any feature, and no claim in this paper rests on it.</w:t>
      </w:r>
    </w:p>
    <w:p>
      <w:pPr>
        <w:spacing w:after="0" w:before="0" w:line="240" w:lineRule="exact"/>
        <w:ind w:firstLine="202"/>
        <w:jc w:val="both"/>
      </w:pPr>
      <w:r>
        <w:rPr>
          <w:rFonts w:ascii="Times New Roman" w:hAnsi="Times New Roman"/>
          <w:b/>
          <w:sz w:val="20"/>
        </w:rPr>
        <w:t>Region substitution identifies the region, and it is the outer one for both backbones.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7. </w:t>
      </w:r>
      <w:r>
        <w:rPr>
          <w:rFonts w:ascii="Arial" w:hAnsi="Arial"/>
          <w:color w:val="000000"/>
          <w:sz w:val="14"/>
        </w:rPr>
        <w:t xml:space="preserve">Region substitution on the two acquisition-shift conditions. Each cell is authentic-class specificity after overwriting one region of the model's input; the intact row is the unmodified production pipeline and reproduces the value of record exactly. "Outer" is everything outside a center square covering half the frame and "inner" is the square itself, so the two are area-matched (0.5025 against 0.4975) and the asymmetry is not an artifact of how much was destroyed. The last two rows instead reuse the occlusion analysis's 0.642 border ring and 0.161 center box, which are </w:t>
      </w:r>
      <w:r>
        <w:rPr>
          <w:rFonts w:ascii="Arial" w:hAnsi="Arial"/>
          <w:i/>
          <w:color w:val="000000"/>
          <w:sz w:val="14"/>
        </w:rPr>
        <w:t>not</w:t>
      </w:r>
      <w:r>
        <w:rPr>
          <w:rFonts w:ascii="Arial" w:hAnsi="Arial"/>
          <w:color w:val="000000"/>
          <w:sz w:val="14"/>
        </w:rPr>
        <w:t xml:space="preserve"> area-matched. Both conditions are authentic-only, so every figure is a specificity; parenthesized values are changes from intact, in points.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Region overwritten</w:t>
            </w:r>
          </w:p>
        </w:tc>
        <w:tc>
          <w:tcPr>
            <w:tcW w:type="dxa" w:w="1677"/>
            <w:shd w:val="clear" w:color="auto" w:fill="DCE6EF"/>
          </w:tcPr>
          <w:p>
            <w:pPr>
              <w:spacing w:after="20" w:before="20"/>
              <w:jc w:val="center"/>
            </w:pPr>
            <w:r>
              <w:rPr>
                <w:b/>
              </w:rPr>
            </w:r>
            <w:r>
              <w:rPr>
                <w:rFonts w:ascii="Arial" w:hAnsi="Arial"/>
                <w:b/>
                <w:sz w:val="14"/>
              </w:rPr>
              <w:t>Fill</w:t>
            </w:r>
          </w:p>
        </w:tc>
        <w:tc>
          <w:tcPr>
            <w:tcW w:type="dxa" w:w="1677"/>
            <w:shd w:val="clear" w:color="auto" w:fill="DCE6EF"/>
          </w:tcPr>
          <w:p>
            <w:pPr>
              <w:spacing w:after="20" w:before="20"/>
              <w:jc w:val="center"/>
            </w:pPr>
            <w:r>
              <w:rPr>
                <w:b/>
              </w:rPr>
            </w:r>
            <w:r>
              <w:rPr>
                <w:rFonts w:ascii="Arial" w:hAnsi="Arial"/>
                <w:b/>
                <w:sz w:val="14"/>
              </w:rPr>
              <w:t>M3, cond. C</w:t>
            </w:r>
          </w:p>
        </w:tc>
        <w:tc>
          <w:tcPr>
            <w:tcW w:type="dxa" w:w="1677"/>
            <w:shd w:val="clear" w:color="auto" w:fill="DCE6EF"/>
          </w:tcPr>
          <w:p>
            <w:pPr>
              <w:spacing w:after="20" w:before="20"/>
              <w:jc w:val="center"/>
            </w:pPr>
            <w:r>
              <w:rPr>
                <w:b/>
              </w:rPr>
            </w:r>
            <w:r>
              <w:rPr>
                <w:rFonts w:ascii="Arial" w:hAnsi="Arial"/>
                <w:b/>
                <w:sz w:val="14"/>
              </w:rPr>
              <w:t>M3, cond. D</w:t>
            </w:r>
          </w:p>
        </w:tc>
        <w:tc>
          <w:tcPr>
            <w:tcW w:type="dxa" w:w="1677"/>
            <w:shd w:val="clear" w:color="auto" w:fill="DCE6EF"/>
          </w:tcPr>
          <w:p>
            <w:pPr>
              <w:spacing w:after="20" w:before="20"/>
              <w:jc w:val="center"/>
            </w:pPr>
            <w:r>
              <w:rPr>
                <w:b/>
              </w:rPr>
            </w:r>
            <w:r>
              <w:rPr>
                <w:rFonts w:ascii="Arial" w:hAnsi="Arial"/>
                <w:b/>
                <w:sz w:val="14"/>
              </w:rPr>
              <w:t>M4, cond. C</w:t>
            </w:r>
          </w:p>
        </w:tc>
        <w:tc>
          <w:tcPr>
            <w:tcW w:type="dxa" w:w="1677"/>
            <w:shd w:val="clear" w:color="auto" w:fill="DCE6EF"/>
          </w:tcPr>
          <w:p>
            <w:pPr>
              <w:spacing w:after="20" w:before="20"/>
              <w:jc w:val="center"/>
            </w:pPr>
            <w:r>
              <w:rPr>
                <w:b/>
              </w:rPr>
            </w:r>
            <w:r>
              <w:rPr>
                <w:rFonts w:ascii="Arial" w:hAnsi="Arial"/>
                <w:b/>
                <w:sz w:val="14"/>
              </w:rPr>
              <w:t>M4, cond. D</w:t>
            </w:r>
          </w:p>
        </w:tc>
      </w:tr>
      <w:tr>
        <w:tc>
          <w:tcPr>
            <w:tcW w:type="dxa" w:w="1677"/>
          </w:tcPr>
          <w:p>
            <w:pPr>
              <w:spacing w:after="20" w:before="20"/>
              <w:jc w:val="left"/>
            </w:pPr>
            <w:r/>
            <w:r>
              <w:rPr>
                <w:rFonts w:ascii="Arial" w:hAnsi="Arial"/>
                <w:sz w:val="14"/>
              </w:rPr>
              <w:t>— (intact)</w:t>
            </w:r>
          </w:p>
        </w:tc>
        <w:tc>
          <w:tcPr>
            <w:tcW w:type="dxa" w:w="1677"/>
          </w:tcPr>
          <w:p>
            <w:pPr>
              <w:spacing w:after="20" w:before="20"/>
              <w:jc w:val="center"/>
            </w:pPr>
            <w:r/>
            <w:r>
              <w:rPr>
                <w:rFonts w:ascii="Arial" w:hAnsi="Arial"/>
                <w:sz w:val="14"/>
              </w:rPr>
              <w:t>—</w:t>
            </w:r>
          </w:p>
        </w:tc>
        <w:tc>
          <w:tcPr>
            <w:tcW w:type="dxa" w:w="1677"/>
          </w:tcPr>
          <w:p>
            <w:pPr>
              <w:spacing w:after="20" w:before="20"/>
              <w:jc w:val="center"/>
            </w:pPr>
            <w:r/>
            <w:r>
              <w:rPr>
                <w:rFonts w:ascii="Arial" w:hAnsi="Arial"/>
                <w:sz w:val="14"/>
              </w:rPr>
              <w:t>0.773</w:t>
            </w:r>
          </w:p>
        </w:tc>
        <w:tc>
          <w:tcPr>
            <w:tcW w:type="dxa" w:w="1677"/>
          </w:tcPr>
          <w:p>
            <w:pPr>
              <w:spacing w:after="20" w:before="20"/>
              <w:jc w:val="center"/>
            </w:pPr>
            <w:r/>
            <w:r>
              <w:rPr>
                <w:rFonts w:ascii="Arial" w:hAnsi="Arial"/>
                <w:sz w:val="14"/>
              </w:rPr>
              <w:t>0.725</w:t>
            </w:r>
          </w:p>
        </w:tc>
        <w:tc>
          <w:tcPr>
            <w:tcW w:type="dxa" w:w="1677"/>
          </w:tcPr>
          <w:p>
            <w:pPr>
              <w:spacing w:after="20" w:before="20"/>
              <w:jc w:val="center"/>
            </w:pPr>
            <w:r/>
            <w:r>
              <w:rPr>
                <w:rFonts w:ascii="Arial" w:hAnsi="Arial"/>
                <w:sz w:val="14"/>
              </w:rPr>
              <w:t>0.807</w:t>
            </w:r>
          </w:p>
        </w:tc>
        <w:tc>
          <w:tcPr>
            <w:tcW w:type="dxa" w:w="1677"/>
          </w:tcPr>
          <w:p>
            <w:pPr>
              <w:spacing w:after="20" w:before="20"/>
              <w:jc w:val="center"/>
            </w:pPr>
            <w:r/>
            <w:r>
              <w:rPr>
                <w:rFonts w:ascii="Arial" w:hAnsi="Arial"/>
                <w:sz w:val="14"/>
              </w:rPr>
              <w:t>0.832</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b/>
                <w:sz w:val="14"/>
              </w:rPr>
              <w:t>0.280</w:t>
            </w:r>
            <w:r>
              <w:rPr>
                <w:rFonts w:ascii="Arial" w:hAnsi="Arial"/>
                <w:sz w:val="14"/>
              </w:rPr>
              <w:t xml:space="preserve"> (−49.3)</w:t>
            </w:r>
          </w:p>
        </w:tc>
        <w:tc>
          <w:tcPr>
            <w:tcW w:type="dxa" w:w="1677"/>
          </w:tcPr>
          <w:p>
            <w:pPr>
              <w:spacing w:after="20" w:before="20"/>
              <w:jc w:val="center"/>
            </w:pPr>
            <w:r/>
            <w:r>
              <w:rPr>
                <w:rFonts w:ascii="Arial" w:hAnsi="Arial"/>
                <w:b/>
                <w:sz w:val="14"/>
              </w:rPr>
              <w:t>0.275</w:t>
            </w:r>
            <w:r>
              <w:rPr>
                <w:rFonts w:ascii="Arial" w:hAnsi="Arial"/>
                <w:sz w:val="14"/>
              </w:rPr>
              <w:t xml:space="preserve"> (−45.0)</w:t>
            </w:r>
          </w:p>
        </w:tc>
        <w:tc>
          <w:tcPr>
            <w:tcW w:type="dxa" w:w="1677"/>
          </w:tcPr>
          <w:p>
            <w:pPr>
              <w:spacing w:after="20" w:before="20"/>
              <w:jc w:val="center"/>
            </w:pPr>
            <w:r/>
            <w:r>
              <w:rPr>
                <w:rFonts w:ascii="Arial" w:hAnsi="Arial"/>
                <w:b/>
                <w:sz w:val="14"/>
              </w:rPr>
              <w:t>0.487</w:t>
            </w:r>
            <w:r>
              <w:rPr>
                <w:rFonts w:ascii="Arial" w:hAnsi="Arial"/>
                <w:sz w:val="14"/>
              </w:rPr>
              <w:t xml:space="preserve"> (−32.0)</w:t>
            </w:r>
          </w:p>
        </w:tc>
        <w:tc>
          <w:tcPr>
            <w:tcW w:type="dxa" w:w="1677"/>
          </w:tcPr>
          <w:p>
            <w:pPr>
              <w:spacing w:after="20" w:before="20"/>
              <w:jc w:val="center"/>
            </w:pPr>
            <w:r/>
            <w:r>
              <w:rPr>
                <w:rFonts w:ascii="Arial" w:hAnsi="Arial"/>
                <w:b/>
                <w:sz w:val="14"/>
              </w:rPr>
              <w:t>0.611</w:t>
            </w:r>
            <w:r>
              <w:rPr>
                <w:rFonts w:ascii="Arial" w:hAnsi="Arial"/>
                <w:sz w:val="14"/>
              </w:rPr>
              <w:t xml:space="preserve"> (−22.2)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0.800 (+2.7)</w:t>
            </w:r>
          </w:p>
        </w:tc>
        <w:tc>
          <w:tcPr>
            <w:tcW w:type="dxa" w:w="1677"/>
          </w:tcPr>
          <w:p>
            <w:pPr>
              <w:spacing w:after="20" w:before="20"/>
              <w:jc w:val="center"/>
            </w:pPr>
            <w:r/>
            <w:r>
              <w:rPr>
                <w:rFonts w:ascii="Arial" w:hAnsi="Arial"/>
                <w:sz w:val="14"/>
              </w:rPr>
              <w:t>0.738 (+1.3)</w:t>
            </w:r>
          </w:p>
        </w:tc>
        <w:tc>
          <w:tcPr>
            <w:tcW w:type="dxa" w:w="1677"/>
          </w:tcPr>
          <w:p>
            <w:pPr>
              <w:spacing w:after="20" w:before="20"/>
              <w:jc w:val="center"/>
            </w:pPr>
            <w:r/>
            <w:r>
              <w:rPr>
                <w:rFonts w:ascii="Arial" w:hAnsi="Arial"/>
                <w:sz w:val="14"/>
              </w:rPr>
              <w:t>0.807 (0.0)</w:t>
            </w:r>
          </w:p>
        </w:tc>
        <w:tc>
          <w:tcPr>
            <w:tcW w:type="dxa" w:w="1677"/>
          </w:tcPr>
          <w:p>
            <w:pPr>
              <w:spacing w:after="20" w:before="20"/>
              <w:jc w:val="center"/>
            </w:pPr>
            <w:r/>
            <w:r>
              <w:rPr>
                <w:rFonts w:ascii="Arial" w:hAnsi="Arial"/>
                <w:sz w:val="14"/>
              </w:rPr>
              <w:t>0.859 (+2.7)</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b/>
                <w:sz w:val="14"/>
              </w:rPr>
              <w:t>0.273</w:t>
            </w:r>
            <w:r>
              <w:rPr>
                <w:rFonts w:ascii="Arial" w:hAnsi="Arial"/>
                <w:sz w:val="14"/>
              </w:rPr>
              <w:t xml:space="preserve"> (−50.0)</w:t>
            </w:r>
          </w:p>
        </w:tc>
        <w:tc>
          <w:tcPr>
            <w:tcW w:type="dxa" w:w="1677"/>
          </w:tcPr>
          <w:p>
            <w:pPr>
              <w:spacing w:after="20" w:before="20"/>
              <w:jc w:val="center"/>
            </w:pPr>
            <w:r/>
            <w:r>
              <w:rPr>
                <w:rFonts w:ascii="Arial" w:hAnsi="Arial"/>
                <w:sz w:val="14"/>
              </w:rPr>
              <w:t>0.483 (−24.2)</w:t>
            </w:r>
          </w:p>
        </w:tc>
        <w:tc>
          <w:tcPr>
            <w:tcW w:type="dxa" w:w="1677"/>
          </w:tcPr>
          <w:p>
            <w:pPr>
              <w:spacing w:after="20" w:before="20"/>
              <w:jc w:val="center"/>
            </w:pPr>
            <w:r/>
            <w:r>
              <w:rPr>
                <w:rFonts w:ascii="Arial" w:hAnsi="Arial"/>
                <w:b/>
                <w:sz w:val="14"/>
              </w:rPr>
              <w:t>0.373</w:t>
            </w:r>
            <w:r>
              <w:rPr>
                <w:rFonts w:ascii="Arial" w:hAnsi="Arial"/>
                <w:sz w:val="14"/>
              </w:rPr>
              <w:t xml:space="preserve"> (−43.3)</w:t>
            </w:r>
          </w:p>
        </w:tc>
        <w:tc>
          <w:tcPr>
            <w:tcW w:type="dxa" w:w="1677"/>
          </w:tcPr>
          <w:p>
            <w:pPr>
              <w:spacing w:after="20" w:before="20"/>
              <w:jc w:val="center"/>
            </w:pPr>
            <w:r/>
            <w:r>
              <w:rPr>
                <w:rFonts w:ascii="Arial" w:hAnsi="Arial"/>
                <w:sz w:val="14"/>
              </w:rPr>
              <w:t>0.530 (−30.2)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sz w:val="14"/>
              </w:rPr>
              <w:t>0.713 (−6.0)</w:t>
            </w:r>
          </w:p>
        </w:tc>
        <w:tc>
          <w:tcPr>
            <w:tcW w:type="dxa" w:w="1677"/>
          </w:tcPr>
          <w:p>
            <w:pPr>
              <w:spacing w:after="20" w:before="20"/>
              <w:jc w:val="center"/>
            </w:pPr>
            <w:r/>
            <w:r>
              <w:rPr>
                <w:rFonts w:ascii="Arial" w:hAnsi="Arial"/>
                <w:sz w:val="14"/>
              </w:rPr>
              <w:t>0.785 (+6.0)</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0.906 (+7.4)</w:t>
            </w:r>
          </w:p>
        </w:tc>
      </w:tr>
      <w:tr>
        <w:tc>
          <w:tcPr>
            <w:tcW w:type="dxa" w:w="1677"/>
          </w:tcPr>
          <w:p>
            <w:pPr>
              <w:spacing w:after="20" w:before="20"/>
              <w:jc w:val="left"/>
            </w:pPr>
            <w:r/>
            <w:r>
              <w:rPr>
                <w:rFonts w:ascii="Arial" w:hAnsi="Arial"/>
                <w:sz w:val="14"/>
              </w:rPr>
              <w:t>Border ring (0.642)</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0.233 (−54.0)</w:t>
            </w:r>
          </w:p>
        </w:tc>
        <w:tc>
          <w:tcPr>
            <w:tcW w:type="dxa" w:w="1677"/>
          </w:tcPr>
          <w:p>
            <w:pPr>
              <w:spacing w:after="20" w:before="20"/>
              <w:jc w:val="center"/>
            </w:pPr>
            <w:r/>
            <w:r>
              <w:rPr>
                <w:rFonts w:ascii="Arial" w:hAnsi="Arial"/>
                <w:sz w:val="14"/>
              </w:rPr>
              <w:t>0.201 (−52.4)</w:t>
            </w:r>
          </w:p>
        </w:tc>
        <w:tc>
          <w:tcPr>
            <w:tcW w:type="dxa" w:w="1677"/>
          </w:tcPr>
          <w:p>
            <w:pPr>
              <w:spacing w:after="20" w:before="20"/>
              <w:jc w:val="center"/>
            </w:pPr>
            <w:r/>
            <w:r>
              <w:rPr>
                <w:rFonts w:ascii="Arial" w:hAnsi="Arial"/>
                <w:sz w:val="14"/>
              </w:rPr>
              <w:t>0.260 (−54.7)</w:t>
            </w:r>
          </w:p>
        </w:tc>
        <w:tc>
          <w:tcPr>
            <w:tcW w:type="dxa" w:w="1677"/>
          </w:tcPr>
          <w:p>
            <w:pPr>
              <w:spacing w:after="20" w:before="20"/>
              <w:jc w:val="center"/>
            </w:pPr>
            <w:r/>
            <w:r>
              <w:rPr>
                <w:rFonts w:ascii="Arial" w:hAnsi="Arial"/>
                <w:sz w:val="14"/>
              </w:rPr>
              <w:t>0.396 (−43.6)</w:t>
            </w:r>
          </w:p>
        </w:tc>
      </w:tr>
      <w:tr>
        <w:tc>
          <w:tcPr>
            <w:tcW w:type="dxa" w:w="1677"/>
          </w:tcPr>
          <w:p>
            <w:pPr>
              <w:spacing w:after="20" w:before="20"/>
              <w:jc w:val="left"/>
            </w:pPr>
            <w:r/>
            <w:r>
              <w:rPr>
                <w:rFonts w:ascii="Arial" w:hAnsi="Arial"/>
                <w:sz w:val="14"/>
              </w:rPr>
              <w:t>Center box (0.161)</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0.887 (+11.3)</w:t>
            </w:r>
          </w:p>
        </w:tc>
        <w:tc>
          <w:tcPr>
            <w:tcW w:type="dxa" w:w="1677"/>
          </w:tcPr>
          <w:p>
            <w:pPr>
              <w:spacing w:after="20" w:before="20"/>
              <w:jc w:val="center"/>
            </w:pPr>
            <w:r/>
            <w:r>
              <w:rPr>
                <w:rFonts w:ascii="Arial" w:hAnsi="Arial"/>
                <w:sz w:val="14"/>
              </w:rPr>
              <w:t>0.852 (+12.8)</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0.920 (+8.7)</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result holds in all eight model-by-split-by-fill combinations and is large in every one. </w:t>
      </w:r>
      <w:r>
        <w:rPr>
          <w:rFonts w:ascii="Times New Roman" w:hAnsi="Times New Roman"/>
          <w:b/>
          <w:sz w:val="20"/>
        </w:rPr>
        <w:t>Destroying the outer region costs 22 to 50 points of external specificity; destroying an area-matched center region costs nothing and more often helps</w:t>
      </w:r>
      <w:r>
        <w:rPr>
          <w:rFonts w:ascii="Times New Roman" w:hAnsi="Times New Roman"/>
          <w:sz w:val="20"/>
        </w:rPr>
        <w:t>, and removing the occlusion analysis's small center box raises specificity by 5 to 13 points. Whatever these models read in order to call an external photograph authentic lies outside the middle of the frame, and the middle of the frame is where the packaging is. This settles M4, the case occlusion could not resolve, in the same direction as M3. Each condition is a single deterministic pass, so the small positive deltas on the inner rows are not a benefit; what carries the finding is the sign and size of the outer rows, an order of magnitude larger than anything else in the table.</w:t>
      </w:r>
    </w:p>
    <w:p>
      <w:pPr>
        <w:spacing w:after="0" w:before="0" w:line="240" w:lineRule="exact"/>
        <w:ind w:firstLine="202"/>
        <w:jc w:val="both"/>
      </w:pPr>
      <w:r>
        <w:rPr>
          <w:rFonts w:ascii="Times New Roman" w:hAnsi="Times New Roman"/>
          <w:b/>
          <w:sz w:val="20"/>
        </w:rPr>
        <w:t>What this does and does not establish.</w:t>
      </w:r>
      <w:r>
        <w:rPr>
          <w:rFonts w:ascii="Times New Roman" w:hAnsi="Times New Roman"/>
          <w:sz w:val="20"/>
        </w:rPr>
        <w:t xml:space="preserve"> It demonstrates that both corrected backbones depend strongly on the </w:t>
      </w:r>
      <w:r>
        <w:rPr>
          <w:rFonts w:ascii="Times New Roman" w:hAnsi="Times New Roman"/>
          <w:b/>
          <w:sz w:val="20"/>
        </w:rPr>
        <w:t>outer region of the frame</w:t>
      </w:r>
      <w:r>
        <w:rPr>
          <w:rFonts w:ascii="Times New Roman" w:hAnsi="Times New Roman"/>
          <w:sz w:val="20"/>
        </w:rPr>
        <w:t xml:space="preserve"> rather than on the center where the packaging sits. It does not isolate </w:t>
      </w:r>
      <w:r>
        <w:rPr>
          <w:rFonts w:ascii="Times New Roman" w:hAnsi="Times New Roman"/>
          <w:i/>
          <w:sz w:val="20"/>
        </w:rPr>
        <w:t>which</w:t>
      </w:r>
      <w:r>
        <w:rPr>
          <w:rFonts w:ascii="Times New Roman" w:hAnsi="Times New Roman"/>
          <w:sz w:val="20"/>
        </w:rPr>
        <w:t xml:space="preserve"> property of that region they use. The outer region holds the dark backdrop, the lighting and shadow gradient, the staging, and also whatever of the carton extends past the center square, and a geometric partition cannot separate these. Establishing that the backdrop specifically is the operative cue would need content-aware annotation — attribution mass inside an annotated product box rather than inside a fixed geometric region — which we have implemented but not run, as it requires an annotation pass with rotated boxes (Section V-C). We therefore describe the finding as outer-region dependence, and treat backdrop, lighting and staging as the candidate cues it is consistent with.</w:t>
      </w:r>
    </w:p>
    <w:p>
      <w:pPr>
        <w:spacing w:after="0" w:before="0" w:line="240" w:lineRule="exact"/>
        <w:ind w:firstLine="202"/>
        <w:jc w:val="both"/>
      </w:pPr>
      <w:r>
        <w:rPr>
          <w:rFonts w:ascii="Times New Roman" w:hAnsi="Times New Roman"/>
          <w:sz w:val="20"/>
        </w:rPr>
        <w:t xml:space="preserve">Two consequences follow. Conditions C and D hold that outer region approximately fixed, sharing one dark backdrop, so neither disturbs the region identified here, and the backbones' stability across that shift is what an outer-region rule predicts. And </w:t>
      </w:r>
      <w:r>
        <w:rPr>
          <w:rFonts w:ascii="Times New Roman" w:hAnsi="Times New Roman"/>
          <w:b/>
          <w:sz w:val="20"/>
        </w:rPr>
        <w:t>the models corrected by Eq. (8) have not stopped depending on acquisition; both now depend on a different acquisition-linked cue that the audit of Section IV-A does not test, because it leaves no trace in a file header.</w:t>
      </w:r>
    </w:p>
    <w:p>
      <w:pPr>
        <w:spacing w:after="0" w:before="0" w:line="240" w:lineRule="exact"/>
        <w:ind w:firstLine="202"/>
        <w:jc w:val="both"/>
      </w:pPr>
      <w:r>
        <w:rPr>
          <w:rFonts w:ascii="Times New Roman" w:hAnsi="Times New Roman"/>
          <w:sz w:val="20"/>
        </w:rPr>
        <w:t xml:space="preserve">One further result cautions against a common practice. </w:t>
      </w:r>
      <w:r>
        <w:rPr>
          <w:rFonts w:ascii="Times New Roman" w:hAnsi="Times New Roman"/>
          <w:b/>
          <w:sz w:val="20"/>
        </w:rPr>
        <w:t>A visually convincing, product-centered Grad-CAM map is not evidence that a model learned the intended task.</w:t>
      </w:r>
      <w:r>
        <w:rPr>
          <w:rFonts w:ascii="Times New Roman" w:hAnsi="Times New Roman"/>
          <w:sz w:val="20"/>
        </w:rPr>
        <w:t xml:space="preserve"> That rests on a quantitative mass statistic rather than on the categorization just set aside: for the un-normalized model, whose input is unaltered, 0.563 of the attribution mass falls inside a center box covering 0.161 of the frame, and that model classifies almost no external image correctly (Table 5). Across the two conditions, spatial concentration of attribution </w:t>
      </w:r>
      <w:r>
        <w:rPr>
          <w:rFonts w:ascii="Times New Roman" w:hAnsi="Times New Roman"/>
          <w:i/>
          <w:sz w:val="20"/>
        </w:rPr>
        <w:t>anti-correlates</w:t>
      </w:r>
      <w:r>
        <w:rPr>
          <w:rFonts w:ascii="Times New Roman" w:hAnsi="Times New Roman"/>
          <w:sz w:val="20"/>
        </w:rPr>
        <w:t xml:space="preserve"> with external specificity.</w:t>
      </w:r>
    </w:p>
    <w:p>
      <w:pPr>
        <w:keepNext/>
        <w:spacing w:before="200" w:after="60" w:line="240" w:lineRule="exact"/>
        <w:jc w:val="left"/>
      </w:pPr>
      <w:r>
        <w:rPr>
          <w:rFonts w:ascii="Arial" w:hAnsi="Arial"/>
          <w:b/>
          <w:i w:val="0"/>
          <w:color w:val="00548F"/>
          <w:sz w:val="18"/>
        </w:rPr>
        <w:t>V. DISCUSSION</w:t>
      </w:r>
    </w:p>
    <w:p>
      <w:pPr>
        <w:keepNext/>
        <w:spacing w:before="160" w:after="60" w:line="240" w:lineRule="exact"/>
        <w:jc w:val="left"/>
      </w:pPr>
      <w:r>
        <w:rPr>
          <w:rFonts w:ascii="Arial" w:hAnsi="Arial"/>
          <w:b/>
          <w:i/>
          <w:color w:val="000000"/>
          <w:sz w:val="18"/>
        </w:rPr>
        <w:t>A. WHAT IN-DISTRIBUTION ACCURACY ON THIS DATASET MEASURES</w:t>
      </w:r>
    </w:p>
    <w:p>
      <w:pPr>
        <w:spacing w:after="0" w:before="0" w:line="240" w:lineRule="exact"/>
        <w:ind w:firstLine="202"/>
        <w:jc w:val="both"/>
      </w:pPr>
      <w:r>
        <w:rPr>
          <w:rFonts w:ascii="Times New Roman" w:hAnsi="Times New Roman"/>
          <w:sz w:val="20"/>
        </w:rPr>
        <w:t>Everything an in-distribution evaluation on this dataset can measure is available without looking at the packaging: three header fields reach 100% on the leakage-free partition, container format alone is correct on all 510 images, and M1's accuracy rests on a brightness proxy. This does not imply prior work here is careless. It indicates a defect no in-distribution measure surfaces — not stratification, cross-validation, bootstrap intervals or near-duplicate grouping. Two checks do surface it: the metadata audit, which is not an accuracy at all, and evaluation on data someone else acquired.</w:t>
      </w:r>
    </w:p>
    <w:p>
      <w:pPr>
        <w:spacing w:after="0" w:before="0" w:line="240" w:lineRule="exact"/>
        <w:ind w:firstLine="202"/>
        <w:jc w:val="both"/>
      </w:pPr>
      <w:r>
        <w:rPr>
          <w:rFonts w:ascii="Times New Roman" w:hAnsi="Times New Roman"/>
          <w:sz w:val="20"/>
        </w:rPr>
        <w:t>We expected image-level leakage to dominate, because that is what the surrounding methodological literature emphasizes [11]. It did not, and the generalizable point concerns the ordering of audits: both checks are cheap, only the leakage one is routine, and here the other identified a substantially larger effect. That is an argument for running both, not for replacing one with the other.</w:t>
      </w:r>
    </w:p>
    <w:p>
      <w:pPr>
        <w:spacing w:after="0" w:before="0" w:line="240" w:lineRule="exact"/>
        <w:ind w:firstLine="202"/>
        <w:jc w:val="both"/>
      </w:pPr>
      <w:r>
        <w:rPr>
          <w:rFonts w:ascii="Times New Roman" w:hAnsi="Times New Roman"/>
          <w:sz w:val="20"/>
        </w:rPr>
        <w:t xml:space="preserve">External behavior was not monotonic with model capacity across the evaluated configurations, which suggests that access to acquisition-related features, and the specific distribution shifts tested, were more consequential than parameter count alone. M1's feature space </w:t>
      </w:r>
      <w:r>
        <w:rPr>
          <w:rFonts w:ascii="Times New Roman" w:hAnsi="Times New Roman"/>
          <w:i/>
          <w:sz w:val="20"/>
        </w:rPr>
        <w:t>is</w:t>
      </w:r>
      <w:r>
        <w:rPr>
          <w:rFonts w:ascii="Times New Roman" w:hAnsi="Times New Roman"/>
          <w:sz w:val="20"/>
        </w:rPr>
        <w:t xml:space="preserve"> the shortcut, so the correction unlocks nothing for it, while the two frozen backbones inherit ImageNet invariances that appear to afford partial protection (Section S-I-Q). We do not press this further: with four architectures, one dataset and the shifts tested here, it is a reading consistent with the results rather than something the design can establish.</w:t>
      </w:r>
    </w:p>
    <w:p>
      <w:pPr>
        <w:keepNext/>
        <w:spacing w:before="160" w:after="60" w:line="240" w:lineRule="exact"/>
        <w:jc w:val="left"/>
      </w:pPr>
      <w:r>
        <w:rPr>
          <w:rFonts w:ascii="Arial" w:hAnsi="Arial"/>
          <w:b/>
          <w:i/>
          <w:color w:val="000000"/>
          <w:sz w:val="18"/>
        </w:rPr>
        <w:t>B. WHY PROVENANCE AUDITING MATTERS, AND WHAT IT DOES NOT SETTLE</w:t>
      </w:r>
    </w:p>
    <w:p>
      <w:pPr>
        <w:spacing w:after="0" w:before="0" w:line="240" w:lineRule="exact"/>
        <w:ind w:firstLine="202"/>
        <w:jc w:val="both"/>
      </w:pPr>
      <w:r>
        <w:rPr>
          <w:rFonts w:ascii="Times New Roman" w:hAnsi="Times New Roman"/>
          <w:sz w:val="20"/>
        </w:rPr>
        <w:t>The normalization of Eq. (8) does what it was designed to do, and its own results are why we report it as an instrument rather than a remedy. The recovered specificity rests on the outer region of the frame rather than the packaging; the exchange is not stable, the best corrected model on condition C falling below its own level on a second capture of the same products; the pipeline is under-determined by its own description, since permuting operator order alone moves the external result far more than the in-distribution result while inverting the ranking; and tightening the resolution bottleneck further keeps helping, which is what a coarse distribution match predicts and not what restored reading of printed detail predicts.</w:t>
      </w:r>
    </w:p>
    <w:p>
      <w:pPr>
        <w:spacing w:after="0" w:before="0" w:line="240" w:lineRule="exact"/>
        <w:ind w:firstLine="202"/>
        <w:jc w:val="both"/>
      </w:pPr>
      <w:r>
        <w:rPr>
          <w:rFonts w:ascii="Times New Roman" w:hAnsi="Times New Roman"/>
          <w:sz w:val="20"/>
        </w:rPr>
        <w:t xml:space="preserve">The axes were chosen because Table 1 showed them separating the pool from condition C, so intervening on them might seem guaranteed to help. It is not: a bottleneck that removed the discrepancy while destroying the signal would have driven in-distribution accuracy to chance, as it does for M1. What the experiment supports is an </w:t>
      </w:r>
      <w:r>
        <w:rPr>
          <w:rFonts w:ascii="Times New Roman" w:hAnsi="Times New Roman"/>
          <w:i/>
          <w:sz w:val="20"/>
        </w:rPr>
        <w:t>interventional</w:t>
      </w:r>
      <w:r>
        <w:rPr>
          <w:rFonts w:ascii="Times New Roman" w:hAnsi="Times New Roman"/>
          <w:sz w:val="20"/>
        </w:rPr>
        <w:t xml:space="preserve"> claim about three named statistics and nothing wider. It does not identify which of the three, or what within them, the models were responding to, the axes being correlated and removed together, and it is not evidence that they learned to recognize packaging.</w:t>
      </w:r>
    </w:p>
    <w:p>
      <w:pPr>
        <w:spacing w:after="0" w:before="0" w:line="240" w:lineRule="exact"/>
        <w:ind w:firstLine="202"/>
        <w:jc w:val="both"/>
      </w:pPr>
      <w:r>
        <w:rPr>
          <w:rFonts w:ascii="Times New Roman" w:hAnsi="Times New Roman"/>
          <w:sz w:val="20"/>
        </w:rPr>
        <w:t xml:space="preserve">The conclusion we would defend is accordingly not that a preprocessing solution was developed, but the narrower one: </w:t>
      </w:r>
      <w:r>
        <w:rPr>
          <w:rFonts w:ascii="Times New Roman" w:hAnsi="Times New Roman"/>
          <w:b/>
          <w:sz w:val="20"/>
        </w:rPr>
        <w:t>eliminating one provenance signal can expose another, so a correction is itself dataset construction and is owed the same audit as a dataset.</w:t>
      </w:r>
    </w:p>
    <w:p>
      <w:pPr>
        <w:spacing w:after="0" w:before="0" w:line="240" w:lineRule="exact"/>
        <w:ind w:firstLine="202"/>
        <w:jc w:val="both"/>
      </w:pPr>
      <w:r>
        <w:rPr>
          <w:rFonts w:ascii="Times New Roman" w:hAnsi="Times New Roman"/>
          <w:b/>
          <w:sz w:val="20"/>
        </w:rPr>
        <w:t>The evidence for that conclusion is interventional rather than argued.</w:t>
      </w:r>
      <w:r>
        <w:rPr>
          <w:rFonts w:ascii="Times New Roman" w:hAnsi="Times New Roman"/>
          <w:sz w:val="20"/>
        </w:rPr>
        <w:t xml:space="preserve"> The audit named three acquisition statistics and Eq. (8) removed them; region substitution then shows that what the corrected models read in order to call an external photograph authentic lies outside the middle of the frame, on both authentic-only external sets. The outer region is acquisition-linked — backdrop, staging and lighting are chosen by whoever took the photograph, not by the manufacturer — and the audit does not test it, because it leaves no trace in a file header. A practitioner who ran the audit, applied the correction and reported the resulting external number would have reported a real improvement produced by a mechanism they had not audited. </w:t>
      </w:r>
      <w:r>
        <w:rPr>
          <w:rFonts w:ascii="Times New Roman" w:hAnsi="Times New Roman"/>
          <w:b/>
          <w:sz w:val="20"/>
        </w:rPr>
        <w:t>Provenance auditing is therefore better understood as an iterative dataset-quality check, repeated after each intervention, than as a one-time preprocessing step.</w:t>
      </w:r>
    </w:p>
    <w:p>
      <w:pPr>
        <w:spacing w:after="0" w:before="0" w:line="240" w:lineRule="exact"/>
        <w:ind w:firstLine="202"/>
        <w:jc w:val="both"/>
      </w:pPr>
      <w:r>
        <w:rPr>
          <w:rFonts w:ascii="Times New Roman" w:hAnsi="Times New Roman"/>
          <w:sz w:val="20"/>
        </w:rPr>
        <w:t xml:space="preserve">That iteration is needed because "provenance confound" is not one defect but a small family, each needing a different check. </w:t>
      </w:r>
      <w:r>
        <w:rPr>
          <w:rFonts w:ascii="Times New Roman" w:hAnsi="Times New Roman"/>
          <w:b/>
          <w:sz w:val="20"/>
        </w:rPr>
        <w:t>Type A</w:t>
      </w:r>
      <w:r>
        <w:rPr>
          <w:rFonts w:ascii="Times New Roman" w:hAnsi="Times New Roman"/>
          <w:sz w:val="20"/>
        </w:rPr>
        <w:t xml:space="preserve"> is the acquisition-statistic confound, which metadata detects (the Kaggle pool, 1.000). </w:t>
      </w:r>
      <w:r>
        <w:rPr>
          <w:rFonts w:ascii="Times New Roman" w:hAnsi="Times New Roman"/>
          <w:b/>
          <w:sz w:val="20"/>
        </w:rPr>
        <w:t>Type B</w:t>
      </w:r>
      <w:r>
        <w:rPr>
          <w:rFonts w:ascii="Times New Roman" w:hAnsi="Times New Roman"/>
          <w:sz w:val="20"/>
        </w:rPr>
        <w:t xml:space="preserve"> is a content or modality confound, on which metadata may be silent and which only a content pass over each class finds (the Roboflow archive, 0.717). </w:t>
      </w:r>
      <w:r>
        <w:rPr>
          <w:rFonts w:ascii="Times New Roman" w:hAnsi="Times New Roman"/>
          <w:b/>
          <w:sz w:val="20"/>
        </w:rPr>
        <w:t>Type C</w:t>
      </w:r>
      <w:r>
        <w:rPr>
          <w:rFonts w:ascii="Times New Roman" w:hAnsi="Times New Roman"/>
          <w:sz w:val="20"/>
        </w:rPr>
        <w:t xml:space="preserve"> is one reintroduced when a </w:t>
      </w:r>
      <w:r>
        <w:rPr>
          <w:rFonts w:ascii="Times New Roman" w:hAnsi="Times New Roman"/>
          <w:i/>
          <w:sz w:val="20"/>
        </w:rPr>
        <w:t>derived</w:t>
      </w:r>
      <w:r>
        <w:rPr>
          <w:rFonts w:ascii="Times New Roman" w:hAnsi="Times New Roman"/>
          <w:sz w:val="20"/>
        </w:rPr>
        <w:t xml:space="preserve"> set is drawn from a differently-acquired part of a clean source, which near-duplicate and source auditing catch. </w:t>
      </w:r>
      <w:r>
        <w:rPr>
          <w:rFonts w:ascii="Times New Roman" w:hAnsi="Times New Roman"/>
          <w:b/>
          <w:sz w:val="20"/>
        </w:rPr>
        <w:t>Type D</w:t>
      </w:r>
      <w:r>
        <w:rPr>
          <w:rFonts w:ascii="Times New Roman" w:hAnsi="Times New Roman"/>
          <w:sz w:val="20"/>
        </w:rPr>
        <w:t xml:space="preserve"> is a shipped split whose partitions do not partition, and </w:t>
      </w:r>
      <w:r>
        <w:rPr>
          <w:rFonts w:ascii="Times New Roman" w:hAnsi="Times New Roman"/>
          <w:b/>
          <w:sz w:val="20"/>
        </w:rPr>
        <w:t>Type E</w:t>
      </w:r>
      <w:r>
        <w:rPr>
          <w:rFonts w:ascii="Times New Roman" w:hAnsi="Times New Roman"/>
          <w:sz w:val="20"/>
        </w:rPr>
        <w:t xml:space="preserve"> the audit's own false-positive mode on the mixed axes. Section S-I-T gives each its detector, its cost when undetected and its repair.</w:t>
      </w:r>
    </w:p>
    <w:p>
      <w:pPr>
        <w:spacing w:after="0" w:before="0" w:line="240" w:lineRule="exact"/>
        <w:ind w:firstLine="202"/>
        <w:jc w:val="both"/>
      </w:pPr>
      <w:r>
        <w:rPr>
          <w:rFonts w:ascii="Times New Roman" w:hAnsi="Times New Roman"/>
          <w:b/>
          <w:sz w:val="20"/>
        </w:rPr>
        <w:t>The lesson cutting across the five is that no single check is sufficient.</w:t>
      </w:r>
      <w:r>
        <w:rPr>
          <w:rFonts w:ascii="Times New Roman" w:hAnsi="Times New Roman"/>
          <w:sz w:val="20"/>
        </w:rPr>
        <w:t xml:space="preserve"> Metadata auditing does not replace content and modality inspection, near-duplicate analysis, or source and acquisition auditing; each of the three caught something on our own data that the others missed. Publisher-side tidying compounds this, suppressing the symptom a metadata audit reads while leaving the disease in place.</w:t>
      </w:r>
    </w:p>
    <w:p>
      <w:pPr>
        <w:spacing w:after="0" w:before="0" w:line="240" w:lineRule="exact"/>
        <w:ind w:firstLine="202"/>
        <w:jc w:val="both"/>
      </w:pPr>
      <w:r>
        <w:rPr>
          <w:rFonts w:ascii="Times New Roman" w:hAnsi="Times New Roman"/>
          <w:b/>
          <w:sz w:val="20"/>
        </w:rPr>
        <w:t>What would count against the mechanism.</w:t>
      </w:r>
      <w:r>
        <w:rPr>
          <w:rFonts w:ascii="Times New Roman" w:hAnsi="Times New Roman"/>
          <w:sz w:val="20"/>
        </w:rPr>
        <w:t xml:space="preserve"> The claim of Section I-A is that asymmetric class availability can create class-conditional acquisition differences that confound the intended task. Datasets whose scarce class was obtained by the same procedure as the abundant one should show no Type A confound; [3], which photographed both classes on one Raspberry Pi rig, is the one study in Table S26 plausibly meeting that condition, and it also reports the lowest accuracy there, which is a single observation across heterogeneous studies and suggestive rather than evidence. Conversely, a survey finding the audit firing no more often on separately-sourced collections than on jointly-sourced ones would refute the mechanism. That survey is the natural next study and we have not performed it.</w:t>
      </w:r>
    </w:p>
    <w:p>
      <w:pPr>
        <w:keepNext/>
        <w:spacing w:before="160" w:after="60" w:line="240" w:lineRule="exact"/>
        <w:jc w:val="left"/>
      </w:pPr>
      <w:r>
        <w:rPr>
          <w:rFonts w:ascii="Arial" w:hAnsi="Arial"/>
          <w:b/>
          <w:i/>
          <w:color w:val="000000"/>
          <w:sz w:val="18"/>
        </w:rPr>
        <w:t>C. PRACTICAL IMPLICATIONS AND NEXT STEPS</w:t>
      </w:r>
    </w:p>
    <w:p>
      <w:pPr>
        <w:spacing w:after="0" w:before="0" w:line="240" w:lineRule="exact"/>
        <w:ind w:firstLine="202"/>
        <w:jc w:val="both"/>
      </w:pPr>
      <w:r>
        <w:rPr>
          <w:rFonts w:ascii="Times New Roman" w:hAnsi="Times New Roman"/>
          <w:b/>
          <w:sz w:val="20"/>
        </w:rPr>
        <w:t>A checklist for publishing an authenticity dataset.</w:t>
      </w:r>
      <w:r>
        <w:rPr>
          <w:rFonts w:ascii="Times New Roman" w:hAnsi="Times New Roman"/>
          <w:sz w:val="20"/>
        </w:rPr>
        <w:t xml:space="preserve"> Documenting the acquisition procedure for each class, and stating whether both came from the same one, is a single sentence that would have made this study's central finding visible without any of its analysis. Each item below would have surfaced a defect reported here, and none requires a model to be trained:</w:t>
      </w:r>
    </w:p>
    <w:p>
      <w:pPr>
        <w:pStyle w:val="ListBullet"/>
        <w:spacing w:after="40" w:line="240" w:lineRule="exact"/>
      </w:pPr>
      <w:r>
        <w:rPr>
          <w:rFonts w:ascii="Times New Roman" w:hAnsi="Times New Roman"/>
          <w:b/>
          <w:sz w:val="20"/>
        </w:rPr>
        <w:t>Acquisition-source balance.</w:t>
      </w:r>
      <w:r>
        <w:rPr>
          <w:rFonts w:ascii="Times New Roman" w:hAnsi="Times New Roman"/>
          <w:sz w:val="20"/>
        </w:rPr>
        <w:t xml:space="preserve"> Every capture condition — rig, camera, operator, location, lighting — must contribute </w:t>
      </w:r>
      <w:r>
        <w:rPr>
          <w:rFonts w:ascii="Times New Roman" w:hAnsi="Times New Roman"/>
          <w:i/>
          <w:sz w:val="20"/>
        </w:rPr>
        <w:t>both</w:t>
      </w:r>
      <w:r>
        <w:rPr>
          <w:rFonts w:ascii="Times New Roman" w:hAnsi="Times New Roman"/>
          <w:sz w:val="20"/>
        </w:rPr>
        <w:t xml:space="preserve"> classes. If authentic items are photographed on rig A, counterfeit items must be photographed on rig A too, and vice versa. A class obtained by a different route than the other is the mechanism this paper describes.</w:t>
      </w:r>
    </w:p>
    <w:p>
      <w:pPr>
        <w:pStyle w:val="ListBullet"/>
        <w:spacing w:after="40" w:line="240" w:lineRule="exact"/>
      </w:pPr>
      <w:r>
        <w:rPr>
          <w:rFonts w:ascii="Times New Roman" w:hAnsi="Times New Roman"/>
          <w:b/>
          <w:sz w:val="20"/>
        </w:rPr>
        <w:t>Format and encoding parity.</w:t>
      </w:r>
      <w:r>
        <w:rPr>
          <w:rFonts w:ascii="Times New Roman" w:hAnsi="Times New Roman"/>
          <w:sz w:val="20"/>
        </w:rPr>
        <w:t xml:space="preserve"> Store both classes in one container format at one encoder setting. Mixed </w:t>
      </w:r>
      <w:r>
        <w:rPr>
          <w:rFonts w:ascii="Consolas" w:hAnsi="Consolas"/>
          <w:sz w:val="18"/>
        </w:rPr>
        <w:t>.png</w:t>
      </w:r>
      <w:r>
        <w:rPr>
          <w:rFonts w:ascii="Times New Roman" w:hAnsi="Times New Roman"/>
          <w:sz w:val="20"/>
        </w:rPr>
        <w:t>/</w:t>
      </w:r>
      <w:r>
        <w:rPr>
          <w:rFonts w:ascii="Consolas" w:hAnsi="Consolas"/>
          <w:sz w:val="18"/>
        </w:rPr>
        <w:t>.jpg</w:t>
      </w:r>
      <w:r>
        <w:rPr>
          <w:rFonts w:ascii="Times New Roman" w:hAnsi="Times New Roman"/>
          <w:sz w:val="20"/>
        </w:rPr>
        <w:t>, native-resolution discrepancies and per-class filename conventions each reproduce the label without a pixel being read.</w:t>
      </w:r>
    </w:p>
    <w:p>
      <w:pPr>
        <w:pStyle w:val="ListBullet"/>
        <w:spacing w:after="40" w:line="240" w:lineRule="exact"/>
      </w:pPr>
      <w:r>
        <w:rPr>
          <w:rFonts w:ascii="Times New Roman" w:hAnsi="Times New Roman"/>
          <w:b/>
          <w:sz w:val="20"/>
        </w:rPr>
        <w:t>Report the audit score before the model score.</w:t>
      </w:r>
      <w:r>
        <w:rPr>
          <w:rFonts w:ascii="Times New Roman" w:hAnsi="Times New Roman"/>
          <w:sz w:val="20"/>
        </w:rPr>
        <w:t xml:space="preserve"> Publish the </w:t>
      </w:r>
      <w:r>
        <w:rPr>
          <w:rFonts w:ascii="Times New Roman" w:hAnsi="Times New Roman"/>
          <w:i/>
          <w:sz w:val="20"/>
        </w:rPr>
        <w:t>A_(pure)</w:t>
      </w:r>
      <w:r>
        <w:rPr>
          <w:rFonts w:ascii="Times New Roman" w:hAnsi="Times New Roman"/>
          <w:sz w:val="20"/>
        </w:rPr>
        <w:t xml:space="preserve"> audit result — container format at minimum — alongside baseline performance, and state the partition it was computed on. A dataset card that reports 1.000 is more useful than one that reports nothing.</w:t>
      </w:r>
    </w:p>
    <w:p>
      <w:pPr>
        <w:pStyle w:val="ListBullet"/>
        <w:spacing w:after="40" w:line="240" w:lineRule="exact"/>
      </w:pPr>
      <w:r>
        <w:rPr>
          <w:rFonts w:ascii="Times New Roman" w:hAnsi="Times New Roman"/>
          <w:b/>
          <w:sz w:val="20"/>
        </w:rPr>
        <w:t>Ship a raw archive, and document the collection protocol.</w:t>
      </w:r>
      <w:r>
        <w:rPr>
          <w:rFonts w:ascii="Times New Roman" w:hAnsi="Times New Roman"/>
          <w:sz w:val="20"/>
        </w:rPr>
        <w:t xml:space="preserve"> Publisher-side resizing and re-encoding erase the traces a cheap audit reads without removing the confound beneath them, which is how one archive audited here scores at chance while being confounded at least as severely as the case study.</w:t>
      </w:r>
    </w:p>
    <w:p>
      <w:pPr>
        <w:pStyle w:val="ListBullet"/>
        <w:spacing w:after="40" w:line="240" w:lineRule="exact"/>
      </w:pPr>
      <w:r>
        <w:rPr>
          <w:rFonts w:ascii="Times New Roman" w:hAnsi="Times New Roman"/>
          <w:b/>
          <w:sz w:val="20"/>
        </w:rPr>
        <w:t>Partition the shipped split, and say so.</w:t>
      </w:r>
      <w:r>
        <w:rPr>
          <w:rFonts w:ascii="Times New Roman" w:hAnsi="Times New Roman"/>
          <w:sz w:val="20"/>
        </w:rPr>
        <w:t xml:space="preserve"> Verify that the train, validation and test folders are disjoint; one archive audited here ships a training folder that is a superset of both others.</w:t>
      </w:r>
    </w:p>
    <w:p>
      <w:pPr>
        <w:spacing w:after="0" w:before="0" w:line="240" w:lineRule="exact"/>
        <w:ind w:firstLine="202"/>
        <w:jc w:val="both"/>
      </w:pPr>
      <w:r>
        <w:rPr>
          <w:rFonts w:ascii="Times New Roman" w:hAnsi="Times New Roman"/>
          <w:b/>
          <w:sz w:val="20"/>
        </w:rPr>
        <w:t>For reviewers.</w:t>
      </w:r>
      <w:r>
        <w:rPr>
          <w:rFonts w:ascii="Times New Roman" w:hAnsi="Times New Roman"/>
          <w:sz w:val="20"/>
        </w:rPr>
        <w:t xml:space="preserve"> Ask how each class was obtained, and whether the model was evaluated on data the authors did not collect. On this dataset either question would have been decisive.</w:t>
      </w:r>
    </w:p>
    <w:p>
      <w:pPr>
        <w:spacing w:after="0" w:before="0" w:line="240" w:lineRule="exact"/>
        <w:ind w:firstLine="202"/>
        <w:jc w:val="both"/>
      </w:pPr>
      <w:r>
        <w:rPr>
          <w:rFonts w:ascii="Times New Roman" w:hAnsi="Times New Roman"/>
          <w:b/>
          <w:sz w:val="20"/>
        </w:rPr>
        <w:t>For practitioners.</w:t>
      </w:r>
      <w:r>
        <w:rPr>
          <w:rFonts w:ascii="Times New Roman" w:hAnsi="Times New Roman"/>
          <w:sz w:val="20"/>
        </w:rPr>
        <w:t xml:space="preserve"> Run the audit of Section III-E before training; treat a high score on container format as disqualifying for any in-distribution claim about the intended task; and re-run the audit after any correction.</w:t>
      </w:r>
    </w:p>
    <w:p>
      <w:pPr>
        <w:spacing w:after="0" w:before="0" w:line="240" w:lineRule="exact"/>
        <w:ind w:firstLine="202"/>
        <w:jc w:val="both"/>
      </w:pPr>
      <w:r>
        <w:rPr>
          <w:rFonts w:ascii="Times New Roman" w:hAnsi="Times New Roman"/>
          <w:sz w:val="20"/>
        </w:rPr>
        <w:t xml:space="preserve">The evaluation this study most needs is one it could not build: a </w:t>
      </w:r>
      <w:r>
        <w:rPr>
          <w:rFonts w:ascii="Times New Roman" w:hAnsi="Times New Roman"/>
          <w:b/>
          <w:sz w:val="20"/>
        </w:rPr>
        <w:t>two-class external set that varies the photographic setting</w:t>
      </w:r>
      <w:r>
        <w:rPr>
          <w:rFonts w:ascii="Times New Roman" w:hAnsi="Times New Roman"/>
          <w:sz w:val="20"/>
        </w:rPr>
        <w:t xml:space="preserve"> — both classes photographed against varied surfaces, cameras and lighting by people unconnected to the training data. It would test the outer-region cue of Section IV-E directly, convert the limited capture-condition shift of Section IV-D into a genuine acquisition shift, and supply the one cell Table 8 still records as not measured. The balanced set of Section IV-C reaches half of that: two classes, but a source shift with file-level encoding conditions standardized by construction rather than photographic acquisition varied. Building the other half needs photography, not harvesting, and the durable fix is at collection time anyway — several independent photography setups, each contributing both classes. Lower-priority directions are fine-tuning the backbones, which the frozen-backbone numbers bound in neither direction; a survey with a defined sampling frame; and a content-aware attribution measure using annotated product boxes.</w:t>
      </w:r>
    </w:p>
    <w:p>
      <w:pPr>
        <w:keepNext/>
        <w:spacing w:before="160" w:after="60" w:line="240" w:lineRule="exact"/>
        <w:jc w:val="left"/>
      </w:pPr>
      <w:r>
        <w:rPr>
          <w:rFonts w:ascii="Arial" w:hAnsi="Arial"/>
          <w:b/>
          <w:i/>
          <w:color w:val="000000"/>
          <w:sz w:val="18"/>
        </w:rPr>
        <w:t>D. LIMITATIONS</w:t>
      </w:r>
    </w:p>
    <w:p>
      <w:pPr>
        <w:spacing w:after="0" w:before="0" w:line="240" w:lineRule="exact"/>
        <w:ind w:firstLine="202"/>
        <w:jc w:val="both"/>
      </w:pPr>
      <w:r>
        <w:rPr>
          <w:rFonts w:ascii="Times New Roman" w:hAnsi="Times New Roman"/>
          <w:sz w:val="20"/>
        </w:rPr>
        <w:t>Table 8 separates what this study demonstrates from what it hypothesizes or leaves unmeasured; Section S-II gives the evidence for and against each limitation stated below.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8. </w:t>
      </w:r>
      <w:r>
        <w:rPr>
          <w:rFonts w:ascii="Arial" w:hAnsi="Arial"/>
          <w:color w:val="000000"/>
          <w:sz w:val="14"/>
        </w:rPr>
        <w:t>Evidence status of the claims in this paper, on the three levels set out in Section I-A. "Demonstrated" means measured here on the data named; "supported" means consistent with evidence reported here or elsewhere but not measured as a claim in its own right; "not established" means the paper does not settle the claim, either arguing for it without measuring it or measuring something that leaves it open; "not measured" means the quantity was never estimated at all.</w:t>
      </w: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Claim</w:t>
            </w:r>
          </w:p>
        </w:tc>
        <w:tc>
          <w:tcPr>
            <w:tcW w:type="dxa" w:w="3355"/>
            <w:shd w:val="clear" w:color="auto" w:fill="DCE6EF"/>
          </w:tcPr>
          <w:p>
            <w:pPr>
              <w:spacing w:after="20" w:before="20"/>
              <w:jc w:val="center"/>
            </w:pPr>
            <w:r>
              <w:rPr>
                <w:b/>
              </w:rPr>
            </w:r>
            <w:r>
              <w:rPr>
                <w:rFonts w:ascii="Arial" w:hAnsi="Arial"/>
                <w:b/>
                <w:sz w:val="14"/>
              </w:rPr>
              <w:t>Status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sz w:val="14"/>
              </w:rPr>
              <w:t>The case-study dataset is provenance-confounded</w:t>
            </w:r>
          </w:p>
        </w:tc>
        <w:tc>
          <w:tcPr>
            <w:tcW w:type="dxa" w:w="3355"/>
          </w:tcPr>
          <w:p>
            <w:pPr>
              <w:spacing w:after="20" w:before="20"/>
              <w:jc w:val="center"/>
            </w:pPr>
            <w:r/>
            <w:r>
              <w:rPr>
                <w:rFonts w:ascii="Arial" w:hAnsi="Arial"/>
                <w:sz w:val="14"/>
              </w:rPr>
              <w:t>Demonstrated: container format predicts the label on 510/510 images</w:t>
            </w:r>
          </w:p>
        </w:tc>
        <w:tc>
          <w:tcPr>
            <w:tcW w:type="dxa" w:w="3355"/>
          </w:tcPr>
          <w:p>
            <w:pPr>
              <w:spacing w:after="20" w:before="20"/>
              <w:jc w:val="center"/>
            </w:pPr>
            <w:r/>
            <w:r>
              <w:rPr>
                <w:rFonts w:ascii="Arial" w:hAnsi="Arial"/>
                <w:sz w:val="14"/>
              </w:rPr>
              <w:t>Section IV-A</w:t>
            </w:r>
          </w:p>
        </w:tc>
      </w:tr>
      <w:tr>
        <w:tc>
          <w:tcPr>
            <w:tcW w:type="dxa" w:w="3355"/>
          </w:tcPr>
          <w:p>
            <w:pPr>
              <w:spacing w:after="20" w:before="20"/>
              <w:jc w:val="left"/>
            </w:pPr>
            <w:r/>
            <w:r>
              <w:rPr>
                <w:rFonts w:ascii="Arial" w:hAnsi="Arial"/>
                <w:sz w:val="14"/>
              </w:rPr>
              <w:t>Acquisition variables alone reproduce its labels</w:t>
            </w:r>
          </w:p>
        </w:tc>
        <w:tc>
          <w:tcPr>
            <w:tcW w:type="dxa" w:w="3355"/>
          </w:tcPr>
          <w:p>
            <w:pPr>
              <w:spacing w:after="20" w:before="20"/>
              <w:jc w:val="center"/>
            </w:pPr>
            <w:r/>
            <w:r>
              <w:rPr>
                <w:rFonts w:ascii="Arial" w:hAnsi="Arial"/>
                <w:sz w:val="14"/>
              </w:rPr>
              <w:t>Demonstrated: 1.000 on the leakage-free partition, no pixels decoded</w:t>
            </w:r>
          </w:p>
        </w:tc>
        <w:tc>
          <w:tcPr>
            <w:tcW w:type="dxa" w:w="3355"/>
          </w:tcPr>
          <w:p>
            <w:pPr>
              <w:spacing w:after="20" w:before="20"/>
              <w:jc w:val="center"/>
            </w:pPr>
            <w:r/>
            <w:r>
              <w:rPr>
                <w:rFonts w:ascii="Arial" w:hAnsi="Arial"/>
                <w:sz w:val="14"/>
              </w:rPr>
              <w:t>Table 2</w:t>
            </w:r>
          </w:p>
        </w:tc>
      </w:tr>
      <w:tr>
        <w:tc>
          <w:tcPr>
            <w:tcW w:type="dxa" w:w="3355"/>
          </w:tcPr>
          <w:p>
            <w:pPr>
              <w:spacing w:after="20" w:before="20"/>
              <w:jc w:val="left"/>
            </w:pPr>
            <w:r/>
            <w:r>
              <w:rPr>
                <w:rFonts w:ascii="Arial" w:hAnsi="Arial"/>
                <w:sz w:val="14"/>
              </w:rPr>
              <w:t>In-distribution validation does not surface the confound</w:t>
            </w:r>
          </w:p>
        </w:tc>
        <w:tc>
          <w:tcPr>
            <w:tcW w:type="dxa" w:w="3355"/>
          </w:tcPr>
          <w:p>
            <w:pPr>
              <w:spacing w:after="20" w:before="20"/>
              <w:jc w:val="center"/>
            </w:pPr>
            <w:r/>
            <w:r>
              <w:rPr>
                <w:rFonts w:ascii="Arial" w:hAnsi="Arial"/>
                <w:sz w:val="14"/>
              </w:rPr>
              <w:t>Demonstrated on this dataset: stratification, grouped cross-validation, bootstrap intervals and near-duplicate grouping all pass</w:t>
            </w:r>
          </w:p>
        </w:tc>
        <w:tc>
          <w:tcPr>
            <w:tcW w:type="dxa" w:w="3355"/>
          </w:tcPr>
          <w:p>
            <w:pPr>
              <w:spacing w:after="20" w:before="20"/>
              <w:jc w:val="center"/>
            </w:pPr>
            <w:r/>
            <w:r>
              <w:rPr>
                <w:rFonts w:ascii="Arial" w:hAnsi="Arial"/>
                <w:sz w:val="14"/>
              </w:rPr>
              <w:t>Sections IV-A, IV-B</w:t>
            </w:r>
          </w:p>
        </w:tc>
      </w:tr>
      <w:tr>
        <w:tc>
          <w:tcPr>
            <w:tcW w:type="dxa" w:w="3355"/>
          </w:tcPr>
          <w:p>
            <w:pPr>
              <w:spacing w:after="20" w:before="20"/>
              <w:jc w:val="left"/>
            </w:pPr>
            <w:r/>
            <w:r>
              <w:rPr>
                <w:rFonts w:ascii="Arial" w:hAnsi="Arial"/>
                <w:sz w:val="14"/>
              </w:rPr>
              <w:t>Near-duplicate leakage is the smaller effect here</w:t>
            </w:r>
          </w:p>
        </w:tc>
        <w:tc>
          <w:tcPr>
            <w:tcW w:type="dxa" w:w="3355"/>
          </w:tcPr>
          <w:p>
            <w:pPr>
              <w:spacing w:after="20" w:before="20"/>
              <w:jc w:val="center"/>
            </w:pPr>
            <w:r/>
            <w:r>
              <w:rPr>
                <w:rFonts w:ascii="Arial" w:hAnsi="Arial"/>
                <w:sz w:val="14"/>
              </w:rPr>
              <w:t>Demonstrated: +0.3 points [−1.9, +2.4] on a fixed test set</w:t>
            </w:r>
          </w:p>
        </w:tc>
        <w:tc>
          <w:tcPr>
            <w:tcW w:type="dxa" w:w="3355"/>
          </w:tcPr>
          <w:p>
            <w:pPr>
              <w:spacing w:after="20" w:before="20"/>
              <w:jc w:val="center"/>
            </w:pPr>
            <w:r/>
            <w:r>
              <w:rPr>
                <w:rFonts w:ascii="Arial" w:hAnsi="Arial"/>
                <w:sz w:val="14"/>
              </w:rPr>
              <w:t>Section IV-B</w:t>
            </w:r>
          </w:p>
        </w:tc>
      </w:tr>
      <w:tr>
        <w:tc>
          <w:tcPr>
            <w:tcW w:type="dxa" w:w="3355"/>
          </w:tcPr>
          <w:p>
            <w:pPr>
              <w:spacing w:after="20" w:before="20"/>
              <w:jc w:val="left"/>
            </w:pPr>
            <w:r/>
            <w:r>
              <w:rPr>
                <w:rFonts w:ascii="Arial" w:hAnsi="Arial"/>
                <w:sz w:val="14"/>
              </w:rPr>
              <w:t>External acquisition shift exposes the failure</w:t>
            </w:r>
          </w:p>
        </w:tc>
        <w:tc>
          <w:tcPr>
            <w:tcW w:type="dxa" w:w="3355"/>
          </w:tcPr>
          <w:p>
            <w:pPr>
              <w:spacing w:after="20" w:before="20"/>
              <w:jc w:val="center"/>
            </w:pPr>
            <w:r/>
            <w:r>
              <w:rPr>
                <w:rFonts w:ascii="Arial" w:hAnsi="Arial"/>
                <w:sz w:val="14"/>
              </w:rPr>
              <w:t>Demonstrated for authentic-class specificity: the model reaching 97.4% authentic-class accuracy on its own internal test partition returns 6.0% authentic-class specificity under the acquisition shift; the two are separate evaluations, not a paired measurement</w:t>
            </w:r>
          </w:p>
        </w:tc>
        <w:tc>
          <w:tcPr>
            <w:tcW w:type="dxa" w:w="3355"/>
          </w:tcPr>
          <w:p>
            <w:pPr>
              <w:spacing w:after="20" w:before="20"/>
              <w:jc w:val="center"/>
            </w:pPr>
            <w:r/>
            <w:r>
              <w:rPr>
                <w:rFonts w:ascii="Arial" w:hAnsi="Arial"/>
                <w:sz w:val="14"/>
              </w:rPr>
              <w:t>Table 5</w:t>
            </w:r>
          </w:p>
        </w:tc>
      </w:tr>
      <w:tr>
        <w:tc>
          <w:tcPr>
            <w:tcW w:type="dxa" w:w="3355"/>
          </w:tcPr>
          <w:p>
            <w:pPr>
              <w:spacing w:after="20" w:before="20"/>
              <w:jc w:val="left"/>
            </w:pPr>
            <w:r/>
            <w:r>
              <w:rPr>
                <w:rFonts w:ascii="Arial" w:hAnsi="Arial"/>
                <w:sz w:val="14"/>
              </w:rPr>
              <w:t>Normalization removes much of the acquisition signal</w:t>
            </w:r>
          </w:p>
        </w:tc>
        <w:tc>
          <w:tcPr>
            <w:tcW w:type="dxa" w:w="3355"/>
          </w:tcPr>
          <w:p>
            <w:pPr>
              <w:spacing w:after="20" w:before="20"/>
              <w:jc w:val="center"/>
            </w:pPr>
            <w:r/>
            <w:r>
              <w:rPr>
                <w:rFonts w:ascii="Arial" w:hAnsi="Arial"/>
                <w:sz w:val="14"/>
              </w:rPr>
              <w:t>Demonstrated for M2 and M4; not demonstrated for M3</w:t>
            </w:r>
          </w:p>
        </w:tc>
        <w:tc>
          <w:tcPr>
            <w:tcW w:type="dxa" w:w="3355"/>
          </w:tcPr>
          <w:p>
            <w:pPr>
              <w:spacing w:after="20" w:before="20"/>
              <w:jc w:val="center"/>
            </w:pPr>
            <w:r/>
            <w:r>
              <w:rPr>
                <w:rFonts w:ascii="Arial" w:hAnsi="Arial"/>
                <w:sz w:val="14"/>
              </w:rPr>
              <w:t>Tables 5 and 6</w:t>
            </w:r>
          </w:p>
        </w:tc>
      </w:tr>
      <w:tr>
        <w:tc>
          <w:tcPr>
            <w:tcW w:type="dxa" w:w="3355"/>
          </w:tcPr>
          <w:p>
            <w:pPr>
              <w:spacing w:after="20" w:before="20"/>
              <w:jc w:val="left"/>
            </w:pPr>
            <w:r/>
            <w:r>
              <w:rPr>
                <w:rFonts w:ascii="Arial" w:hAnsi="Arial"/>
                <w:sz w:val="14"/>
              </w:rPr>
              <w:t>The corrected models recognize packaging</w:t>
            </w:r>
          </w:p>
        </w:tc>
        <w:tc>
          <w:tcPr>
            <w:tcW w:type="dxa" w:w="3355"/>
          </w:tcPr>
          <w:p>
            <w:pPr>
              <w:spacing w:after="20" w:before="20"/>
              <w:jc w:val="center"/>
            </w:pPr>
            <w:r/>
            <w:r>
              <w:rPr>
                <w:rFonts w:ascii="Arial" w:hAnsi="Arial"/>
                <w:sz w:val="14"/>
              </w:rPr>
              <w:t>Not established: a center substitution costing neither backbone anything does not demonstrate packaging recognition</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The corrected models depend on the photographic surround</w:t>
            </w:r>
          </w:p>
        </w:tc>
        <w:tc>
          <w:tcPr>
            <w:tcW w:type="dxa" w:w="3355"/>
          </w:tcPr>
          <w:p>
            <w:pPr>
              <w:spacing w:after="20" w:before="20"/>
              <w:jc w:val="center"/>
            </w:pPr>
            <w:r/>
            <w:r>
              <w:rPr>
                <w:rFonts w:ascii="Arial" w:hAnsi="Arial"/>
                <w:sz w:val="14"/>
              </w:rPr>
              <w:t>Demonstrated in both acquisition-shift conditions: overwriting the outer half costs 22–50 points</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Correcting one provenance signal can expose another</w:t>
            </w:r>
          </w:p>
        </w:tc>
        <w:tc>
          <w:tcPr>
            <w:tcW w:type="dxa" w:w="3355"/>
          </w:tcPr>
          <w:p>
            <w:pPr>
              <w:spacing w:after="20" w:before="20"/>
              <w:jc w:val="center"/>
            </w:pPr>
            <w:r/>
            <w:r>
              <w:rPr>
                <w:rFonts w:ascii="Arial" w:hAnsi="Arial"/>
                <w:sz w:val="14"/>
              </w:rPr>
              <w:t>Demonstrated on this dataset: the corrected models' recovered specificity localizes to the photographic surround, an acquisition property the audit does not test</w:t>
            </w:r>
          </w:p>
        </w:tc>
        <w:tc>
          <w:tcPr>
            <w:tcW w:type="dxa" w:w="3355"/>
          </w:tcPr>
          <w:p>
            <w:pPr>
              <w:spacing w:after="20" w:before="20"/>
              <w:jc w:val="center"/>
            </w:pPr>
            <w:r/>
            <w:r>
              <w:rPr>
                <w:rFonts w:ascii="Arial" w:hAnsi="Arial"/>
                <w:sz w:val="14"/>
              </w:rPr>
              <w:t>Table 7, Section V-B</w:t>
            </w:r>
          </w:p>
        </w:tc>
      </w:tr>
      <w:tr>
        <w:tc>
          <w:tcPr>
            <w:tcW w:type="dxa" w:w="3355"/>
          </w:tcPr>
          <w:p>
            <w:pPr>
              <w:spacing w:after="20" w:before="20"/>
              <w:jc w:val="left"/>
            </w:pPr>
            <w:r/>
            <w:r>
              <w:rPr>
                <w:rFonts w:ascii="Arial" w:hAnsi="Arial"/>
                <w:sz w:val="14"/>
              </w:rPr>
              <w:t>The corrected models generalize across acquisition</w:t>
            </w:r>
          </w:p>
        </w:tc>
        <w:tc>
          <w:tcPr>
            <w:tcW w:type="dxa" w:w="3355"/>
          </w:tcPr>
          <w:p>
            <w:pPr>
              <w:spacing w:after="20" w:before="20"/>
              <w:jc w:val="center"/>
            </w:pPr>
            <w:r/>
            <w:r>
              <w:rPr>
                <w:rFonts w:ascii="Arial" w:hAnsi="Arial"/>
                <w:sz w:val="14"/>
              </w:rPr>
              <w:t>Not established: conditions C and D come from one archive and share one backdrop, so only a device and lighting shift was tested</w:t>
            </w:r>
          </w:p>
        </w:tc>
        <w:tc>
          <w:tcPr>
            <w:tcW w:type="dxa" w:w="3355"/>
          </w:tcPr>
          <w:p>
            <w:pPr>
              <w:spacing w:after="20" w:before="20"/>
              <w:jc w:val="center"/>
            </w:pPr>
            <w:r/>
            <w:r>
              <w:rPr>
                <w:rFonts w:ascii="Arial" w:hAnsi="Arial"/>
                <w:sz w:val="14"/>
              </w:rPr>
              <w:t>Sections III-D, IV-D</w:t>
            </w:r>
          </w:p>
        </w:tc>
      </w:tr>
      <w:tr>
        <w:tc>
          <w:tcPr>
            <w:tcW w:type="dxa" w:w="3355"/>
          </w:tcPr>
          <w:p>
            <w:pPr>
              <w:spacing w:after="20" w:before="20"/>
              <w:jc w:val="left"/>
            </w:pPr>
            <w:r/>
            <w:r>
              <w:rPr>
                <w:rFonts w:ascii="Arial" w:hAnsi="Arial"/>
                <w:sz w:val="14"/>
              </w:rPr>
              <w:t>Two-class performance on an independent balanced set</w:t>
            </w:r>
          </w:p>
        </w:tc>
        <w:tc>
          <w:tcPr>
            <w:tcW w:type="dxa" w:w="3355"/>
          </w:tcPr>
          <w:p>
            <w:pPr>
              <w:spacing w:after="20" w:before="20"/>
              <w:jc w:val="center"/>
            </w:pPr>
            <w:r/>
            <w:r>
              <w:rPr>
                <w:rFonts w:ascii="Arial" w:hAnsi="Arial"/>
                <w:sz w:val="14"/>
              </w:rPr>
              <w:t>Demonstrated: balanced accuracy 0.478, 0.478, 0.543 and 0.652 on 46 authentic against 46 counterfeit, only M4's interval excluding chance; ROC-AUC 0.403 to 0.713</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One of the four models is the degenerate all-counterfeit classifier</w:t>
            </w:r>
          </w:p>
        </w:tc>
        <w:tc>
          <w:tcPr>
            <w:tcW w:type="dxa" w:w="3355"/>
          </w:tcPr>
          <w:p>
            <w:pPr>
              <w:spacing w:after="20" w:before="20"/>
              <w:jc w:val="center"/>
            </w:pPr>
            <w:r/>
            <w:r>
              <w:rPr>
                <w:rFonts w:ascii="Arial" w:hAnsi="Arial"/>
                <w:sz w:val="14"/>
              </w:rPr>
              <w:t>Demonstrated: M1 calls 90 of 92 images counterfeit, for 0.957 recall at 0.000 specificity and 0.478 balanced accuracy</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These models detect counterfeit medicine in the field</w:t>
            </w:r>
          </w:p>
        </w:tc>
        <w:tc>
          <w:tcPr>
            <w:tcW w:type="dxa" w:w="3355"/>
          </w:tcPr>
          <w:p>
            <w:pPr>
              <w:spacing w:after="20" w:before="20"/>
              <w:jc w:val="center"/>
            </w:pPr>
            <w:r/>
            <w:r>
              <w:rPr>
                <w:rFonts w:ascii="Arial" w:hAnsi="Arial"/>
                <w:sz w:val="14"/>
              </w:rPr>
              <w:t>Not established: 92 images from two archives, chosen by a regulator and by volunteer uploaders, are not a sample of any supply chain</w:t>
            </w:r>
          </w:p>
        </w:tc>
        <w:tc>
          <w:tcPr>
            <w:tcW w:type="dxa" w:w="3355"/>
          </w:tcPr>
          <w:p>
            <w:pPr>
              <w:spacing w:after="20" w:before="20"/>
              <w:jc w:val="center"/>
            </w:pPr>
            <w:r/>
            <w:r>
              <w:rPr>
                <w:rFonts w:ascii="Arial" w:hAnsi="Arial"/>
                <w:sz w:val="14"/>
              </w:rPr>
              <w:t>Sections IV-C, V-D</w:t>
            </w:r>
          </w:p>
        </w:tc>
      </w:tr>
      <w:tr>
        <w:tc>
          <w:tcPr>
            <w:tcW w:type="dxa" w:w="3355"/>
          </w:tcPr>
          <w:p>
            <w:pPr>
              <w:spacing w:after="20" w:before="20"/>
              <w:jc w:val="left"/>
            </w:pPr>
            <w:r/>
            <w:r>
              <w:rPr>
                <w:rFonts w:ascii="Arial" w:hAnsi="Arial"/>
                <w:sz w:val="14"/>
              </w:rPr>
              <w:t>Two-class performance under acquisition shift</w:t>
            </w:r>
          </w:p>
        </w:tc>
        <w:tc>
          <w:tcPr>
            <w:tcW w:type="dxa" w:w="3355"/>
          </w:tcPr>
          <w:p>
            <w:pPr>
              <w:spacing w:after="20" w:before="20"/>
              <w:jc w:val="center"/>
            </w:pPr>
            <w:r/>
            <w:r>
              <w:rPr>
                <w:rFonts w:ascii="Arial" w:hAnsi="Arial"/>
                <w:sz w:val="14"/>
              </w:rPr>
              <w:t>Not measured: the balanced set shifts source and standardizes file-level encoding conditions only; the acquisition-shift conditions hold no counterfeit image</w:t>
            </w:r>
          </w:p>
        </w:tc>
        <w:tc>
          <w:tcPr>
            <w:tcW w:type="dxa" w:w="3355"/>
          </w:tcPr>
          <w:p>
            <w:pPr>
              <w:spacing w:after="20" w:before="20"/>
              <w:jc w:val="center"/>
            </w:pPr>
            <w:r/>
            <w:r>
              <w:rPr>
                <w:rFonts w:ascii="Arial" w:hAnsi="Arial"/>
                <w:sz w:val="14"/>
              </w:rPr>
              <w:t>Sections III-D, IV-C, IV-D</w:t>
            </w:r>
          </w:p>
        </w:tc>
      </w:tr>
      <w:tr>
        <w:tc>
          <w:tcPr>
            <w:tcW w:type="dxa" w:w="3355"/>
          </w:tcPr>
          <w:p>
            <w:pPr>
              <w:spacing w:after="20" w:before="20"/>
              <w:jc w:val="left"/>
            </w:pPr>
            <w:r/>
            <w:r>
              <w:rPr>
                <w:rFonts w:ascii="Arial" w:hAnsi="Arial"/>
                <w:sz w:val="14"/>
              </w:rPr>
              <w:t>Asymmetric sourcing produces this confound in general</w:t>
            </w:r>
          </w:p>
        </w:tc>
        <w:tc>
          <w:tcPr>
            <w:tcW w:type="dxa" w:w="3355"/>
          </w:tcPr>
          <w:p>
            <w:pPr>
              <w:spacing w:after="20" w:before="20"/>
              <w:jc w:val="center"/>
            </w:pPr>
            <w:r/>
            <w:r>
              <w:rPr>
                <w:rFonts w:ascii="Arial" w:hAnsi="Arial"/>
                <w:sz w:val="14"/>
              </w:rPr>
              <w:t>Not established: a mechanism with a stated falsifier</w:t>
            </w:r>
          </w:p>
        </w:tc>
        <w:tc>
          <w:tcPr>
            <w:tcW w:type="dxa" w:w="3355"/>
          </w:tcPr>
          <w:p>
            <w:pPr>
              <w:spacing w:after="20" w:before="20"/>
              <w:jc w:val="center"/>
            </w:pPr>
            <w:r/>
            <w:r>
              <w:rPr>
                <w:rFonts w:ascii="Arial" w:hAnsi="Arial"/>
                <w:sz w:val="14"/>
              </w:rPr>
              <w:t>Section V-B</w:t>
            </w:r>
          </w:p>
        </w:tc>
      </w:tr>
      <w:tr>
        <w:tc>
          <w:tcPr>
            <w:tcW w:type="dxa" w:w="3355"/>
          </w:tcPr>
          <w:p>
            <w:pPr>
              <w:spacing w:after="20" w:before="20"/>
              <w:jc w:val="left"/>
            </w:pPr>
            <w:r/>
            <w:r>
              <w:rPr>
                <w:rFonts w:ascii="Arial" w:hAnsi="Arial"/>
                <w:sz w:val="14"/>
              </w:rPr>
              <w:t>How often the confound occurs across image datasets</w:t>
            </w:r>
          </w:p>
        </w:tc>
        <w:tc>
          <w:tcPr>
            <w:tcW w:type="dxa" w:w="3355"/>
          </w:tcPr>
          <w:p>
            <w:pPr>
              <w:spacing w:after="20" w:before="20"/>
              <w:jc w:val="center"/>
            </w:pPr>
            <w:r/>
            <w:r>
              <w:rPr>
                <w:rFonts w:ascii="Arial" w:hAnsi="Arial"/>
                <w:sz w:val="14"/>
              </w:rPr>
              <w:t>Not established: seven datasets audited, no sampling frame</w:t>
            </w:r>
          </w:p>
        </w:tc>
        <w:tc>
          <w:tcPr>
            <w:tcW w:type="dxa" w:w="3355"/>
          </w:tcPr>
          <w:p>
            <w:pPr>
              <w:spacing w:after="20" w:before="20"/>
              <w:jc w:val="center"/>
            </w:pPr>
            <w:r/>
            <w:r>
              <w:rPr>
                <w:rFonts w:ascii="Arial" w:hAnsi="Arial"/>
                <w:sz w:val="14"/>
              </w:rPr>
              <w:t>Section S-I-W</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The two external evaluations do not cover the same axis, and neither covers the one that matters most.</w:t>
      </w:r>
      <w:r>
        <w:rPr>
          <w:rFonts w:ascii="Times New Roman" w:hAnsi="Times New Roman"/>
          <w:sz w:val="20"/>
        </w:rPr>
        <w:t xml:space="preserve"> The balanced test measures both directions at once but shifts </w:t>
      </w:r>
      <w:r>
        <w:rPr>
          <w:rFonts w:ascii="Times New Roman" w:hAnsi="Times New Roman"/>
          <w:i/>
          <w:sz w:val="20"/>
        </w:rPr>
        <w:t>source</w:t>
      </w:r>
      <w:r>
        <w:rPr>
          <w:rFonts w:ascii="Times New Roman" w:hAnsi="Times New Roman"/>
          <w:sz w:val="20"/>
        </w:rPr>
        <w:t xml:space="preserve"> while standardizing file-level encoding conditions by construction; the acquisition-shift experiment moves the acquisition axis but holds one class only. </w:t>
      </w:r>
      <w:r>
        <w:rPr>
          <w:rFonts w:ascii="Times New Roman" w:hAnsi="Times New Roman"/>
          <w:b/>
          <w:sz w:val="20"/>
        </w:rPr>
        <w:t>Two-class performance under acquisition shift is therefore measured nowhere in this study</w:t>
      </w:r>
      <w:r>
        <w:rPr>
          <w:rFonts w:ascii="Times New Roman" w:hAnsi="Times New Roman"/>
          <w:sz w:val="20"/>
        </w:rPr>
        <w:t>, and neither is end-to-end authentication performance. The synthetic proxy is a corruption-robustness test in the spirit of ImageNet-C [12], never a recall measurement.</w:t>
      </w:r>
    </w:p>
    <w:p>
      <w:pPr>
        <w:spacing w:after="0" w:before="0" w:line="240" w:lineRule="exact"/>
        <w:ind w:firstLine="202"/>
        <w:jc w:val="both"/>
      </w:pPr>
      <w:r>
        <w:rPr>
          <w:rFonts w:ascii="Times New Roman" w:hAnsi="Times New Roman"/>
          <w:b/>
          <w:sz w:val="20"/>
        </w:rPr>
        <w:t>What the external evidence establishes is correspondingly narrow.</w:t>
      </w:r>
      <w:r>
        <w:rPr>
          <w:rFonts w:ascii="Times New Roman" w:hAnsi="Times New Roman"/>
          <w:sz w:val="20"/>
        </w:rPr>
        <w:t xml:space="preserve"> These models fail to recognize independently sourced photographs of authentic-labeled products as authentic under a capture shift; and on an independent balanced set they run from 0.478 to 0.652 balanced accuracy, with three of four intervals covering chance and two ROC-AUCs below it. Both findings are disqualifying for deployment. Neither is an estimate of how such a model would behave on medicines a patient might actually be handed.</w:t>
      </w:r>
    </w:p>
    <w:p>
      <w:pPr>
        <w:spacing w:after="0" w:before="0" w:line="240" w:lineRule="exact"/>
        <w:ind w:firstLine="202"/>
        <w:jc w:val="both"/>
      </w:pPr>
      <w:r>
        <w:rPr>
          <w:rFonts w:ascii="Times New Roman" w:hAnsi="Times New Roman"/>
          <w:b/>
          <w:sz w:val="20"/>
        </w:rPr>
        <w:t>No published two-class set with matched acquisition exists, which is why one had to be assembled.</w:t>
      </w:r>
      <w:r>
        <w:rPr>
          <w:rFonts w:ascii="Times New Roman" w:hAnsi="Times New Roman"/>
          <w:sz w:val="20"/>
        </w:rPr>
        <w:t xml:space="preserve"> Of the three archives inventoried, the one verified independent of the modeling pool carries no counterfeit label; the one that does is not external to that pool at all, 42.3% of the Kaggle pool having a near-duplicate in it, leaves two usable counterfeit photographs, and has had its acquisition traces erased by publisher-side resizing. The regulatory archives cannot close the gap alone, for the reason Section III-D gives. The balanced set answers this by pairing two independent sources and standardizing file-level encoding conditions at ingestion — which is a construction rather than a discovery, and carries the costs the next two paragraphs state.</w:t>
      </w:r>
    </w:p>
    <w:p>
      <w:pPr>
        <w:spacing w:after="0" w:before="0" w:line="240" w:lineRule="exact"/>
        <w:ind w:firstLine="202"/>
        <w:jc w:val="both"/>
      </w:pPr>
      <w:r>
        <w:rPr>
          <w:rFonts w:ascii="Times New Roman" w:hAnsi="Times New Roman"/>
          <w:b/>
          <w:sz w:val="20"/>
        </w:rPr>
        <w:t>The balanced set is 92 images from two archives, and its audit is not zero.</w:t>
      </w:r>
      <w:r>
        <w:rPr>
          <w:rFonts w:ascii="Times New Roman" w:hAnsi="Times New Roman"/>
          <w:sz w:val="20"/>
        </w:rPr>
        <w:t xml:space="preserve"> Each class is 46, so every interval in Table 4 is wide: M4's balanced accuracy spans [0.554, 0.750], and no pair of models in that table is separated by more than sampling noise. The provenance audit on the finished set returns 0.620 jointly, above the 0.500 chance line, with encoded file size the residual axis — expected at fixed resolution and quality, where file size tracks scene complexity, but not nothing. Both classes are convenience samples of what someone chose to publish: the counterfeit class is what regulators photograph and release, the authentic class what volunteers upload. </w:t>
      </w:r>
      <w:r>
        <w:rPr>
          <w:rFonts w:ascii="Times New Roman" w:hAnsi="Times New Roman"/>
          <w:b/>
          <w:sz w:val="20"/>
        </w:rPr>
        <w:t>The two are also not verified on the same footing.</w:t>
      </w:r>
      <w:r>
        <w:rPr>
          <w:rFonts w:ascii="Times New Roman" w:hAnsi="Times New Roman"/>
          <w:sz w:val="20"/>
        </w:rPr>
        <w:t xml:space="preserve"> Every counterfeit frame carries a regulator's finding that the product is falsified; no authentic-labeled image carries any corresponding assurance, and none was independently checked against the manufacturer. A mislabeled image on that side would move Table 4's specificity column directly, and we cannot bound how many there are. </w:t>
      </w:r>
      <w:r>
        <w:rPr>
          <w:rFonts w:ascii="Times New Roman" w:hAnsi="Times New Roman"/>
          <w:b/>
          <w:sz w:val="20"/>
        </w:rPr>
        <w:t>The set supports the comparison Table 4 makes and does not support a claim about counterfeit medicine in general.</w:t>
      </w:r>
    </w:p>
    <w:p>
      <w:pPr>
        <w:spacing w:after="0" w:before="0" w:line="240" w:lineRule="exact"/>
        <w:ind w:firstLine="202"/>
        <w:jc w:val="both"/>
      </w:pPr>
      <w:r>
        <w:rPr>
          <w:rFonts w:ascii="Times New Roman" w:hAnsi="Times New Roman"/>
          <w:b/>
          <w:sz w:val="20"/>
        </w:rPr>
        <w:t>The authentic class's subject-matter screen was performed by the AI assistant named in the Acknowledgment</w:t>
      </w:r>
      <w:r>
        <w:rPr>
          <w:rFonts w:ascii="Times New Roman" w:hAnsi="Times New Roman"/>
          <w:sz w:val="20"/>
        </w:rPr>
        <w:t xml:space="preserve">, working to the codes of Section S-IX under the author's protocol, rather than by a second human reviewer, and no inter-rater agreement was measured. It accepted 174 of 438 candidates. </w:t>
      </w:r>
      <w:r>
        <w:rPr>
          <w:rFonts w:ascii="Times New Roman" w:hAnsi="Times New Roman"/>
          <w:b/>
          <w:sz w:val="20"/>
        </w:rPr>
        <w:t>What it decided, and what it did not:</w:t>
      </w:r>
      <w:r>
        <w:rPr>
          <w:rFonts w:ascii="Times New Roman" w:hAnsi="Times New Roman"/>
          <w:sz w:val="20"/>
        </w:rPr>
        <w:t xml:space="preserve"> it applied a fixed subject-matter rubric — is this a photograph, of a medicine package, of a current retail product — to candidates already filtered by the deterministic screens of Section S-IX-B, and it made no judgement of authenticity, which no inspection of a photograph could supply in any case. The full per-image record — decision, code and reason — is published so that any call can be overruled, and the 46 selected images are regenerated by committed code for anyone wishing to re-screen them. This is the same limitation the counterfeit side carries, and it is stated once here for both.</w:t>
      </w:r>
    </w:p>
    <w:p>
      <w:pPr>
        <w:spacing w:after="0" w:before="0" w:line="240" w:lineRule="exact"/>
        <w:ind w:firstLine="202"/>
        <w:jc w:val="both"/>
      </w:pPr>
      <w:r>
        <w:rPr>
          <w:rFonts w:ascii="Times New Roman" w:hAnsi="Times New Roman"/>
          <w:b/>
          <w:sz w:val="20"/>
        </w:rPr>
        <w:t>The two acquisition-shift conditions share one backdrop.</w:t>
      </w:r>
      <w:r>
        <w:rPr>
          <w:rFonts w:ascii="Times New Roman" w:hAnsi="Times New Roman"/>
          <w:sz w:val="20"/>
        </w:rPr>
        <w:t xml:space="preserve"> They vary device and lighting on the same products, so the outer-region cue of Section IV-E is untested — the study's most consequential gap, and it qualifies every claim that the correction "holds" across a capture shift.</w:t>
      </w:r>
    </w:p>
    <w:p>
      <w:pPr>
        <w:spacing w:after="0" w:before="0" w:line="240" w:lineRule="exact"/>
        <w:ind w:firstLine="202"/>
        <w:jc w:val="both"/>
      </w:pPr>
      <w:r>
        <w:rPr>
          <w:rFonts w:ascii="Times New Roman" w:hAnsi="Times New Roman"/>
          <w:b/>
          <w:sz w:val="20"/>
        </w:rPr>
        <w:t>Region substitution establishes which region a decision requires, not which feature inside it.</w:t>
      </w:r>
      <w:r>
        <w:rPr>
          <w:rFonts w:ascii="Times New Roman" w:hAnsi="Times New Roman"/>
          <w:sz w:val="20"/>
        </w:rPr>
        <w:t xml:space="preserve"> The outer region holds the backdrop and also whatever of the carton extends past the center square, and it speaks to the acquisition-shift conditions only. The attribution evidence in Section IV-E is the two annotation-free analyses; the qualitative Grad-CAM categorization is reported in Section S-I-J, is not a reproducible measurement, and carries no finding.</w:t>
      </w:r>
    </w:p>
    <w:p>
      <w:pPr>
        <w:spacing w:after="0" w:before="0" w:line="240" w:lineRule="exact"/>
        <w:ind w:firstLine="202"/>
        <w:jc w:val="both"/>
      </w:pPr>
      <w:r>
        <w:rPr>
          <w:rFonts w:ascii="Times New Roman" w:hAnsi="Times New Roman"/>
          <w:b/>
          <w:sz w:val="20"/>
        </w:rPr>
        <w:t>The normalization axes were chosen with knowledge of an external set</w:t>
      </w:r>
      <w:r>
        <w:rPr>
          <w:rFonts w:ascii="Times New Roman" w:hAnsi="Times New Roman"/>
          <w:sz w:val="20"/>
        </w:rPr>
        <w:t>, making condition C target-informed development data for that one experiment. Two results bound the cost: the operator consumes no target data at inference, and the train-only rule of Section S-I-S nominates the same axes from the training partition alone, with the operator it nominates recovering at least as much external specificity for two of three models. That answers the objection on this dataset and not in general, since no training-set procedure can nominate an axis confounded only in deployment.</w:t>
      </w:r>
    </w:p>
    <w:p>
      <w:pPr>
        <w:spacing w:after="0" w:before="0" w:line="240" w:lineRule="exact"/>
        <w:ind w:firstLine="202"/>
        <w:jc w:val="both"/>
      </w:pPr>
      <w:r>
        <w:rPr>
          <w:rFonts w:ascii="Times New Roman" w:hAnsi="Times New Roman"/>
          <w:b/>
          <w:sz w:val="20"/>
        </w:rPr>
        <w:t>The counterfeit side's eligibility screen is one reviewer's single pass</w:t>
      </w:r>
      <w:r>
        <w:rPr>
          <w:rFonts w:ascii="Times New Roman" w:hAnsi="Times New Roman"/>
          <w:sz w:val="20"/>
        </w:rPr>
        <w:t>, excluding 52 of 202 candidates on per-frame judgements whose codes correlate with class by construction. Table S28 bounds the effect at 0.06 of recall on the full 150-image source, but a bound is not an inter-rater agreement and none was measured; the screen is published per image so it can be overruled, as above.</w:t>
      </w:r>
    </w:p>
    <w:p>
      <w:pPr>
        <w:spacing w:after="0" w:before="0" w:line="240" w:lineRule="exact"/>
        <w:ind w:firstLine="202"/>
        <w:jc w:val="both"/>
      </w:pPr>
      <w:r>
        <w:rPr>
          <w:rFonts w:ascii="Times New Roman" w:hAnsi="Times New Roman"/>
          <w:b/>
          <w:sz w:val="20"/>
        </w:rPr>
        <w:t>"Leakage-free" means near-duplicate leakage only</w:t>
      </w:r>
      <w:r>
        <w:rPr>
          <w:rFonts w:ascii="Times New Roman" w:hAnsi="Times New Roman"/>
          <w:sz w:val="20"/>
        </w:rPr>
        <w:t>, at Hamming distance ≤ 8 (Section S-I-Y). No partition of this pool can decorrelate acquisition, because the counterfeit class exists in exactly one capture pipeline; cross-validation across sources fails for the same reason.</w:t>
      </w:r>
    </w:p>
    <w:p>
      <w:pPr>
        <w:spacing w:after="0" w:before="0" w:line="240" w:lineRule="exact"/>
        <w:ind w:firstLine="202"/>
        <w:jc w:val="both"/>
      </w:pPr>
      <w:r>
        <w:rPr>
          <w:rFonts w:ascii="Times New Roman" w:hAnsi="Times New Roman"/>
          <w:b/>
          <w:sz w:val="20"/>
        </w:rPr>
        <w:t>The correction is a preprocessing bottleneck, not a domain-adaptation method, and is not compared against one.</w:t>
      </w:r>
      <w:r>
        <w:rPr>
          <w:rFonts w:ascii="Times New Roman" w:hAnsi="Times New Roman"/>
          <w:sz w:val="20"/>
        </w:rPr>
        <w:t xml:space="preserve"> Eq. (8) is a </w:t>
      </w:r>
      <w:r>
        <w:rPr>
          <w:rFonts w:ascii="Times New Roman" w:hAnsi="Times New Roman"/>
          <w:i/>
          <w:sz w:val="20"/>
        </w:rPr>
        <w:t>zero-target-sample baseline</w:t>
      </w:r>
      <w:r>
        <w:rPr>
          <w:rFonts w:ascii="Times New Roman" w:hAnsi="Times New Roman"/>
          <w:sz w:val="20"/>
        </w:rPr>
        <w:t>; anyone holding even unlabeled target images should benchmark representation-level alignment against it and expect to win. The margin is unmeasured because every such method consumes target data, which would forfeit condition C as an external evaluation.</w:t>
      </w:r>
    </w:p>
    <w:p>
      <w:pPr>
        <w:spacing w:after="0" w:before="0" w:line="240" w:lineRule="exact"/>
        <w:ind w:firstLine="202"/>
        <w:jc w:val="both"/>
      </w:pPr>
      <w:r>
        <w:rPr>
          <w:rFonts w:ascii="Times New Roman" w:hAnsi="Times New Roman"/>
          <w:b/>
          <w:sz w:val="20"/>
        </w:rPr>
        <w:t>The seven-dataset audit has no sampling frame.</w:t>
      </w:r>
      <w:r>
        <w:rPr>
          <w:rFonts w:ascii="Times New Roman" w:hAnsi="Times New Roman"/>
          <w:sz w:val="20"/>
        </w:rPr>
        <w:t xml:space="preserve"> The archives were chosen for accessibility, four of seven were scorable, and no prevalence can be estimated from them; the generality claim is a mechanism with a stated test, resting on those archives and one convergent report [30].</w:t>
      </w:r>
    </w:p>
    <w:p>
      <w:pPr>
        <w:spacing w:after="0" w:before="0" w:line="240" w:lineRule="exact"/>
        <w:ind w:firstLine="202"/>
        <w:jc w:val="both"/>
      </w:pPr>
      <w:r>
        <w:rPr>
          <w:rFonts w:ascii="Times New Roman" w:hAnsi="Times New Roman"/>
          <w:b/>
          <w:sz w:val="20"/>
        </w:rPr>
        <w:t>Statistical power is thin throughout.</w:t>
      </w:r>
      <w:r>
        <w:rPr>
          <w:rFonts w:ascii="Times New Roman" w:hAnsi="Times New Roman"/>
          <w:sz w:val="20"/>
        </w:rPr>
        <w:t xml:space="preserve"> Test partitions hold 74–76 images, every pairwise comparison is underpowered, and the ablations and region substitutions are single executions, so a difference of a point or two should not be read as one. Table 6 repeats the production and baseline conditions at five seeds, which assesses seed sensitivity rather than characterizing it; the ablations' own seed variance is unmeasured. </w:t>
      </w:r>
      <w:r>
        <w:rPr>
          <w:rFonts w:ascii="Times New Roman" w:hAnsi="Times New Roman"/>
          <w:b/>
          <w:sz w:val="20"/>
        </w:rPr>
        <w:t>Both transfer models are frozen backbones</w:t>
      </w:r>
      <w:r>
        <w:rPr>
          <w:rFonts w:ascii="Times New Roman" w:hAnsi="Times New Roman"/>
          <w:sz w:val="20"/>
        </w:rPr>
        <w:t>, so nothing here measures a fine-tuned network.</w:t>
      </w:r>
    </w:p>
    <w:p>
      <w:pPr>
        <w:spacing w:after="0" w:before="0" w:line="240" w:lineRule="exact"/>
        <w:ind w:firstLine="202"/>
        <w:jc w:val="both"/>
      </w:pPr>
      <w:r>
        <w:rPr>
          <w:rFonts w:ascii="Times New Roman" w:hAnsi="Times New Roman"/>
          <w:b/>
          <w:sz w:val="20"/>
        </w:rPr>
        <w:t>Every number reported in this paper derives from the current deterministic repository harness and its persisted checkpoints.</w:t>
      </w:r>
      <w:r>
        <w:rPr>
          <w:rFonts w:ascii="Times New Roman" w:hAnsi="Times New Roman"/>
          <w:sz w:val="20"/>
        </w:rPr>
        <w:t xml:space="preserve"> Four reproducibility defects in earlier versions of the pipeline were identified and fixed, every affected analysis was re-run, and two superseded measurements are retained as an audit trail rather than reported as results; Sections S-I-G and S-I-U give each defect, its effect and its diagnosis.</w:t>
      </w:r>
    </w:p>
    <w:p>
      <w:pPr>
        <w:keepNext/>
        <w:spacing w:before="200" w:after="60" w:line="240" w:lineRule="exact"/>
        <w:jc w:val="left"/>
      </w:pPr>
      <w:r>
        <w:rPr>
          <w:rFonts w:ascii="Arial" w:hAnsi="Arial"/>
          <w:b/>
          <w:i w:val="0"/>
          <w:color w:val="00548F"/>
          <w:sz w:val="18"/>
        </w:rPr>
        <w:t>VI. CONCLUSION</w:t>
      </w:r>
    </w:p>
    <w:p>
      <w:pPr>
        <w:spacing w:after="0" w:before="0" w:line="240" w:lineRule="exact"/>
        <w:ind w:firstLine="202"/>
        <w:jc w:val="both"/>
      </w:pPr>
      <w:r>
        <w:rPr>
          <w:rFonts w:ascii="Times New Roman" w:hAnsi="Times New Roman"/>
          <w:sz w:val="20"/>
        </w:rPr>
        <w:t>Where a binary image task asks whether something is genuine, the inauthentic class is often harder to obtain and liable to be obtained differently; where it is, the label can come to predict the acquisition process, which is easier to learn than the semantics and which no partition of the same pool can expose. In the dataset audited here every counterfeit-labeled file is a screen capture and every authentic-labeled file a JPEG photograph across all 510 images, and three header fields with no decoded pixels reproduce the labels on the leakage-free partition. Stratification, grouped cross-validation, bootstrap intervals and a near-duplicate-grouped split all failed to surface it, and near-duplicate leakage — the correction this literature emphasizes — proved much the smaller effect. In-distribution accuracy on this dataset therefore cannot distinguish packaging authentication from provenance recognition, and independently acquired photographs expose the consequence twice over: models scoring 97.4% on the authentic class of their own test partition recover only 6.0% of 150 independently sourced authentic photographs, and on an independent balanced set of 46 authentic against 46 confirmed-falsified products they return balanced accuracies of 0.478 to 0.652, only one of the four excluding chance.</w:t>
      </w:r>
    </w:p>
    <w:p>
      <w:pPr>
        <w:spacing w:after="0" w:before="0" w:line="240" w:lineRule="exact"/>
        <w:ind w:firstLine="202"/>
        <w:jc w:val="both"/>
      </w:pPr>
      <w:r>
        <w:rPr>
          <w:rFonts w:ascii="Times New Roman" w:hAnsi="Times New Roman"/>
          <w:sz w:val="20"/>
        </w:rPr>
        <w:t xml:space="preserve">The methodological claim we would most like carried forward is cheap to act on. Before training anything, fit the classifier you intend to use to acquisition variables alone — format, encoded size, resolution, aspect ratio — under your own leakage-free split, and report the number, reading attributes the photographed object cannot influence separately from those that mix acquisition with content. It is a diagnostic on the dataset: it tells you whether a provenance shortcut is </w:t>
      </w:r>
      <w:r>
        <w:rPr>
          <w:rFonts w:ascii="Times New Roman" w:hAnsi="Times New Roman"/>
          <w:i/>
          <w:sz w:val="20"/>
        </w:rPr>
        <w:t>available</w:t>
      </w:r>
      <w:r>
        <w:rPr>
          <w:rFonts w:ascii="Times New Roman" w:hAnsi="Times New Roman"/>
          <w:sz w:val="20"/>
        </w:rPr>
        <w:t>, not whether your model takes it. But where it is high, no in-distribution accuracy on that dataset can distinguish the two. Here it is 1.000. The audit is necessary and not sufficient: on a second pharmaceutical dataset it returned a middling score while that dataset was confounded at least as badly, its publisher having normalized the acquisition traces away without removing the confound.</w:t>
      </w:r>
    </w:p>
    <w:p>
      <w:pPr>
        <w:spacing w:after="0" w:before="0" w:line="240" w:lineRule="exact"/>
        <w:ind w:firstLine="202"/>
        <w:jc w:val="both"/>
      </w:pPr>
      <w:r>
        <w:rPr>
          <w:rFonts w:ascii="Times New Roman" w:hAnsi="Times New Roman"/>
          <w:sz w:val="20"/>
        </w:rPr>
        <w:t>Our exploratory correction is the reason we would not stop at one audit. Removing the three statistics the audit named recovered most of the lost external specificity for two of three models, and left both pretrained backbones relying strongly on the outer region of the frame rather than on the packaging at its center — a signal consistent with acquisition-linked cues such as backdrop, lighting and staging, none of which the audit can see. Eliminating one provenance signal can expose another, so removing a confound from the input is itself dataset construction and needs auditing on the same terms. One further lesson came out of the balanced evaluation rather than the audit. A one-sided external test cannot tell a decision rule from a shifted operating point, and this is not a hypothetical hazard: our 97-parameter baseline holds 0.957 counterfeit recall and an F1 of 0.647 while never once answering "authentic", and only a two-class set reveals it. What remains untested is the axis that matters most — our two acquisition-shift conditions share one backdrop, our balanced set standardizes file-level encoding conditions rather than varying photographic acquisition, and two-class performance under acquisition shift is measured nowhere here. None of these models should be deployed. The evaluation this area needs is not a better architecture but both classes, photographed the same way, by someone who did not build the training set.</w:t>
      </w:r>
    </w:p>
    <w:p>
      <w:pPr>
        <w:keepNext/>
        <w:spacing w:before="200" w:after="60" w:line="240" w:lineRule="exact"/>
        <w:jc w:val="left"/>
      </w:pPr>
      <w:r>
        <w:rPr>
          <w:rFonts w:ascii="Arial" w:hAnsi="Arial"/>
          <w:b/>
          <w:i w:val="0"/>
          <w:color w:val="00548F"/>
          <w:sz w:val="18"/>
        </w:rPr>
        <w:t>ACKNOWLEDGMENT</w:t>
      </w:r>
    </w:p>
    <w:p>
      <w:pPr>
        <w:spacing w:after="0" w:before="0" w:line="240" w:lineRule="exact"/>
        <w:ind w:firstLine="202"/>
        <w:jc w:val="both"/>
      </w:pPr>
      <w:r>
        <w:rPr>
          <w:rFonts w:ascii="Times New Roman" w:hAnsi="Times New Roman"/>
          <w:sz w:val="20"/>
        </w:rPr>
        <w:t>This work was carried out on a single consumer laptop, and the CPU-only constraint that shapes several of this paper's design decisions follows from that. We thank the maintainers of the three public datasets used here [19], [20], [21]. The Mendeley and Roboflow datasets are distributed under CC BY 4.0; the Kaggle dataset carries no license, so it is attributed to its uploader, nothing from it is redistributed, and readers reproducing the pool must obtain it from the original listing.</w:t>
      </w:r>
    </w:p>
    <w:p>
      <w:pPr>
        <w:spacing w:after="0" w:before="0" w:line="240" w:lineRule="exact"/>
        <w:ind w:firstLine="202"/>
        <w:jc w:val="both"/>
      </w:pPr>
      <w:r>
        <w:rPr>
          <w:rFonts w:ascii="Times New Roman" w:hAnsi="Times New Roman"/>
          <w:sz w:val="20"/>
        </w:rPr>
        <w:t>This paper is critical of the construction of a dataset whose uploader made it publicly accessible and made no research claim about it. That criticism is directed at a property of the artifact and at the practice of adopting such artifacts unaudited; it is not directed at the uploader, and nothing here suggests bad faith. The same applies to the prior studies of Section II-A, whose reported accuracies we do not dispute and have not re-derived.</w:t>
      </w:r>
    </w:p>
    <w:p>
      <w:pPr>
        <w:spacing w:after="0" w:before="0" w:line="240" w:lineRule="exact"/>
        <w:ind w:firstLine="202"/>
        <w:jc w:val="both"/>
      </w:pPr>
      <w:r>
        <w:rPr>
          <w:rFonts w:ascii="Times New Roman" w:hAnsi="Times New Roman"/>
          <w:b/>
          <w:sz w:val="20"/>
        </w:rPr>
        <w:t>Generative-AI disclosure.</w:t>
      </w:r>
      <w:r>
        <w:rPr>
          <w:rFonts w:ascii="Times New Roman" w:hAnsi="Times New Roman"/>
          <w:sz w:val="20"/>
        </w:rPr>
        <w:t xml:space="preserve"> This manuscript and the accompanying code were prepared with the assistance of Claude, an AI assistant developed by Anthropic, accessed through the Claude Code command-line interface over the course of the project; the specific model version varied across that period and is not recorded per session. It assisted in drafting and revising the text of every section and in writing and debugging the analysis and figure-generation code; it identified several defects in earlier versions of the pipeline that are disclosed in Section S-I-G; and it performed one task that produced data rather than text: the per-image subject-matter screen of the balanced external test's authentic candidates, performed to the author's protocol and published in full per image (Sections V-D, S-IX-B). All experimental design decisions, all interpretations, and the decision to report each negative and superseded result rather than remove it are the author's. Every number reported here is produced by committed code from committed data and was verified by re-execution, and no result, citation or reference was generated by a language model without verification against a primary source. The author takes full responsibility for the content.</w:t>
      </w:r>
    </w:p>
    <w:p>
      <w:pPr>
        <w:keepNext/>
        <w:spacing w:before="200" w:after="60" w:line="240" w:lineRule="exact"/>
        <w:jc w:val="left"/>
      </w:pPr>
      <w:r>
        <w:rPr>
          <w:rFonts w:ascii="Arial" w:hAnsi="Arial"/>
          <w:b/>
          <w:i w:val="0"/>
          <w:color w:val="00548F"/>
          <w:sz w:val="18"/>
        </w:rPr>
        <w:t>ETHICS, CONFLICTS OF INTEREST, AND DATA PROVENANCE</w:t>
      </w:r>
    </w:p>
    <w:p>
      <w:pPr>
        <w:spacing w:after="0" w:before="0" w:line="240" w:lineRule="exact"/>
        <w:ind w:firstLine="202"/>
        <w:jc w:val="both"/>
      </w:pPr>
      <w:r>
        <w:rPr>
          <w:rFonts w:ascii="Times New Roman" w:hAnsi="Times New Roman"/>
          <w:b/>
          <w:sz w:val="20"/>
        </w:rPr>
        <w:t>Human and animal subjects.</w:t>
      </w:r>
      <w:r>
        <w:rPr>
          <w:rFonts w:ascii="Times New Roman" w:hAnsi="Times New Roman"/>
          <w:sz w:val="20"/>
        </w:rPr>
        <w:t xml:space="preserve"> This study involves neither. All images are photographs of pharmaceutical packaging from public archives; none depicts an identifiable person, and no personal or patient data was accessed.</w:t>
      </w:r>
    </w:p>
    <w:p>
      <w:pPr>
        <w:spacing w:after="0" w:before="0" w:line="240" w:lineRule="exact"/>
        <w:ind w:firstLine="202"/>
        <w:jc w:val="both"/>
      </w:pPr>
      <w:r>
        <w:rPr>
          <w:rFonts w:ascii="Times New Roman" w:hAnsi="Times New Roman"/>
          <w:b/>
          <w:sz w:val="20"/>
        </w:rPr>
        <w:t>Data provenance and permissions.</w:t>
      </w:r>
      <w:r>
        <w:rPr>
          <w:rFonts w:ascii="Times New Roman" w:hAnsi="Times New Roman"/>
          <w:sz w:val="20"/>
        </w:rPr>
        <w:t xml:space="preserve"> Every image originates from a third-party public archive, used within its stated terms: Mendeley Data and Roboflow under CC BY 4.0 with attribution, and the Kaggle archive under no stated license, from which nothing is redistributed. No data was scraped or purchased.</w:t>
      </w:r>
    </w:p>
    <w:p>
      <w:pPr>
        <w:spacing w:after="0" w:before="0" w:line="240" w:lineRule="exact"/>
        <w:ind w:firstLine="202"/>
        <w:jc w:val="both"/>
      </w:pPr>
      <w:r>
        <w:rPr>
          <w:rFonts w:ascii="Times New Roman" w:hAnsi="Times New Roman"/>
          <w:b/>
          <w:sz w:val="20"/>
        </w:rPr>
        <w:t>Intended use and misuse.</w:t>
      </w:r>
      <w:r>
        <w:rPr>
          <w:rFonts w:ascii="Times New Roman" w:hAnsi="Times New Roman"/>
          <w:sz w:val="20"/>
        </w:rPr>
        <w:t xml:space="preserve"> No model examined here is fit to authenticate medicine, and a falsely reassuring authentication tool is more dangerous than no tool.</w:t>
      </w:r>
    </w:p>
    <w:p>
      <w:pPr>
        <w:spacing w:after="0" w:before="0" w:line="240" w:lineRule="exact"/>
        <w:ind w:firstLine="202"/>
        <w:jc w:val="both"/>
      </w:pPr>
      <w:r>
        <w:rPr>
          <w:rFonts w:ascii="Times New Roman" w:hAnsi="Times New Roman"/>
          <w:b/>
          <w:sz w:val="20"/>
        </w:rPr>
        <w:t>Conflicts of interest.</w:t>
      </w:r>
      <w:r>
        <w:rPr>
          <w:rFonts w:ascii="Times New Roman" w:hAnsi="Times New Roman"/>
          <w:sz w:val="20"/>
        </w:rPr>
        <w:t xml:space="preserve"> The author declares none, has no affiliation with the maintainers of any dataset examined here, and no commercial interest in any authentication product.</w:t>
      </w:r>
    </w:p>
    <w:p>
      <w:pPr>
        <w:spacing w:after="0" w:before="0" w:line="240" w:lineRule="exact"/>
        <w:ind w:firstLine="202"/>
        <w:jc w:val="both"/>
      </w:pPr>
      <w:r>
        <w:rPr>
          <w:rFonts w:ascii="Times New Roman" w:hAnsi="Times New Roman"/>
          <w:b/>
          <w:sz w:val="20"/>
        </w:rPr>
        <w:t>Funding.</w:t>
      </w:r>
      <w:r>
        <w:rPr>
          <w:rFonts w:ascii="Times New Roman" w:hAnsi="Times New Roman"/>
          <w:sz w:val="20"/>
        </w:rPr>
        <w:t xml:space="preserve"> This work received no specific grant from any funding agency in the public, commercial, or not-for-profit sectors.</w:t>
      </w:r>
    </w:p>
    <w:p>
      <w:pPr>
        <w:keepNext/>
        <w:spacing w:before="200" w:after="60" w:line="240" w:lineRule="exact"/>
        <w:jc w:val="left"/>
      </w:pPr>
      <w:r>
        <w:rPr>
          <w:rFonts w:ascii="Arial" w:hAnsi="Arial"/>
          <w:b/>
          <w:i w:val="0"/>
          <w:color w:val="00548F"/>
          <w:sz w:val="18"/>
        </w:rPr>
        <w:t>DATA AND CODE AVAILABILITY</w:t>
      </w:r>
    </w:p>
    <w:p>
      <w:pPr>
        <w:spacing w:after="0" w:before="0" w:line="240" w:lineRule="exact"/>
        <w:ind w:firstLine="202"/>
        <w:jc w:val="both"/>
      </w:pPr>
      <w:r>
        <w:rPr>
          <w:rFonts w:ascii="Times New Roman" w:hAnsi="Times New Roman"/>
          <w:b/>
          <w:sz w:val="20"/>
        </w:rPr>
        <w:t>Repository and release.</w:t>
      </w:r>
      <w:r>
        <w:rPr>
          <w:rFonts w:ascii="Times New Roman" w:hAnsi="Times New Roman"/>
          <w:sz w:val="20"/>
        </w:rPr>
        <w:t xml:space="preserve"> All code and derived artifacts are at </w:t>
      </w:r>
      <w:r>
        <w:rPr>
          <w:rFonts w:ascii="Consolas" w:hAnsi="Consolas"/>
          <w:sz w:val="18"/>
        </w:rPr>
        <w:t>https://github.com/sophiezla/counterfeit-drug</w:t>
      </w:r>
      <w:r>
        <w:rPr>
          <w:rFonts w:ascii="Times New Roman" w:hAnsi="Times New Roman"/>
          <w:sz w:val="20"/>
        </w:rPr>
        <w:t xml:space="preserve">, archived at the concept DOI </w:t>
      </w:r>
      <w:r>
        <w:rPr>
          <w:rFonts w:ascii="Times New Roman" w:hAnsi="Times New Roman"/>
          <w:b/>
          <w:sz w:val="20"/>
        </w:rPr>
        <w:t>10.5281/zenodo.21936720</w:t>
      </w:r>
      <w:r>
        <w:rPr>
          <w:rFonts w:ascii="Times New Roman" w:hAnsi="Times New Roman"/>
          <w:sz w:val="20"/>
        </w:rPr>
        <w:t xml:space="preserve">, which resolves to the most recent release. The release accompanying this manuscript is the one that concept DOI resolves to; it is the exact state of the code that produced every number reported here, and </w:t>
      </w:r>
      <w:r>
        <w:rPr>
          <w:rFonts w:ascii="Consolas" w:hAnsi="Consolas"/>
          <w:sz w:val="18"/>
        </w:rPr>
        <w:t>README.md</w:t>
      </w:r>
      <w:r>
        <w:rPr>
          <w:rFonts w:ascii="Times New Roman" w:hAnsi="Times New Roman"/>
          <w:sz w:val="20"/>
        </w:rPr>
        <w:t xml:space="preserve"> and </w:t>
      </w:r>
      <w:r>
        <w:rPr>
          <w:rFonts w:ascii="Consolas" w:hAnsi="Consolas"/>
          <w:sz w:val="18"/>
        </w:rPr>
        <w:t>CITATION.cff</w:t>
      </w:r>
      <w:r>
        <w:rPr>
          <w:rFonts w:ascii="Times New Roman" w:hAnsi="Times New Roman"/>
          <w:sz w:val="20"/>
        </w:rPr>
        <w:t xml:space="preserve"> name it, with the earlier releases they list marked superseded. It supersedes </w:t>
      </w:r>
      <w:r>
        <w:rPr>
          <w:rFonts w:ascii="Times New Roman" w:hAnsi="Times New Roman"/>
          <w:b/>
          <w:sz w:val="20"/>
        </w:rPr>
        <w:t>v1.3.1</w:t>
      </w:r>
      <w:r>
        <w:rPr>
          <w:rFonts w:ascii="Times New Roman" w:hAnsi="Times New Roman"/>
          <w:sz w:val="20"/>
        </w:rPr>
        <w:t xml:space="preserve"> (doi:10.5281/zenodo.22239515), which predates the regulatory counterfeit source of Section S-VIII and the balanced external test of Section IV-C with its five construction and evaluation scripts. It holds the data pipeline, the four model implementations, every analysis and figure script, the per-image statistics and split assignments, the persisted checkpoints, and the sources of this manuscript and its supplement.</w:t>
      </w:r>
    </w:p>
    <w:p>
      <w:pPr>
        <w:spacing w:after="0" w:before="0" w:line="240" w:lineRule="exact"/>
        <w:ind w:firstLine="202"/>
        <w:jc w:val="both"/>
      </w:pPr>
      <w:r>
        <w:rPr>
          <w:rFonts w:ascii="Times New Roman" w:hAnsi="Times New Roman"/>
          <w:b/>
          <w:sz w:val="20"/>
        </w:rPr>
        <w:t>Environment.</w:t>
      </w:r>
      <w:r>
        <w:rPr>
          <w:rFonts w:ascii="Times New Roman" w:hAnsi="Times New Roman"/>
          <w:sz w:val="20"/>
        </w:rPr>
        <w:t xml:space="preserve"> Every library that affects a reported number is pinned in the committed </w:t>
      </w:r>
      <w:r>
        <w:rPr>
          <w:rFonts w:ascii="Consolas" w:hAnsi="Consolas"/>
          <w:sz w:val="18"/>
        </w:rPr>
        <w:t>requirements.txt</w:t>
      </w:r>
      <w:r>
        <w:rPr>
          <w:rFonts w:ascii="Times New Roman" w:hAnsi="Times New Roman"/>
          <w:sz w:val="20"/>
        </w:rPr>
        <w:t xml:space="preserve">: PyTorch 2.7.1 [17] and torchvision 0.22.1, both CPU builds, scikit-learn 1.9.0 [18], NumPy 2.3.2, pandas 3.0.3, SciPy 1.18.0, Pillow 11.3.0 and imagehash 4.3.2. All runs are CPU-only on a single consumer laptop; no CUDA was available, so non-deterministic GPU kernels are not a factor. Seed 42 is set for Python, NumPy and PyTorch before every training run, every fold and every augmented feature-extraction pass, and </w:t>
      </w:r>
      <w:r>
        <w:rPr>
          <w:rFonts w:ascii="Consolas" w:hAnsi="Consolas"/>
          <w:sz w:val="18"/>
        </w:rPr>
        <w:t>torch.use_deterministic_algorithms</w:t>
      </w:r>
      <w:r>
        <w:rPr>
          <w:rFonts w:ascii="Times New Roman" w:hAnsi="Times New Roman"/>
          <w:sz w:val="20"/>
        </w:rPr>
        <w:t xml:space="preserve"> is left off only because some CPU operators lack deterministic kernels (Section S-I-C).</w:t>
      </w:r>
    </w:p>
    <w:p>
      <w:pPr>
        <w:spacing w:after="0" w:before="0" w:line="240" w:lineRule="exact"/>
        <w:ind w:firstLine="202"/>
        <w:jc w:val="both"/>
      </w:pPr>
      <w:r>
        <w:rPr>
          <w:rFonts w:ascii="Times New Roman" w:hAnsi="Times New Roman"/>
          <w:b/>
          <w:sz w:val="20"/>
        </w:rPr>
        <w:t>Mapping results to the code that produced them.</w:t>
      </w:r>
      <w:r>
        <w:rPr>
          <w:rFonts w:ascii="Times New Roman" w:hAnsi="Times New Roman"/>
          <w:sz w:val="20"/>
        </w:rPr>
        <w:t xml:space="preserve"> Because this study discloses and corrects earlier pipeline defects (Section S-I-G), every reported figure is traceable to the corrected pipeline rather than to a description of it. Each persisted checkpoint records the model tag, run tag, learning rate, seed, best validation loss, best epoch and epochs run under which it was produced, and the loader refuses a checkpoint whose recorded learning rate differs from the one the caller expects. The external evaluations of Sections IV-C and IV-D are scored from those checkpoints rather than from a retrained copy, so the model tested is provably the one that produced the in-distribution numbers. Section S-V lists, table by table and figure by figure, the command that regenerates each from committed artifacts.</w:t>
      </w:r>
    </w:p>
    <w:p>
      <w:pPr>
        <w:spacing w:after="0" w:before="0" w:line="240" w:lineRule="exact"/>
        <w:ind w:firstLine="202"/>
        <w:jc w:val="both"/>
      </w:pPr>
      <w:r>
        <w:rPr>
          <w:rFonts w:ascii="Times New Roman" w:hAnsi="Times New Roman"/>
          <w:b/>
          <w:sz w:val="20"/>
        </w:rPr>
        <w:t>What is deliberately absent.</w:t>
      </w:r>
      <w:r>
        <w:rPr>
          <w:rFonts w:ascii="Times New Roman" w:hAnsi="Times New Roman"/>
          <w:sz w:val="20"/>
        </w:rPr>
        <w:t xml:space="preserve"> The repository contains </w:t>
      </w:r>
      <w:r>
        <w:rPr>
          <w:rFonts w:ascii="Times New Roman" w:hAnsi="Times New Roman"/>
          <w:b/>
          <w:sz w:val="20"/>
        </w:rPr>
        <w:t>no images</w:t>
      </w:r>
      <w:r>
        <w:rPr>
          <w:rFonts w:ascii="Times New Roman" w:hAnsi="Times New Roman"/>
          <w:sz w:val="20"/>
        </w:rPr>
        <w:t>: the Kaggle archive carries no license grant, so only derived per-image statistics, split assignments and filenames are redistributed. Grad-CAM overlays and the manual-review contact sheets are excluded for the same reason, and are regenerated by committed scripts from a reader's own copy of the archives. The balanced external test is absent for two further reasons and is a reproducible recipe rather than a publishable dataset: 140 of the 150 regulatory photographs are held under metadata-only permission, and the Commons files carry per-file license terms that vary. What is published for it is the candidate manifest with every license and source URL, the per-image screen record with every decision and reason, the per-image predictions, and the five scripts that rebuild it (Section S-V). Six analysis scripts read only committed artifacts, need no image data and no training, and reproduce Table 2, Tables S18, S20 and S22, the direct exposure count and the external intervals in seconds, covering the paper's two central quantitative claims without requiring a reader to obtain the images or run a model (Section S-V).</w:t>
      </w:r>
    </w:p>
    <w:p>
      <w:pPr>
        <w:keepNext/>
        <w:spacing w:before="200" w:after="60" w:line="240" w:lineRule="exact"/>
        <w:jc w:val="left"/>
      </w:pPr>
      <w:r>
        <w:rPr>
          <w:rFonts w:ascii="Arial" w:hAnsi="Arial"/>
          <w:b/>
          <w:i w:val="0"/>
          <w:color w:val="00548F"/>
          <w:sz w:val="18"/>
        </w:rPr>
        <w:t>REFERENCES</w:t>
      </w:r>
    </w:p>
    <w:p>
      <w:pPr>
        <w:spacing w:after="0" w:before="0" w:line="240" w:lineRule="exact"/>
        <w:ind w:firstLine="202"/>
        <w:jc w:val="both"/>
      </w:pPr>
      <w:r>
        <w:rPr>
          <w:rFonts w:ascii="Times New Roman" w:hAnsi="Times New Roman"/>
          <w:sz w:val="20"/>
        </w:rPr>
        <w:t>This list is shared with the supplementary material, which cites it by the same numbers; references [17], [18], [22] and [24] are cited there rather than here.</w:t>
      </w:r>
    </w:p>
    <w:p>
      <w:pPr>
        <w:spacing w:after="60" w:before="0" w:line="180" w:lineRule="exact"/>
        <w:ind w:left="283" w:hanging="283"/>
        <w:jc w:val="both"/>
      </w:pPr>
      <w:r>
        <w:rPr>
          <w:rFonts w:ascii="Times New Roman" w:hAnsi="Times New Roman"/>
          <w:sz w:val="15"/>
        </w:rPr>
        <w:t>[1] World Health Organization, "Substandard and falsified medical products," WHO fact sheet, 3 Dec. 2024. Accessed: Sep. 13, 2026. [Online]. Available: https://www.who.int/news-room/fact-sheets/detail/substandard-and-falsified-medical-products.</w:t>
      </w:r>
    </w:p>
    <w:p>
      <w:pPr>
        <w:spacing w:after="60" w:before="0" w:line="180" w:lineRule="exact"/>
        <w:ind w:left="283" w:hanging="283"/>
        <w:jc w:val="both"/>
      </w:pPr>
      <w:r>
        <w:rPr>
          <w:rFonts w:ascii="Times New Roman" w:hAnsi="Times New Roman"/>
          <w:sz w:val="15"/>
        </w:rPr>
        <w:t xml:space="preserve">[2] S. Ozawa, D. R. Evans, S. Bessias, D. G. Haynie, T. T. Yemeke, S. K. Laing, and J. E. Herrington, "Prevalence and estimated economic burden of substandard and falsified medicines in low- and middle-income countries: A systematic review and meta-analysis," </w:t>
      </w:r>
      <w:r>
        <w:rPr>
          <w:rFonts w:ascii="Times New Roman" w:hAnsi="Times New Roman"/>
          <w:i/>
          <w:sz w:val="15"/>
        </w:rPr>
        <w:t>JAMA Network Open</w:t>
      </w:r>
      <w:r>
        <w:rPr>
          <w:rFonts w:ascii="Times New Roman" w:hAnsi="Times New Roman"/>
          <w:sz w:val="15"/>
        </w:rPr>
        <w:t>, vol. 1, no. 4, e181662, 2018, doi: 10.1001/jamanetworkopen.2018.1662.</w:t>
      </w:r>
    </w:p>
    <w:p>
      <w:pPr>
        <w:spacing w:after="60" w:before="0" w:line="180" w:lineRule="exact"/>
        <w:ind w:left="283" w:hanging="283"/>
        <w:jc w:val="both"/>
      </w:pPr>
      <w:r>
        <w:rPr>
          <w:rFonts w:ascii="Times New Roman" w:hAnsi="Times New Roman"/>
          <w:sz w:val="15"/>
        </w:rPr>
        <w:t xml:space="preserve">[3] R. R. T. Ramos, K. R. B. Samonte, and C. O. Manlises, "Medicine authentication based on image processing using convolutional neural networks," in </w:t>
      </w:r>
      <w:r>
        <w:rPr>
          <w:rFonts w:ascii="Times New Roman" w:hAnsi="Times New Roman"/>
          <w:i/>
          <w:sz w:val="15"/>
        </w:rPr>
        <w:t>Proc. 16th Int. Conf. Computer and Automation Engineering (ICCAE)</w:t>
      </w:r>
      <w:r>
        <w:rPr>
          <w:rFonts w:ascii="Times New Roman" w:hAnsi="Times New Roman"/>
          <w:sz w:val="15"/>
        </w:rPr>
        <w:t>, 2024, pp. 278–282, doi: 10.1109/ICCAE59995.2024.10569752.</w:t>
      </w:r>
    </w:p>
    <w:p>
      <w:pPr>
        <w:spacing w:after="60" w:before="0" w:line="180" w:lineRule="exact"/>
        <w:ind w:left="283" w:hanging="283"/>
        <w:jc w:val="both"/>
      </w:pPr>
      <w:r>
        <w:rPr>
          <w:rFonts w:ascii="Times New Roman" w:hAnsi="Times New Roman"/>
          <w:sz w:val="15"/>
        </w:rPr>
        <w:t xml:space="preserve">[4] H.-W. Ting, S.-L. Chung, C.-F. Chen, H.-Y. Chiu, and Y.-W. Hsieh, "A drug identification model developed using deep learning technologies: Experience of a medical center in Taiwan," </w:t>
      </w:r>
      <w:r>
        <w:rPr>
          <w:rFonts w:ascii="Times New Roman" w:hAnsi="Times New Roman"/>
          <w:i/>
          <w:sz w:val="15"/>
        </w:rPr>
        <w:t>BMC Health Services Research</w:t>
      </w:r>
      <w:r>
        <w:rPr>
          <w:rFonts w:ascii="Times New Roman" w:hAnsi="Times New Roman"/>
          <w:sz w:val="15"/>
        </w:rPr>
        <w:t>, vol. 20, art. 312, 2020, doi: 10.1186/s12913-020-05166-w.</w:t>
      </w:r>
    </w:p>
    <w:p>
      <w:pPr>
        <w:spacing w:after="60" w:before="0" w:line="180" w:lineRule="exact"/>
        <w:ind w:left="283" w:hanging="283"/>
        <w:jc w:val="both"/>
      </w:pPr>
      <w:r>
        <w:rPr>
          <w:rFonts w:ascii="Times New Roman" w:hAnsi="Times New Roman"/>
          <w:sz w:val="15"/>
        </w:rPr>
        <w:t xml:space="preserve">[5] K. Al-Hussaeni, I. Karamitsos, E. Adewumi, and R. M. Amawi, "CNN-based pill image recognition for retrieval systems," </w:t>
      </w:r>
      <w:r>
        <w:rPr>
          <w:rFonts w:ascii="Times New Roman" w:hAnsi="Times New Roman"/>
          <w:i/>
          <w:sz w:val="15"/>
        </w:rPr>
        <w:t>Applied Sciences</w:t>
      </w:r>
      <w:r>
        <w:rPr>
          <w:rFonts w:ascii="Times New Roman" w:hAnsi="Times New Roman"/>
          <w:sz w:val="15"/>
        </w:rPr>
        <w:t>, vol. 13, no. 8, art. 5050, 2023, doi: 10.3390/app13085050.</w:t>
      </w:r>
    </w:p>
    <w:p>
      <w:pPr>
        <w:spacing w:after="60" w:before="0" w:line="180" w:lineRule="exact"/>
        <w:ind w:left="283" w:hanging="283"/>
        <w:jc w:val="both"/>
      </w:pPr>
      <w:r>
        <w:rPr>
          <w:rFonts w:ascii="Times New Roman" w:hAnsi="Times New Roman"/>
          <w:sz w:val="15"/>
        </w:rPr>
        <w:t xml:space="preserve">[6] R. Geirhos, J.-H. Jacobsen, C. Michaelis, R. Zemel, W. Brendel, M. Bethge, and F. A. Wichmann, "Shortcut learning in deep neural networks," </w:t>
      </w:r>
      <w:r>
        <w:rPr>
          <w:rFonts w:ascii="Times New Roman" w:hAnsi="Times New Roman"/>
          <w:i/>
          <w:sz w:val="15"/>
        </w:rPr>
        <w:t>Nature Machine Intelligence</w:t>
      </w:r>
      <w:r>
        <w:rPr>
          <w:rFonts w:ascii="Times New Roman" w:hAnsi="Times New Roman"/>
          <w:sz w:val="15"/>
        </w:rPr>
        <w:t>, vol. 2, pp. 665–673, 2020, arXiv:2004.07780.</w:t>
      </w:r>
    </w:p>
    <w:p>
      <w:pPr>
        <w:spacing w:after="60" w:before="0" w:line="180" w:lineRule="exact"/>
        <w:ind w:left="283" w:hanging="283"/>
        <w:jc w:val="both"/>
      </w:pPr>
      <w:r>
        <w:rPr>
          <w:rFonts w:ascii="Times New Roman" w:hAnsi="Times New Roman"/>
          <w:sz w:val="15"/>
        </w:rPr>
        <w:t xml:space="preserve">[7] J. R. Zech, M. A. Badgeley, M. Liu, A. B. Costa, J. J. Titano, and E. K. Oermann, "Variable generalization performance of a deep learning model to detect pneumonia in chest radiographs: A cross-sectional study," </w:t>
      </w:r>
      <w:r>
        <w:rPr>
          <w:rFonts w:ascii="Times New Roman" w:hAnsi="Times New Roman"/>
          <w:i/>
          <w:sz w:val="15"/>
        </w:rPr>
        <w:t>PLOS Medicine</w:t>
      </w:r>
      <w:r>
        <w:rPr>
          <w:rFonts w:ascii="Times New Roman" w:hAnsi="Times New Roman"/>
          <w:sz w:val="15"/>
        </w:rPr>
        <w:t>, vol. 15, no. 11, e1002683, 2018, doi: 10.1371/journal.pmed.1002683.</w:t>
      </w:r>
    </w:p>
    <w:p>
      <w:pPr>
        <w:spacing w:after="60" w:before="0" w:line="180" w:lineRule="exact"/>
        <w:ind w:left="283" w:hanging="283"/>
        <w:jc w:val="both"/>
      </w:pPr>
      <w:r>
        <w:rPr>
          <w:rFonts w:ascii="Times New Roman" w:hAnsi="Times New Roman"/>
          <w:sz w:val="15"/>
        </w:rPr>
        <w:t xml:space="preserve">[8] B. G. Hill, F. L. Koback, and P. L. Schilling, "The risk of shortcutting in deep learning algorithms for medical imaging research," </w:t>
      </w:r>
      <w:r>
        <w:rPr>
          <w:rFonts w:ascii="Times New Roman" w:hAnsi="Times New Roman"/>
          <w:i/>
          <w:sz w:val="15"/>
        </w:rPr>
        <w:t>Scientific Reports</w:t>
      </w:r>
      <w:r>
        <w:rPr>
          <w:rFonts w:ascii="Times New Roman" w:hAnsi="Times New Roman"/>
          <w:sz w:val="15"/>
        </w:rPr>
        <w:t>, vol. 14, no. 1, art. 29224, 2024, doi: 10.1038/s41598-024-79838-6.</w:t>
      </w:r>
    </w:p>
    <w:p>
      <w:pPr>
        <w:spacing w:after="60" w:before="0" w:line="180" w:lineRule="exact"/>
        <w:ind w:left="283" w:hanging="283"/>
        <w:jc w:val="both"/>
      </w:pPr>
      <w:r>
        <w:rPr>
          <w:rFonts w:ascii="Times New Roman" w:hAnsi="Times New Roman"/>
          <w:sz w:val="15"/>
        </w:rPr>
        <w:t xml:space="preserve">[9] J. Seah, C. Tang, Q. D. Buchlak, M. R. Milne, X. Holt, H. Ahmad, J. Lambert, N. Esmaili, L. Oakden-Rayner, P. Brotchie, and C. M. Jones, "Do comprehensive deep learning algorithms suffer from hidden stratification? A retrospective study on pneumothorax detection in chest radiography," </w:t>
      </w:r>
      <w:r>
        <w:rPr>
          <w:rFonts w:ascii="Times New Roman" w:hAnsi="Times New Roman"/>
          <w:i/>
          <w:sz w:val="15"/>
        </w:rPr>
        <w:t>BMJ Open</w:t>
      </w:r>
      <w:r>
        <w:rPr>
          <w:rFonts w:ascii="Times New Roman" w:hAnsi="Times New Roman"/>
          <w:sz w:val="15"/>
        </w:rPr>
        <w:t>, vol. 11, no. 12, e053024, 2021, doi: 10.1136/bmjopen-2021-053024.</w:t>
      </w:r>
    </w:p>
    <w:p>
      <w:pPr>
        <w:spacing w:after="60" w:before="0" w:line="180" w:lineRule="exact"/>
        <w:ind w:left="283" w:hanging="283"/>
        <w:jc w:val="both"/>
      </w:pPr>
      <w:r>
        <w:rPr>
          <w:rFonts w:ascii="Times New Roman" w:hAnsi="Times New Roman"/>
          <w:sz w:val="15"/>
        </w:rPr>
        <w:t xml:space="preserve">[10] A. Trivedi, C. Robinson, M. Blazes, A. Ortiz, J. Desbiens, S. Gupta, R. Dodhia, P. K. Bhatraju, W. C. Liles, J. Kalpathy-Cramer, A. Y. Lee, and J. M. Lavista Ferres, "Deep learning models for COVID-19 chest x-ray classification: Preventing shortcut learning using feature disentanglement," </w:t>
      </w:r>
      <w:r>
        <w:rPr>
          <w:rFonts w:ascii="Times New Roman" w:hAnsi="Times New Roman"/>
          <w:i/>
          <w:sz w:val="15"/>
        </w:rPr>
        <w:t>PLOS ONE</w:t>
      </w:r>
      <w:r>
        <w:rPr>
          <w:rFonts w:ascii="Times New Roman" w:hAnsi="Times New Roman"/>
          <w:sz w:val="15"/>
        </w:rPr>
        <w:t>, vol. 17, no. 10, e0274098, 2022, doi: 10.1371/journal.pone.0274098.</w:t>
      </w:r>
    </w:p>
    <w:p>
      <w:pPr>
        <w:spacing w:after="60" w:before="0" w:line="180" w:lineRule="exact"/>
        <w:ind w:left="283" w:hanging="283"/>
        <w:jc w:val="both"/>
      </w:pPr>
      <w:r>
        <w:rPr>
          <w:rFonts w:ascii="Times New Roman" w:hAnsi="Times New Roman"/>
          <w:sz w:val="15"/>
        </w:rPr>
        <w:t>[11] M. Ü. Öner, Y.-C. Cheng, H. K. Lee, and W.-K. Sung, "Training machine learning models on patient level data segregation is crucial in practical clinical applications," medRxiv preprint, 2020, doi: 10.1101/2020.04.23.20076406.</w:t>
      </w:r>
    </w:p>
    <w:p>
      <w:pPr>
        <w:spacing w:after="60" w:before="0" w:line="180" w:lineRule="exact"/>
        <w:ind w:left="283" w:hanging="283"/>
        <w:jc w:val="both"/>
      </w:pPr>
      <w:r>
        <w:rPr>
          <w:rFonts w:ascii="Times New Roman" w:hAnsi="Times New Roman"/>
          <w:sz w:val="15"/>
        </w:rPr>
        <w:t xml:space="preserve">[12] D. Hendrycks and T. Dietterich, "Benchmarking neural network robustness to common corruptions and perturbations," in </w:t>
      </w:r>
      <w:r>
        <w:rPr>
          <w:rFonts w:ascii="Times New Roman" w:hAnsi="Times New Roman"/>
          <w:i/>
          <w:sz w:val="15"/>
        </w:rPr>
        <w:t>Proc. Int. Conf. Learning Representations (ICLR)</w:t>
      </w:r>
      <w:r>
        <w:rPr>
          <w:rFonts w:ascii="Times New Roman" w:hAnsi="Times New Roman"/>
          <w:sz w:val="15"/>
        </w:rPr>
        <w:t>, 2019, arXiv:1903.12261.</w:t>
      </w:r>
    </w:p>
    <w:p>
      <w:pPr>
        <w:spacing w:after="60" w:before="0" w:line="180" w:lineRule="exact"/>
        <w:ind w:left="283" w:hanging="283"/>
        <w:jc w:val="both"/>
      </w:pPr>
      <w:r>
        <w:rPr>
          <w:rFonts w:ascii="Times New Roman" w:hAnsi="Times New Roman"/>
          <w:sz w:val="15"/>
        </w:rPr>
        <w:t xml:space="preserve">[13] A. Howard, M. Sandler, G. Chu, L.-C. Chen, B. Chen, M. Tan, W. Wang, Y. Zhu, R. Pang, V. Vasudevan, Q. V. Le, and H. Adam, "Searching for MobileNetV3," in </w:t>
      </w:r>
      <w:r>
        <w:rPr>
          <w:rFonts w:ascii="Times New Roman" w:hAnsi="Times New Roman"/>
          <w:i/>
          <w:sz w:val="15"/>
        </w:rPr>
        <w:t>Proc. IEEE Int. Conf. Computer Vision (ICCV)</w:t>
      </w:r>
      <w:r>
        <w:rPr>
          <w:rFonts w:ascii="Times New Roman" w:hAnsi="Times New Roman"/>
          <w:sz w:val="15"/>
        </w:rPr>
        <w:t>, 2019, pp. 1314–1324, arXiv:1905.02244.</w:t>
      </w:r>
    </w:p>
    <w:p>
      <w:pPr>
        <w:spacing w:after="60" w:before="0" w:line="180" w:lineRule="exact"/>
        <w:ind w:left="283" w:hanging="283"/>
        <w:jc w:val="both"/>
      </w:pPr>
      <w:r>
        <w:rPr>
          <w:rFonts w:ascii="Times New Roman" w:hAnsi="Times New Roman"/>
          <w:sz w:val="15"/>
        </w:rPr>
        <w:t xml:space="preserve">[14] M. Tan and Q. V. Le, "EfficientNet: Rethinking model scaling for convolutional neural networks," in </w:t>
      </w:r>
      <w:r>
        <w:rPr>
          <w:rFonts w:ascii="Times New Roman" w:hAnsi="Times New Roman"/>
          <w:i/>
          <w:sz w:val="15"/>
        </w:rPr>
        <w:t>Proc. Int. Conf. Machine Learning (ICML)</w:t>
      </w:r>
      <w:r>
        <w:rPr>
          <w:rFonts w:ascii="Times New Roman" w:hAnsi="Times New Roman"/>
          <w:sz w:val="15"/>
        </w:rPr>
        <w:t>, 2019, arXiv:1905.11946.</w:t>
      </w:r>
    </w:p>
    <w:p>
      <w:pPr>
        <w:spacing w:after="60" w:before="0" w:line="180" w:lineRule="exact"/>
        <w:ind w:left="283" w:hanging="283"/>
        <w:jc w:val="both"/>
      </w:pPr>
      <w:r>
        <w:rPr>
          <w:rFonts w:ascii="Times New Roman" w:hAnsi="Times New Roman"/>
          <w:sz w:val="15"/>
        </w:rPr>
        <w:t xml:space="preserve">[15] R. R. Selvaraju, M. Cogswell, A. Das, R. Vedantam, D. Parikh, and D. Batra, "Grad-CAM: Visual explanations from deep networks via gradient-based localization," in </w:t>
      </w:r>
      <w:r>
        <w:rPr>
          <w:rFonts w:ascii="Times New Roman" w:hAnsi="Times New Roman"/>
          <w:i/>
          <w:sz w:val="15"/>
        </w:rPr>
        <w:t>Proc. IEEE Int. Conf. Computer Vision (ICCV)</w:t>
      </w:r>
      <w:r>
        <w:rPr>
          <w:rFonts w:ascii="Times New Roman" w:hAnsi="Times New Roman"/>
          <w:sz w:val="15"/>
        </w:rPr>
        <w:t>, 2017, arXiv:1610.02391.</w:t>
      </w:r>
    </w:p>
    <w:p>
      <w:pPr>
        <w:spacing w:after="60" w:before="0" w:line="180" w:lineRule="exact"/>
        <w:ind w:left="283" w:hanging="283"/>
        <w:jc w:val="both"/>
      </w:pPr>
      <w:r>
        <w:rPr>
          <w:rFonts w:ascii="Times New Roman" w:hAnsi="Times New Roman"/>
          <w:sz w:val="15"/>
        </w:rPr>
        <w:t xml:space="preserve">[16] S. M. Lundberg and S.-I. Lee, "A unified approach to interpreting model predictions," in </w:t>
      </w:r>
      <w:r>
        <w:rPr>
          <w:rFonts w:ascii="Times New Roman" w:hAnsi="Times New Roman"/>
          <w:i/>
          <w:sz w:val="15"/>
        </w:rPr>
        <w:t>Advances in Neural Information Processing Systems (NeurIPS)</w:t>
      </w:r>
      <w:r>
        <w:rPr>
          <w:rFonts w:ascii="Times New Roman" w:hAnsi="Times New Roman"/>
          <w:sz w:val="15"/>
        </w:rPr>
        <w:t>, 2017, arXiv:1705.07874.</w:t>
      </w:r>
    </w:p>
    <w:p>
      <w:pPr>
        <w:spacing w:after="60" w:before="0" w:line="180" w:lineRule="exact"/>
        <w:ind w:left="283" w:hanging="283"/>
        <w:jc w:val="both"/>
      </w:pPr>
      <w:r>
        <w:rPr>
          <w:rFonts w:ascii="Times New Roman" w:hAnsi="Times New Roman"/>
          <w:sz w:val="15"/>
        </w:rPr>
        <w:t xml:space="preserve">[17] A. Paszke, S. Gross, F. Massa, et al., "PyTorch: An imperative style, high-performance deep learning library," in </w:t>
      </w:r>
      <w:r>
        <w:rPr>
          <w:rFonts w:ascii="Times New Roman" w:hAnsi="Times New Roman"/>
          <w:i/>
          <w:sz w:val="15"/>
        </w:rPr>
        <w:t>Advances in Neural Information Processing Systems (NeurIPS)</w:t>
      </w:r>
      <w:r>
        <w:rPr>
          <w:rFonts w:ascii="Times New Roman" w:hAnsi="Times New Roman"/>
          <w:sz w:val="15"/>
        </w:rPr>
        <w:t>, 2019.</w:t>
      </w:r>
    </w:p>
    <w:p>
      <w:pPr>
        <w:spacing w:after="60" w:before="0" w:line="180" w:lineRule="exact"/>
        <w:ind w:left="283" w:hanging="283"/>
        <w:jc w:val="both"/>
      </w:pPr>
      <w:r>
        <w:rPr>
          <w:rFonts w:ascii="Times New Roman" w:hAnsi="Times New Roman"/>
          <w:sz w:val="15"/>
        </w:rPr>
        <w:t xml:space="preserve">[18] F. Pedregosa, G. Varoquaux, A. Gramfort, et al., "Scikit-learn: Machine learning in Python," </w:t>
      </w:r>
      <w:r>
        <w:rPr>
          <w:rFonts w:ascii="Times New Roman" w:hAnsi="Times New Roman"/>
          <w:i/>
          <w:sz w:val="15"/>
        </w:rPr>
        <w:t>Journal of Machine Learning Research</w:t>
      </w:r>
      <w:r>
        <w:rPr>
          <w:rFonts w:ascii="Times New Roman" w:hAnsi="Times New Roman"/>
          <w:sz w:val="15"/>
        </w:rPr>
        <w:t>, vol. 12, pp. 2825–2830, 2011.</w:t>
      </w:r>
    </w:p>
    <w:p>
      <w:pPr>
        <w:spacing w:after="60" w:before="0" w:line="180" w:lineRule="exact"/>
        <w:ind w:left="283" w:hanging="283"/>
        <w:jc w:val="both"/>
      </w:pPr>
      <w:r>
        <w:rPr>
          <w:rFonts w:ascii="Times New Roman" w:hAnsi="Times New Roman"/>
          <w:sz w:val="15"/>
        </w:rPr>
        <w:t xml:space="preserve">[19] S. K. Jha, "Fake vs Real Medicine Dataset (images)," Kaggle, dataset </w:t>
      </w:r>
      <w:r>
        <w:rPr>
          <w:rFonts w:ascii="Consolas" w:hAnsi="Consolas"/>
          <w:sz w:val="13"/>
        </w:rPr>
        <w:t>surajkumarjha1/fake-vs-real-medicine-datasets-images</w:t>
      </w:r>
      <w:r>
        <w:rPr>
          <w:rFonts w:ascii="Times New Roman" w:hAnsi="Times New Roman"/>
          <w:sz w:val="15"/>
        </w:rPr>
        <w:t>, last updated 13 Oct. 2025, license stated as "Unknown". [Online]. Available: https://www.kaggle.com/datasets/surajkumarjha1/fake-vs-real-medicine-datasets-images.</w:t>
      </w:r>
    </w:p>
    <w:p>
      <w:pPr>
        <w:spacing w:after="60" w:before="0" w:line="180" w:lineRule="exact"/>
        <w:ind w:left="283" w:hanging="283"/>
        <w:jc w:val="both"/>
      </w:pPr>
      <w:r>
        <w:rPr>
          <w:rFonts w:ascii="Times New Roman" w:hAnsi="Times New Roman"/>
          <w:sz w:val="15"/>
        </w:rPr>
        <w:t>[20] E. Abdelmaksoud, A. Gadallah, and A. Asad, "Mobile-captured pharmaceutical medication packages," Mendeley Data, V1, 2022, doi: 10.17632/bjy2svvmn8.1, CC BY 4.0.</w:t>
      </w:r>
    </w:p>
    <w:p>
      <w:pPr>
        <w:spacing w:after="60" w:before="0" w:line="180" w:lineRule="exact"/>
        <w:ind w:left="283" w:hanging="283"/>
        <w:jc w:val="both"/>
      </w:pPr>
      <w:r>
        <w:rPr>
          <w:rFonts w:ascii="Times New Roman" w:hAnsi="Times New Roman"/>
          <w:sz w:val="15"/>
        </w:rPr>
        <w:t>[21] Harshini T. G. R., "Counterfeit_med_detection," Roboflow Universe, version 4 (multiclass export), Nov. 2022, CC BY 4.0. Accessed: Aug. 28, 2026. [Online]. Available: https://universe.roboflow.com/harshini-t-g-r/counterfeit_med_detection.</w:t>
      </w:r>
    </w:p>
    <w:p>
      <w:pPr>
        <w:spacing w:after="60" w:before="0" w:line="180" w:lineRule="exact"/>
        <w:ind w:left="283" w:hanging="283"/>
        <w:jc w:val="both"/>
      </w:pPr>
      <w:r>
        <w:rPr>
          <w:rFonts w:ascii="Times New Roman" w:hAnsi="Times New Roman"/>
          <w:sz w:val="15"/>
        </w:rPr>
        <w:t xml:space="preserve">[22] Q. McNemar, "Note on the sampling error of the difference between correlated proportions or percentages," </w:t>
      </w:r>
      <w:r>
        <w:rPr>
          <w:rFonts w:ascii="Times New Roman" w:hAnsi="Times New Roman"/>
          <w:i/>
          <w:sz w:val="15"/>
        </w:rPr>
        <w:t>Psychometrika</w:t>
      </w:r>
      <w:r>
        <w:rPr>
          <w:rFonts w:ascii="Times New Roman" w:hAnsi="Times New Roman"/>
          <w:sz w:val="15"/>
        </w:rPr>
        <w:t>, vol. 12, no. 2, pp. 153–157, 1947.</w:t>
      </w:r>
    </w:p>
    <w:p>
      <w:pPr>
        <w:spacing w:after="60" w:before="0" w:line="180" w:lineRule="exact"/>
        <w:ind w:left="283" w:hanging="283"/>
        <w:jc w:val="both"/>
      </w:pPr>
      <w:r>
        <w:rPr>
          <w:rFonts w:ascii="Times New Roman" w:hAnsi="Times New Roman"/>
          <w:sz w:val="15"/>
        </w:rPr>
        <w:t xml:space="preserve">[23] K. Zhou, Z. Liu, Y. Qiao, T. Xiang, and C. C. Loy, "Domain generalization: A survey," </w:t>
      </w:r>
      <w:r>
        <w:rPr>
          <w:rFonts w:ascii="Times New Roman" w:hAnsi="Times New Roman"/>
          <w:i/>
          <w:sz w:val="15"/>
        </w:rPr>
        <w:t>IEEE Transactions on Pattern Analysis and Machine Intelligence</w:t>
      </w:r>
      <w:r>
        <w:rPr>
          <w:rFonts w:ascii="Times New Roman" w:hAnsi="Times New Roman"/>
          <w:sz w:val="15"/>
        </w:rPr>
        <w:t>, vol. 45, no. 4, pp. 4396–4415, 2023, doi: 10.1109/TPAMI.2022.3195549, arXiv:2103.02503.</w:t>
      </w:r>
    </w:p>
    <w:p>
      <w:pPr>
        <w:spacing w:after="60" w:before="0" w:line="180" w:lineRule="exact"/>
        <w:ind w:left="283" w:hanging="283"/>
        <w:jc w:val="both"/>
      </w:pPr>
      <w:r>
        <w:rPr>
          <w:rFonts w:ascii="Times New Roman" w:hAnsi="Times New Roman"/>
          <w:sz w:val="15"/>
        </w:rPr>
        <w:t xml:space="preserve">[24] B. Efron and R. J. Tibshirani, </w:t>
      </w:r>
      <w:r>
        <w:rPr>
          <w:rFonts w:ascii="Times New Roman" w:hAnsi="Times New Roman"/>
          <w:i/>
          <w:sz w:val="15"/>
        </w:rPr>
        <w:t>An Introduction to the Bootstrap</w:t>
      </w:r>
      <w:r>
        <w:rPr>
          <w:rFonts w:ascii="Times New Roman" w:hAnsi="Times New Roman"/>
          <w:sz w:val="15"/>
        </w:rPr>
        <w:t>. New York, NY, USA: Chapman &amp; Hall, 1993.</w:t>
      </w:r>
    </w:p>
    <w:p>
      <w:pPr>
        <w:spacing w:after="60" w:before="0" w:line="180" w:lineRule="exact"/>
        <w:ind w:left="283" w:hanging="283"/>
        <w:jc w:val="both"/>
      </w:pPr>
      <w:r>
        <w:rPr>
          <w:rFonts w:ascii="Times New Roman" w:hAnsi="Times New Roman"/>
          <w:sz w:val="15"/>
        </w:rPr>
        <w:t>[25] C. Zauner, "Implementation and benchmarking of perceptual image hash functions," M.Sc. thesis, Upper Austria University of Applied Sciences Hagenberg, Jul. 2010. [Online]. Available: https://www.phash.org/docs/pubs/thesis_zauner.pdf.</w:t>
      </w:r>
    </w:p>
    <w:p>
      <w:pPr>
        <w:spacing w:after="60" w:before="0" w:line="180" w:lineRule="exact"/>
        <w:ind w:left="283" w:hanging="283"/>
        <w:jc w:val="both"/>
      </w:pPr>
      <w:r>
        <w:rPr>
          <w:rFonts w:ascii="Times New Roman" w:hAnsi="Times New Roman"/>
          <w:sz w:val="15"/>
        </w:rPr>
        <w:t xml:space="preserve">[26] K. Motwani, R. Dsouza, R. Dsouza, and J. Jose, "Counterfeit medicine detection using deep learning," </w:t>
      </w:r>
      <w:r>
        <w:rPr>
          <w:rFonts w:ascii="Times New Roman" w:hAnsi="Times New Roman"/>
          <w:i/>
          <w:sz w:val="15"/>
        </w:rPr>
        <w:t>International Journal of Innovative Research in Technology (IJIRT)</w:t>
      </w:r>
      <w:r>
        <w:rPr>
          <w:rFonts w:ascii="Times New Roman" w:hAnsi="Times New Roman"/>
          <w:sz w:val="15"/>
        </w:rPr>
        <w:t>, vol. 9, no. 3, pp. 818–821, Aug. 2022, ISSN 2349-6002.</w:t>
      </w:r>
    </w:p>
    <w:p>
      <w:pPr>
        <w:spacing w:after="60" w:before="0" w:line="180" w:lineRule="exact"/>
        <w:ind w:left="283" w:hanging="283"/>
        <w:jc w:val="both"/>
      </w:pPr>
      <w:r>
        <w:rPr>
          <w:rFonts w:ascii="Times New Roman" w:hAnsi="Times New Roman"/>
          <w:sz w:val="15"/>
        </w:rPr>
        <w:t xml:space="preserve">[27] B. S. Thomson and W. R. Varuna, "An intelligent counterfeit medicine classification prediction system using modified YOLO: A single stage object detector," </w:t>
      </w:r>
      <w:r>
        <w:rPr>
          <w:rFonts w:ascii="Times New Roman" w:hAnsi="Times New Roman"/>
          <w:i/>
          <w:sz w:val="15"/>
        </w:rPr>
        <w:t>TPM (Testing, Psychometrics, Methodology in Applied Psychology)</w:t>
      </w:r>
      <w:r>
        <w:rPr>
          <w:rFonts w:ascii="Times New Roman" w:hAnsi="Times New Roman"/>
          <w:sz w:val="15"/>
        </w:rPr>
        <w:t>, vol. 32, no. S2, pp. 1073–1088, 2025, ISSN 1972-6325.</w:t>
      </w:r>
    </w:p>
    <w:p>
      <w:pPr>
        <w:spacing w:after="60" w:before="0" w:line="180" w:lineRule="exact"/>
        <w:ind w:left="283" w:hanging="283"/>
        <w:jc w:val="both"/>
      </w:pPr>
      <w:r>
        <w:rPr>
          <w:rFonts w:ascii="Times New Roman" w:hAnsi="Times New Roman"/>
          <w:sz w:val="15"/>
        </w:rPr>
        <w:t xml:space="preserve">[28] B. S. Thomson and W. R. Varuna, "Detecting counterfeit medicines utilizing artificial intelligence technique," </w:t>
      </w:r>
      <w:r>
        <w:rPr>
          <w:rFonts w:ascii="Times New Roman" w:hAnsi="Times New Roman"/>
          <w:i/>
          <w:sz w:val="15"/>
        </w:rPr>
        <w:t>International Journal of Creative Research Thoughts (IJCRT)</w:t>
      </w:r>
      <w:r>
        <w:rPr>
          <w:rFonts w:ascii="Times New Roman" w:hAnsi="Times New Roman"/>
          <w:sz w:val="15"/>
        </w:rPr>
        <w:t>, vol. 13, no. 4, pp. i322–i329, Apr. 2025, ISSN 2320-2882.</w:t>
      </w:r>
    </w:p>
    <w:p>
      <w:pPr>
        <w:spacing w:after="60" w:before="0" w:line="180" w:lineRule="exact"/>
        <w:ind w:left="283" w:hanging="283"/>
        <w:jc w:val="both"/>
      </w:pPr>
      <w:r>
        <w:rPr>
          <w:rFonts w:ascii="Times New Roman" w:hAnsi="Times New Roman"/>
          <w:sz w:val="15"/>
        </w:rPr>
        <w:t>[29] H. Garcia-Cotte, D. Mellouli, A. Rehman, L. Wang, and D. G. Stork, "Deep neural network-based detection of counterfeit products from smartphone images," arXiv:2410.05969, 2024.</w:t>
      </w:r>
    </w:p>
    <w:p>
      <w:pPr>
        <w:spacing w:after="60" w:before="0" w:line="180" w:lineRule="exact"/>
        <w:ind w:left="283" w:hanging="283"/>
        <w:jc w:val="both"/>
      </w:pPr>
      <w:r>
        <w:rPr>
          <w:rFonts w:ascii="Times New Roman" w:hAnsi="Times New Roman"/>
          <w:sz w:val="15"/>
        </w:rPr>
        <w:t xml:space="preserve">[30] P. Grommelt, L. Weiss, F.-J. Pfreundt, and J. Keuper, "Fake or JPEG? Revealing common biases in generated image detection datasets," in </w:t>
      </w:r>
      <w:r>
        <w:rPr>
          <w:rFonts w:ascii="Times New Roman" w:hAnsi="Times New Roman"/>
          <w:i/>
          <w:sz w:val="15"/>
        </w:rPr>
        <w:t>Computer Vision – ECCV 2024 Workshops</w:t>
      </w:r>
      <w:r>
        <w:rPr>
          <w:rFonts w:ascii="Times New Roman" w:hAnsi="Times New Roman"/>
          <w:sz w:val="15"/>
        </w:rPr>
        <w:t>, Lecture Notes in Computer Science. Cham, Switzerland: Springer, 2025, pp. 80–95, doi: 10.1007/978-3-031-92089-9_6, arXiv:2403.17608.</w:t>
      </w:r>
    </w:p>
    <w:p>
      <w:pPr>
        <w:spacing w:after="60" w:before="0" w:line="180" w:lineRule="exact"/>
        <w:ind w:left="283" w:hanging="283"/>
        <w:jc w:val="both"/>
      </w:pPr>
      <w:r>
        <w:rPr>
          <w:rFonts w:ascii="Times New Roman" w:hAnsi="Times New Roman"/>
          <w:sz w:val="15"/>
        </w:rPr>
        <w:t xml:space="preserve">[31] A. J. DeGrave, J. D. Janizek, and S.-I. Lee, "AI for radiographic COVID-19 detection selects shortcuts over signal," </w:t>
      </w:r>
      <w:r>
        <w:rPr>
          <w:rFonts w:ascii="Times New Roman" w:hAnsi="Times New Roman"/>
          <w:i/>
          <w:sz w:val="15"/>
        </w:rPr>
        <w:t>Nature Machine Intelligence</w:t>
      </w:r>
      <w:r>
        <w:rPr>
          <w:rFonts w:ascii="Times New Roman" w:hAnsi="Times New Roman"/>
          <w:sz w:val="15"/>
        </w:rPr>
        <w:t>, vol. 3, no. 7, pp. 610–619, 2021, doi: 10.1038/s42256-021-00338-7.</w:t>
      </w:r>
    </w:p>
    <w:p>
      <w:pPr>
        <w:spacing w:after="60" w:before="0" w:line="180" w:lineRule="exact"/>
        <w:ind w:left="283" w:hanging="283"/>
        <w:jc w:val="both"/>
      </w:pPr>
      <w:r>
        <w:rPr>
          <w:rFonts w:ascii="Times New Roman" w:hAnsi="Times New Roman"/>
          <w:sz w:val="15"/>
        </w:rPr>
        <w:t xml:space="preserve">[32] A. Torralba and A. A. Efros, "Unbiased look at dataset bias," in </w:t>
      </w:r>
      <w:r>
        <w:rPr>
          <w:rFonts w:ascii="Times New Roman" w:hAnsi="Times New Roman"/>
          <w:i/>
          <w:sz w:val="15"/>
        </w:rPr>
        <w:t>Proc. IEEE Conf. Computer Vision and Pattern Recognition (CVPR)</w:t>
      </w:r>
      <w:r>
        <w:rPr>
          <w:rFonts w:ascii="Times New Roman" w:hAnsi="Times New Roman"/>
          <w:sz w:val="15"/>
        </w:rPr>
        <w:t>, 2011, pp. 1521–1528, doi: 10.1109/CVPR.2011.5995347.</w:t>
      </w:r>
    </w:p>
    <w:p>
      <w:pPr>
        <w:keepNext/>
        <w:spacing w:before="200" w:after="60" w:line="240" w:lineRule="exact"/>
        <w:jc w:val="left"/>
      </w:pPr>
      <w:r>
        <w:rPr>
          <w:rFonts w:ascii="Arial" w:hAnsi="Arial"/>
          <w:b/>
          <w:i w:val="0"/>
          <w:color w:val="00548F"/>
          <w:sz w:val="18"/>
        </w:rPr>
        <w:t>AUTHOR BIOGRAPHIES</w:t>
      </w:r>
    </w:p>
    <w:p>
      <w:pPr>
        <w:spacing w:line="240" w:lineRule="auto" w:after="80"/>
        <w:jc w:val="left"/>
      </w:pPr>
      <w:r>
        <w:drawing>
          <wp:inline xmlns:a="http://schemas.openxmlformats.org/drawingml/2006/main" xmlns:pic="http://schemas.openxmlformats.org/drawingml/2006/picture">
            <wp:extent cx="914400" cy="1344706"/>
            <wp:docPr id="2" name="Picture 2"/>
            <wp:cNvGraphicFramePr>
              <a:graphicFrameLocks noChangeAspect="1"/>
            </wp:cNvGraphicFramePr>
            <a:graphic>
              <a:graphicData uri="http://schemas.openxmlformats.org/drawingml/2006/picture">
                <pic:pic>
                  <pic:nvPicPr>
                    <pic:cNvPr id="0" name="author_photo.jpeg"/>
                    <pic:cNvPicPr/>
                  </pic:nvPicPr>
                  <pic:blipFill>
                    <a:blip r:embed="rId11"/>
                    <a:stretch>
                      <a:fillRect/>
                    </a:stretch>
                  </pic:blipFill>
                  <pic:spPr>
                    <a:xfrm>
                      <a:off x="0" y="0"/>
                      <a:ext cx="914400" cy="1344706"/>
                    </a:xfrm>
                    <a:prstGeom prst="rect"/>
                  </pic:spPr>
                </pic:pic>
              </a:graphicData>
            </a:graphic>
          </wp:inline>
        </w:drawing>
      </w:r>
    </w:p>
    <w:p>
      <w:pPr>
        <w:spacing w:after="0" w:before="0" w:line="240" w:lineRule="exact"/>
        <w:ind w:firstLine="202"/>
        <w:jc w:val="both"/>
      </w:pPr>
      <w:r>
        <w:rPr>
          <w:rFonts w:ascii="Times New Roman" w:hAnsi="Times New Roman"/>
          <w:b/>
          <w:sz w:val="20"/>
        </w:rPr>
        <w:t>SOPHIE ZHU</w:t>
      </w:r>
      <w:r>
        <w:rPr>
          <w:rFonts w:ascii="Times New Roman" w:hAnsi="Times New Roman"/>
          <w:sz w:val="20"/>
        </w:rPr>
        <w:t xml:space="preserve"> is a student at Mira Costa High School, in Manhattan Beach, CA, USA. Her research interests include computer vision and machine learning applications in public health, with an emphasis on low-cost systems for resource-constrained environments. Her current work examines how dataset construction shapes what image classifiers learn.</w:t>
      </w:r>
    </w:p>
    <w:sectPr w:rsidR="00FC693F" w:rsidRPr="0006063C" w:rsidSect="00034616">
      <w:type w:val="continuous"/>
      <w:pgSz w:w="11520" w:h="15659"/>
      <w:pgMar w:top="1080" w:right="728" w:bottom="1134" w:left="728" w:header="720" w:footer="720" w:gutter="0"/>
      <w:docGrid w:linePitch="360"/>
      <w:cols w:num="2" w:equalWidth="1" w:space="394"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548F"/>
        <w:sz w:val="16"/>
      </w:rPr>
      <w:t xml:space="preserve">VOLUME 14, 2026   </w:t>
    </w: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exac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