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r>
        <w:rPr>
          <w:rFonts w:ascii="Calibri" w:cs="Calibri" w:eastAsia="Calibri" w:hAnsi="Calibri"/>
          <w:b/>
          <w:bCs/>
          <w:color w:val="4F8A58"/>
          <w:spacing w:val="30"/>
          <w:sz w:val="20"/>
          <w:szCs w:val="20"/>
        </w:rPr>
        <w:t xml:space="preserve">FÜHRUNGSFEEDBACK-PORTAL</w:t>
      </w:r>
    </w:p>
    <w:p>
      <w:pPr>
        <w:spacing w:after="220" w:before="220"/>
      </w:pPr>
      <w:r>
        <w:rPr>
          <w:rFonts w:ascii="Georgia" w:cs="Georgia" w:eastAsia="Georgia" w:hAnsi="Georgia"/>
          <w:b/>
          <w:bCs/>
          <w:color w:val="1C2620"/>
          <w:sz w:val="56"/>
          <w:szCs w:val="56"/>
        </w:rPr>
        <w:t xml:space="preserve">Anonymes 360°-Feedback für Führungskräfte</w:t>
      </w:r>
    </w:p>
    <w:p>
      <w:pPr>
        <w:spacing w:after="500"/>
      </w:pPr>
      <w:r>
        <w:rPr>
          <w:rFonts w:ascii="Calibri" w:cs="Calibri" w:eastAsia="Calibri" w:hAnsi="Calibri"/>
          <w:color w:val="5B6960"/>
          <w:sz w:val="26"/>
          <w:szCs w:val="26"/>
        </w:rPr>
        <w:t xml:space="preserve">Funktionsüberblick und technische Architektur</w:t>
      </w:r>
    </w:p>
    <w:p>
      <w:pPr>
        <w:spacing w:after="1400"/>
      </w:pPr>
      <w:r>
        <w:rPr>
          <w:rFonts w:ascii="Calibri" w:cs="Calibri" w:eastAsia="Calibri" w:hAnsi="Calibri"/>
          <w:color w:val="1C2620"/>
          <w:sz w:val="23"/>
          <w:szCs w:val="23"/>
        </w:rPr>
        <w:t xml:space="preserve">Mitarbeitende bewerten halbjährlich anonym ihre direkte Führungskraft. Führungskräfte bewerten wiederum ihre eigene Führungskraft. Aus den Antworten entsteht automatisch ein Report je Führungskraft — erst ab drei Antworten, damit niemand Rückschlüsse auf eine einzelne Person ziehen kann. HR behält Organisation, Umfrage-Inhalte und Rücklauf im Blick.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F8A58"/>
                <w:sz w:val="34"/>
                <w:szCs w:val="34"/>
              </w:rPr>
              <w:t xml:space="preserve">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6960"/>
                <w:sz w:val="17"/>
                <w:szCs w:val="17"/>
              </w:rPr>
              <w:t xml:space="preserve">Rollen: Mitarbeiter, Führungskraft, Admin</w:t>
            </w:r>
          </w:p>
        </w:tc>
        <w:tc>
          <w:tcPr>
            <w:tcW w:type="dxa" w:w="235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F8A58"/>
                <w:sz w:val="34"/>
                <w:szCs w:val="34"/>
              </w:rPr>
              <w:t xml:space="preserve">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6960"/>
                <w:sz w:val="17"/>
                <w:szCs w:val="17"/>
              </w:rPr>
              <w:t xml:space="preserve">Fragetypen inkl. Verzweigungen</w:t>
            </w:r>
          </w:p>
        </w:tc>
        <w:tc>
          <w:tcPr>
            <w:tcW w:type="dxa" w:w="235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F8A58"/>
                <w:sz w:val="34"/>
                <w:szCs w:val="34"/>
              </w:rPr>
              <w:t xml:space="preserve">20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6960"/>
                <w:sz w:val="17"/>
                <w:szCs w:val="17"/>
              </w:rPr>
              <w:t xml:space="preserve">Sprachen je Fragebogen wählbar</w:t>
            </w:r>
          </w:p>
        </w:tc>
        <w:tc>
          <w:tcPr>
            <w:tcW w:type="dxa" w:w="235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F8A58"/>
                <w:sz w:val="34"/>
                <w:szCs w:val="34"/>
              </w:rPr>
              <w:t xml:space="preserve">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6960"/>
                <w:sz w:val="17"/>
                <w:szCs w:val="17"/>
              </w:rPr>
              <w:t xml:space="preserve">Report-Formate: PDF · PowerPoint · Excel · CSV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4F8A58"/>
          <w:spacing w:val="20"/>
          <w:sz w:val="17"/>
          <w:szCs w:val="17"/>
        </w:rPr>
        <w:t xml:space="preserve">WAS IST DAS FÜHRUNGSFEEDBACK-PORTAL</w:t>
      </w:r>
    </w:p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So funktioniert es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Vier Schritte von der geplanten Runde bis zur abgeleiteten Maßnahme.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EEF4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F8A58"/>
                <w:sz w:val="30"/>
                <w:szCs w:val="30"/>
              </w:rPr>
              <w:t xml:space="preserve">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19"/>
                <w:szCs w:val="19"/>
              </w:rPr>
              <w:t xml:space="preserve">Runde anlegen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5B6960"/>
                <w:sz w:val="16"/>
                <w:szCs w:val="16"/>
              </w:rPr>
              <w:t xml:space="preserve">HR wählt Fragebogen &amp; Zeitraum — einmalig oder automatisch wiederkehrend.</w:t>
            </w:r>
          </w:p>
        </w:tc>
        <w:tc>
          <w:tcPr>
            <w:tcW w:type="dxa" w:w="235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EEF4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F8A58"/>
                <w:sz w:val="30"/>
                <w:szCs w:val="30"/>
              </w:rPr>
              <w:t xml:space="preserve">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19"/>
                <w:szCs w:val="19"/>
              </w:rPr>
              <w:t xml:space="preserve">Anonym bewerten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5B6960"/>
                <w:sz w:val="16"/>
                <w:szCs w:val="16"/>
              </w:rPr>
              <w:t xml:space="preserve">Mitarbeitende füllen den Fragebogen aus — am Handy, Tablet oder PC.</w:t>
            </w:r>
          </w:p>
        </w:tc>
        <w:tc>
          <w:tcPr>
            <w:tcW w:type="dxa" w:w="235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EEF4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F8A58"/>
                <w:sz w:val="30"/>
                <w:szCs w:val="30"/>
              </w:rPr>
              <w:t xml:space="preserve">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19"/>
                <w:szCs w:val="19"/>
              </w:rPr>
              <w:t xml:space="preserve">Report entsteht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5B6960"/>
                <w:sz w:val="16"/>
                <w:szCs w:val="16"/>
              </w:rPr>
              <w:t xml:space="preserve">Ab drei Antworten wertet das System automatisch aus und schwärzt Freitexte.</w:t>
            </w:r>
          </w:p>
        </w:tc>
        <w:tc>
          <w:tcPr>
            <w:tcW w:type="dxa" w:w="235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EEF4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F8A58"/>
                <w:sz w:val="30"/>
                <w:szCs w:val="30"/>
              </w:rPr>
              <w:t xml:space="preserve">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19"/>
                <w:szCs w:val="19"/>
              </w:rPr>
              <w:t xml:space="preserve">Maßnahmen ableiten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5B6960"/>
                <w:sz w:val="16"/>
                <w:szCs w:val="16"/>
              </w:rPr>
              <w:t xml:space="preserve">Führungskraft sieht den Report und leitet Maßnahmen fürs Team ab.</w:t>
            </w:r>
          </w:p>
        </w:tc>
      </w:tr>
    </w:tbl>
    <w:p>
      <w:pPr>
        <w:spacing w:after="200"/>
      </w:pPr>
    </w:p>
    <w:tbl>
      <w:tblPr>
        <w:tblW w:type="dxa" w:w="2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60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A58"/>
                <w:sz w:val="16"/>
                <w:szCs w:val="16"/>
              </w:rPr>
              <w:t xml:space="preserve">FÜR MITARBEITENDE</w:t>
            </w:r>
          </w:p>
        </w:tc>
      </w:tr>
    </w:tbl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Feedback geben, im Blick behalten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Die Ansicht für alle: schnell verständlich, wenige Klicks, auf jedem Gerät.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Ein Dashboard, eine Aufgabe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„Du hast 2 offene Feedbacks“ oder „Alles erledigt“ — mit Fälligkeitsdatum, ohne Umwege.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Feedback in ca. 5 Minuten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Große Antwort-Kacheln, Fortschrittsanzeige, funktioniert auf Handy, Tablet und Kiosk-PC.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Vertrauens-Hinweis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Vor jeder Umfrage steht in Klartext, was mit den Antworten passiert — und was nicht.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Teilnahme-Verlauf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„Meine Feedbacks“ zeigt jede Runde: abgegeben, offen oder verpasst.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Eigene Antworten ansehen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Nach der Abgabe nur lesbar und nur auf dem eigenen Gerät gespeichert — nicht auf dem Server.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Maßnahmen der Führungskraft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„Was hat sich getan?“ — freigegebene Maßnahmen des eigenen Teams einsehen.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Persönliche Sprache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Eigene Sprache für den Fragebogen wählen, wenn dieser mehrsprachig angeboten wird.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Anmeldung für alle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Single Sign-on (Entra ID), Personalnummer + Einmalcode für Personen ohne E-Mail, Kiosk-Modus mit Auto-Abmeldung.</w:t>
      </w:r>
    </w:p>
    <w:tbl>
      <w:tblPr>
        <w:tblW w:type="dxa" w:w="2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60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7D8C"/>
                <w:sz w:val="16"/>
                <w:szCs w:val="16"/>
              </w:rPr>
              <w:t xml:space="preserve">FÜR FÜHRUNGSKRÄFTE</w:t>
            </w:r>
          </w:p>
        </w:tc>
      </w:tr>
    </w:tbl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Den eigenen Report verstehen und nutzen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Alles aus der Mitarbeiter-Ansicht, zusätzlich der eigene Feedback-Report.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Report in vier Reitern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Überblick, Themen im Detail, Freitexte, Verlauf über mehrere Runden — klar getrennt.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Einordnung auf einen Blick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Vergleich mit Fachbereich, Unternehmen und Vorrunde; Ampel zeigt sofort, wo man steht.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Weiterempfehlung (NPS)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Würde mich mein Team weiterempfehlen? Mit Kritikern/Neutralen/Fans und Referenzwert.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Freitexte verständlich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Wortwolke, nach Themen gruppiert, optional KI-Zusammenfassung — immer geschwärzt.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Export in vier Formaten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Eigenen Report als PDF, PowerPoint, Excel oder CSV herunterladen.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Maßnahmen ableiten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Themenvorschläge aus dem Report übernehmen, Maßnahmen anlegen und fürs Team freigeben.</w:t>
      </w:r>
    </w:p>
    <w:p>
      <w:r>
        <w:br w:type="page"/>
      </w:r>
    </w:p>
    <w:tbl>
      <w:tblPr>
        <w:tblW w:type="dxa" w:w="2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60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3711F"/>
                <w:sz w:val="16"/>
                <w:szCs w:val="16"/>
              </w:rPr>
              <w:t xml:space="preserve">ADMIN</w:t>
            </w:r>
          </w:p>
        </w:tc>
      </w:tr>
    </w:tbl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Umfrage gestalten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Der Fragebogen entsteht im Portal — ohne LimeSurvey-Kenntnisse.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Themen &amp; Reihenfolge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Dimensionen frei anlegen, Fragen per Drag &amp; Drop sortieren.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Vier Fragetypen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Likert-Skala (4–7 Stufen, jede Stufe frei beschriftbar), Weiterempfehlung (NPS), Einfach-/Mehrfachauswahl, Freitext.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Verzweigungen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Eine Frage nur zeigen, wenn eine frühere Frage eine Bedingung erfüllt.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Mehrsprachig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Beliebige Zusatzsprachen, Übersetzungsansicht mit Fortschritt, optionale KI-Übersetzung — fehlende Texte fallen auf Deutsch zurück.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Versionierung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Eine in Nutzung befindliche Version ist gesperrt; Änderungen laufen über „als neue Version bearbeiten“.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Veröffentlichen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Ein Klick überträgt den Fragebogen nach LimeSurvey — passiert sonst automatisch beim Rundenstart.</w:t>
      </w:r>
    </w:p>
    <w:tbl>
      <w:tblPr>
        <w:tblW w:type="dxa" w:w="2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60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3711F"/>
                <w:sz w:val="16"/>
                <w:szCs w:val="16"/>
              </w:rPr>
              <w:t xml:space="preserve">ADMIN</w:t>
            </w:r>
          </w:p>
        </w:tc>
      </w:tr>
    </w:tbl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Befragungsrunden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Vom Anlegen bis zur Erinnerung — in einem Assistenten.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Runden-Assistent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Drei Schritte: Fragebogen wählen, Zeitraum festlegen, bestätigen.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Automatisch wiederkehrend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Vierteljährlich, halbjährlich oder jährlich — die nächste Runde entsteht von selbst.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Teams immer aktuell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Vor jedem Rundenstart werden die Teams automatisch aus SAP aktualisiert.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Rücklauf im Blick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Dashboard je Fachbereich, „Erinnerung an alle Offenen“ (höchstens einmal pro Tag).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Ohne E-Mail-Adresse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Code-Briefe mit QR-Code und ein Team-Aushang — ohne Teilnahmestatus einzelner Personen.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Export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Rücklauf je Fachbereich als CSV herunterladen.</w:t>
      </w:r>
    </w:p>
    <w:tbl>
      <w:tblPr>
        <w:tblW w:type="dxa" w:w="2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60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3711F"/>
                <w:sz w:val="16"/>
                <w:szCs w:val="16"/>
              </w:rPr>
              <w:t xml:space="preserve">ADMIN</w:t>
            </w:r>
          </w:p>
        </w:tc>
      </w:tr>
    </w:tbl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Auswertung &amp; Benchmarking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Kennzahlen für HR — nie mit Bezug auf eine einzelne Antwort.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Statistik je Frage/Thema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n, Minimum, Maximum, Mittelwert, Median, Standardabweichung, Verteilung.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Frei wählbare Gruppen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Fachbereiche miteinander vergleichen, als Balken- oder Ampel-Ansicht.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Pseudonymer Benchmark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Führungskräfte untereinander vergleichen — als „FK-A“, „FK-B“, nie mit echtem Namen.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Unternehmensweiter NPS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Mit manuell pflegbarem Referenzwert, z. B. aus einer Branchenstudie.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Freitext-Themen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Wortwolke und Kategorien (KI oder Schlüsselwörter) — erst ab drei Texten sichtbar.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Export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Als Excel, PowerPoint oder CSV, ohne unterdrückte Kleingruppen.</w:t>
      </w:r>
    </w:p>
    <w:p>
      <w:r>
        <w:br w:type="page"/>
      </w:r>
    </w:p>
    <w:tbl>
      <w:tblPr>
        <w:tblW w:type="dxa" w:w="2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60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3711F"/>
                <w:sz w:val="16"/>
                <w:szCs w:val="16"/>
              </w:rPr>
              <w:t xml:space="preserve">ADMIN</w:t>
            </w:r>
          </w:p>
        </w:tc>
      </w:tr>
    </w:tbl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Report-Layout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Aufbau und Wortlaut jedes Führungskraft-Reports zentral festlegen — mit Live-Vorschau.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Abschnitte steuern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Ein-/ausblenden und per Pfeil in beliebige Reihenfolge bringen.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Eigene Textbausteine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Bis zu zehn frei formulierte Abschnitte an beliebiger Stelle einfügen.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Feste Formulierungen anpassen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z. B. „Das läuft gut“ umbenennen — mit Rückfall auf den Standardtext.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Platzhalter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{leader}, {overall}, {best_topic} u. a. werden automatisch mit echten Werten befüllt.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Farbe &amp; Vorschau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Akzentfarbe wählen, Änderungen sofort in der Live-Vorschau mit Beispieldaten sehen.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Beispiel-Downloads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Vor dem Speichern in allen vier Formaten testen.</w:t>
      </w:r>
    </w:p>
    <w:tbl>
      <w:tblPr>
        <w:tblW w:type="dxa" w:w="26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2600"/>
            <w:tcBorders>
              <w:top w:val="single" w:color="D8E2D9" w:sz="4"/>
              <w:left w:val="single" w:color="D8E2D9" w:sz="4"/>
              <w:bottom w:val="single" w:color="D8E2D9" w:sz="4"/>
              <w:right w:val="single" w:color="D8E2D9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3711F"/>
                <w:sz w:val="16"/>
                <w:szCs w:val="16"/>
              </w:rPr>
              <w:t xml:space="preserve">ADMIN</w:t>
            </w:r>
          </w:p>
        </w:tc>
      </w:tr>
    </w:tbl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Organisation &amp; Rechte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Wer im Unternehmen wen führt — und wer im Portal was darf.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SAP-Import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CSV heute, SuccessFactors-Anbindung vorbereitet; Trockenlauf mit Diff-Ansicht vor der Übernahme.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Organigramm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Teamgrößen auf einen Blick; Teams unter drei Personen automatisch als „nicht auswertbar“ markiert.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Personen verwalten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Suchen, Admin-Zugang vergeben oder entziehen.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Feine Rechte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Eigene Zugriffsrollen anlegen — z. B. „nur Auswertung ansehen“ statt Vollzugriff.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Audit-Log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Jede administrative Änderung wird nachvollziehbar protokolliert.</w:t>
      </w:r>
    </w:p>
    <w:p>
      <w:pPr>
        <w:pStyle w:val="ListParagraph"/>
        <w:numPr>
          <w:ilvl w:val="0"/>
          <w:numId w:val="1"/>
        </w:numPr>
        <w:spacing w:after="130"/>
      </w:pPr>
      <w:r>
        <w:rPr>
          <w:rFonts w:ascii="Calibri" w:cs="Calibri" w:eastAsia="Calibri" w:hAnsi="Calibri"/>
          <w:b/>
          <w:bCs/>
          <w:color w:val="1C2620"/>
          <w:sz w:val="22"/>
          <w:szCs w:val="22"/>
        </w:rPr>
        <w:t xml:space="preserve">Automatische Löschfristen — </w:t>
      </w:r>
      <w:r>
        <w:rPr>
          <w:rFonts w:ascii="Calibri" w:cs="Calibri" w:eastAsia="Calibri" w:hAnsi="Calibri"/>
          <w:color w:val="5B6960"/>
          <w:sz w:val="22"/>
          <w:szCs w:val="22"/>
        </w:rPr>
        <w:t xml:space="preserve">Rohantworten, Codes und Protokolle werden nach festen Fristen automatisch entfernt.</w:t>
      </w: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A5432C"/>
          <w:spacing w:val="20"/>
          <w:sz w:val="17"/>
          <w:szCs w:val="17"/>
        </w:rPr>
        <w:t xml:space="preserve">GRUNDPRINZIP DER PLATTFORM</w:t>
      </w:r>
    </w:p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Anonymität &amp; Sicherheit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Diese Regeln sind technisch erzwungen, nicht nur vereinbart.</w:t>
      </w:r>
    </w:p>
    <w:tbl>
      <w:tblPr>
        <w:tblW w:type="dxa" w:w="9400"/>
        <w:tblBorders>
          <w:top w:val="single" w:color="D9C4BE" w:sz="4"/>
          <w:left w:val="single" w:color="A5432C" w:sz="24"/>
          <w:bottom w:val="single" w:color="D9C4BE" w:sz="4"/>
          <w:right w:val="single" w:color="D9C4B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400"/>
            <w:shd w:fill="F7ECE9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A5432C"/>
                <w:spacing w:val="20"/>
                <w:sz w:val="18"/>
                <w:szCs w:val="18"/>
              </w:rPr>
              <w:t xml:space="preserve">NICHT VERHANDELBAR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22"/>
                <w:szCs w:val="22"/>
              </w:rPr>
              <w:t xml:space="preserve">Team-Schwelle: </w:t>
            </w:r>
            <w:r>
              <w:rPr>
                <w:rFonts w:ascii="Calibri" w:cs="Calibri" w:eastAsia="Calibri" w:hAnsi="Calibri"/>
                <w:color w:val="1C2620"/>
                <w:sz w:val="22"/>
                <w:szCs w:val="22"/>
              </w:rPr>
              <w:t xml:space="preserve">Eine Führungskraft wird nur bewertet, wenn ihr Team mindestens drei Personen hat.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22"/>
                <w:szCs w:val="22"/>
              </w:rPr>
              <w:t xml:space="preserve">Berichts-Schwelle: </w:t>
            </w:r>
            <w:r>
              <w:rPr>
                <w:rFonts w:ascii="Calibri" w:cs="Calibri" w:eastAsia="Calibri" w:hAnsi="Calibri"/>
                <w:color w:val="1C2620"/>
                <w:sz w:val="22"/>
                <w:szCs w:val="22"/>
              </w:rPr>
              <w:t xml:space="preserve">Ein Report oder eine Kennzahl erscheint erst ab drei abgegebenen Antworten — auf jeder Auswertungsebene.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22"/>
                <w:szCs w:val="22"/>
              </w:rPr>
              <w:t xml:space="preserve">Getrennte Systeme: </w:t>
            </w:r>
            <w:r>
              <w:rPr>
                <w:rFonts w:ascii="Calibri" w:cs="Calibri" w:eastAsia="Calibri" w:hAnsi="Calibri"/>
                <w:color w:val="1C2620"/>
                <w:sz w:val="22"/>
                <w:szCs w:val="22"/>
              </w:rPr>
              <w:t xml:space="preserve">Jede Führungskraft bekommt je Runde eine eigene Umfrage in LimeSurvey. Das Portal weiß nur „diese Person hat teilgenommen“, nie „was sie geantwortet hat“.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22"/>
                <w:szCs w:val="22"/>
              </w:rPr>
              <w:t xml:space="preserve">Geschwärzte Freitexte: </w:t>
            </w:r>
            <w:r>
              <w:rPr>
                <w:rFonts w:ascii="Calibri" w:cs="Calibri" w:eastAsia="Calibri" w:hAnsi="Calibri"/>
                <w:color w:val="1C2620"/>
                <w:sz w:val="22"/>
                <w:szCs w:val="22"/>
              </w:rPr>
              <w:t xml:space="preserve">Namen, E-Mails und Telefonnummern werden automatisch entfernt, die Reihenfolge wird gemischt.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22"/>
                <w:szCs w:val="22"/>
              </w:rPr>
              <w:t xml:space="preserve">Keine Rohantworten für Admins: </w:t>
            </w:r>
            <w:r>
              <w:rPr>
                <w:rFonts w:ascii="Calibri" w:cs="Calibri" w:eastAsia="Calibri" w:hAnsi="Calibri"/>
                <w:color w:val="1C2620"/>
                <w:sz w:val="22"/>
                <w:szCs w:val="22"/>
              </w:rPr>
              <w:t xml:space="preserve">Auch HR sieht niemals eine einzelne Antwort mit Personenbezug.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b/>
                <w:bCs/>
                <w:color w:val="1C2620"/>
                <w:sz w:val="22"/>
                <w:szCs w:val="22"/>
              </w:rPr>
              <w:t xml:space="preserve">Eigene Antworten: </w:t>
            </w:r>
            <w:r>
              <w:rPr>
                <w:rFonts w:ascii="Calibri" w:cs="Calibri" w:eastAsia="Calibri" w:hAnsi="Calibri"/>
                <w:color w:val="1C2620"/>
                <w:sz w:val="22"/>
                <w:szCs w:val="22"/>
              </w:rPr>
              <w:t xml:space="preserve">Nach der Abgabe nur als schreibgeschützte Kopie auf dem eigenen Gerät sichtbar — nie auf dem Server gespeichert.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4F8A58"/>
          <w:spacing w:val="20"/>
          <w:sz w:val="17"/>
          <w:szCs w:val="17"/>
        </w:rPr>
        <w:t xml:space="preserve">TECHNISCHE SEITE</w:t>
      </w:r>
    </w:p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Architektur im Überblick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Zwei Systeme mit klarer Aufgabenteilung.</w:t>
      </w:r>
    </w:p>
    <w:p>
      <w:pPr>
        <w:spacing w:after="22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Das Feedback-Portal ist Eigenentwicklung und steuert Organisation, Rollen, Runden und Reports. LimeSurvey bleibt unverändert der reine „Umfrage-Motor“ und bleibt dadurch update- und supportfähig.</w:t>
      </w:r>
    </w:p>
    <w:p>
      <w:pPr>
        <w:spacing w:after="260"/>
        <w:jc w:val="center"/>
      </w:pPr>
      <w:r>
        <w:drawing>
          <wp:inline distT="0" distB="0" distL="0" distR="0">
            <wp:extent cx="59055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4F8A58"/>
          <w:spacing w:val="20"/>
          <w:sz w:val="17"/>
          <w:szCs w:val="17"/>
        </w:rPr>
        <w:t xml:space="preserve">DIE BAUSTEINE IM EINZELNEN</w:t>
      </w:r>
    </w:p>
    <w:tbl>
      <w:tblPr>
        <w:tblW w:type="dxa" w:w="9400"/>
        <w:tblBorders>
          <w:top w:val="single" w:color="D8E2D9" w:sz="4"/>
          <w:left w:val="single" w:color="D8E2D9" w:sz="4"/>
          <w:bottom w:val="single" w:color="D8E2D9" w:sz="4"/>
          <w:right w:val="single" w:color="D8E2D9" w:sz="4"/>
          <w:insideH w:val="single" w:color="D8E2D9" w:sz="4"/>
          <w:insideV w:val="single" w:color="D8E2D9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EE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F8A58"/>
                <w:sz w:val="20"/>
                <w:szCs w:val="20"/>
              </w:rPr>
              <w:t xml:space="preserve">Baustein</w:t>
            </w:r>
          </w:p>
        </w:tc>
        <w:tc>
          <w:tcPr>
            <w:tcW w:type="dxa" w:w="7000"/>
            <w:shd w:fill="EEF4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F8A58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620"/>
                <w:sz w:val="20"/>
                <w:szCs w:val="20"/>
              </w:rPr>
              <w:t xml:space="preserve">Portal-Web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620"/>
                <w:sz w:val="20"/>
                <w:szCs w:val="20"/>
              </w:rPr>
              <w:t xml:space="preserve">Die Oberfläche, die alle drei Rollen benutzen — im Browser, am Handy und am Kiosk-PC.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620"/>
                <w:sz w:val="20"/>
                <w:szCs w:val="20"/>
              </w:rPr>
              <w:t xml:space="preserve">Portal-API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620"/>
                <w:sz w:val="20"/>
                <w:szCs w:val="20"/>
              </w:rPr>
              <w:t xml:space="preserve">Steuert Organisation, Rollen, Runden, Auswertung und Reports; einzige Verbindung zu allen anderen Systemen.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62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620"/>
                <w:sz w:val="20"/>
                <w:szCs w:val="20"/>
              </w:rPr>
              <w:t xml:space="preserve">Speichert nur, dass jemand teilgenommen hat, nie was — plus Organisation, Rollen und Reports.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620"/>
                <w:sz w:val="20"/>
                <w:szCs w:val="20"/>
              </w:rPr>
              <w:t xml:space="preserve">LimeSurvey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620"/>
                <w:sz w:val="20"/>
                <w:szCs w:val="20"/>
              </w:rPr>
              <w:t xml:space="preserve">Spielt den Fragebogen aus, vergibt Einmal-Zugänge, sammelt die Antworten — unverändert im Kern.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620"/>
                <w:sz w:val="20"/>
                <w:szCs w:val="20"/>
              </w:rPr>
              <w:t xml:space="preserve">MariaDB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620"/>
                <w:sz w:val="20"/>
                <w:szCs w:val="20"/>
              </w:rPr>
              <w:t xml:space="preserve">Rohantworten von LimeSurvey; werden automatisch nach 90 Tagen gelöscht.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620"/>
                <w:sz w:val="20"/>
                <w:szCs w:val="20"/>
              </w:rPr>
              <w:t xml:space="preserve">SAP / SuccessFactors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620"/>
                <w:sz w:val="20"/>
                <w:szCs w:val="20"/>
              </w:rPr>
              <w:t xml:space="preserve">Liefert die Organisation — wer führt wen. Heute per CSV, Anbindung per OData vorbereitet.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620"/>
                <w:sz w:val="20"/>
                <w:szCs w:val="20"/>
              </w:rPr>
              <w:t xml:space="preserve">Entra ID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620"/>
                <w:sz w:val="20"/>
                <w:szCs w:val="20"/>
              </w:rPr>
              <w:t xml:space="preserve">Single Sign-on für die Anmeldung im Portal.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620"/>
                <w:sz w:val="20"/>
                <w:szCs w:val="20"/>
              </w:rPr>
              <w:t xml:space="preserve">Mailserver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620"/>
                <w:sz w:val="20"/>
                <w:szCs w:val="20"/>
              </w:rPr>
              <w:t xml:space="preserve">Versendet Einladungen und Erinnerungen — produktiv über den Firmen-Mailserver.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620"/>
                <w:sz w:val="20"/>
                <w:szCs w:val="20"/>
              </w:rPr>
              <w:t xml:space="preserve">KI-Provider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620"/>
                <w:sz w:val="20"/>
                <w:szCs w:val="20"/>
              </w:rPr>
              <w:t xml:space="preserve">Optional und austauschbar — fasst Freitexte zusammen und ordnet sie Themen zu.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4F8A58"/>
          <w:spacing w:val="20"/>
          <w:sz w:val="17"/>
          <w:szCs w:val="17"/>
        </w:rPr>
        <w:t xml:space="preserve">REIFEGRAD</w:t>
      </w:r>
    </w:p>
    <w:p>
      <w:pPr>
        <w:pStyle w:val="Heading1"/>
        <w:pBdr>
          <w:bottom w:val="single" w:color="4F8A58" w:sz="8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1C2620"/>
          <w:sz w:val="32"/>
          <w:szCs w:val="32"/>
        </w:rPr>
        <w:t xml:space="preserve">Stand &amp; nächste Schritte</w:t>
      </w:r>
    </w:p>
    <w:p>
      <w:pPr>
        <w:spacing w:after="200"/>
      </w:pPr>
      <w:r>
        <w:rPr>
          <w:rFonts w:ascii="Calibri" w:cs="Calibri" w:eastAsia="Calibri" w:hAnsi="Calibri"/>
          <w:color w:val="5B6960"/>
          <w:sz w:val="22"/>
          <w:szCs w:val="22"/>
        </w:rPr>
        <w:t xml:space="preserve">Ein funktionsfähiger Prototyp mit allen oben beschriebenen Funktionen, mehrfach automatisiert getestet und mit echten Testdaten durchgespielt — noch kein produktionsreifes System.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D8E2D9" w:sz="4"/>
              <w:left w:val="none"/>
              <w:bottom w:val="none"/>
              <w:right w:val="none"/>
            </w:tcBorders>
            <w:tcMar>
              <w:right w:type="dxa" w:w="300"/>
            </w:tcMar>
          </w:tcPr>
          <w:p>
            <w:pPr>
              <w:spacing w:after="120" w:before="140"/>
            </w:pPr>
            <w:r>
              <w:rPr>
                <w:rFonts w:ascii="Calibri" w:cs="Calibri" w:eastAsia="Calibri" w:hAnsi="Calibri"/>
                <w:b/>
                <w:bCs/>
                <w:color w:val="2F8F52"/>
                <w:sz w:val="23"/>
                <w:szCs w:val="23"/>
              </w:rPr>
              <w:t xml:space="preserve">Bereits geprüft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cs="Calibri" w:eastAsia="Calibri" w:hAnsi="Calibri"/>
                <w:color w:val="5B6960"/>
                <w:sz w:val="20"/>
                <w:szCs w:val="20"/>
              </w:rPr>
              <w:t xml:space="preserve">Alle Kernfunktionen automatisiert getestet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cs="Calibri" w:eastAsia="Calibri" w:hAnsi="Calibri"/>
                <w:color w:val="5B6960"/>
                <w:sz w:val="20"/>
                <w:szCs w:val="20"/>
              </w:rPr>
              <w:t xml:space="preserve">Echte Runde mit echten Teilnahmen durchgespielt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cs="Calibri" w:eastAsia="Calibri" w:hAnsi="Calibri"/>
                <w:color w:val="5B6960"/>
                <w:sz w:val="20"/>
                <w:szCs w:val="20"/>
              </w:rPr>
              <w:t xml:space="preserve">Anonymität direkt in der Datenbank kontrolliert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cs="Calibri" w:eastAsia="Calibri" w:hAnsi="Calibri"/>
                <w:color w:val="5B6960"/>
                <w:sz w:val="20"/>
                <w:szCs w:val="20"/>
              </w:rPr>
              <w:t xml:space="preserve">Lasttest: 300 gleichzeitige Teilnahmen ohne Fehler</w:t>
            </w:r>
          </w:p>
        </w:tc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left w:type="dxa" w:w="300"/>
            </w:tcMar>
          </w:tcPr>
          <w:p>
            <w:pPr>
              <w:spacing w:after="120" w:before="140"/>
            </w:pPr>
            <w:r>
              <w:rPr>
                <w:rFonts w:ascii="Calibri" w:cs="Calibri" w:eastAsia="Calibri" w:hAnsi="Calibri"/>
                <w:b/>
                <w:bCs/>
                <w:color w:val="A3711F"/>
                <w:sz w:val="23"/>
                <w:szCs w:val="23"/>
              </w:rPr>
              <w:t xml:space="preserve">Noch zu tun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cs="Calibri" w:eastAsia="Calibri" w:hAnsi="Calibri"/>
                <w:color w:val="5B6960"/>
                <w:sz w:val="20"/>
                <w:szCs w:val="20"/>
              </w:rPr>
              <w:t xml:space="preserve">Freigabe durch Betriebsrat &amp; Datenschutz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cs="Calibri" w:eastAsia="Calibri" w:hAnsi="Calibri"/>
                <w:color w:val="5B6960"/>
                <w:sz w:val="20"/>
                <w:szCs w:val="20"/>
              </w:rPr>
              <w:t xml:space="preserve">Anbindung an echtes SAP, Entra ID und Mailserver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cs="Calibri" w:eastAsia="Calibri" w:hAnsi="Calibri"/>
                <w:color w:val="5B6960"/>
                <w:sz w:val="20"/>
                <w:szCs w:val="20"/>
              </w:rPr>
              <w:t xml:space="preserve">Produktionsserver mit HTTPS und Backups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cs="Calibri" w:eastAsia="Calibri" w:hAnsi="Calibri"/>
                <w:color w:val="5B6960"/>
                <w:sz w:val="20"/>
                <w:szCs w:val="20"/>
              </w:rPr>
              <w:t xml:space="preserve">KI-Provider gegen ein echtes internes Gateway testen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960"/>
        <w:sz w:val="15"/>
        <w:szCs w:val="15"/>
      </w:rPr>
      <w:t xml:space="preserve">Interne Dokumentation · alle Beispieldaten sind fiktiv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960"/>
        <w:sz w:val="15"/>
        <w:szCs w:val="15"/>
      </w:rPr>
      <w:t xml:space="preserve">Führungsfeedback-Portal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6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2abb3c3aa70fe61b860a646a09c97a8d4f27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2026-09-27T15:06:27.817Z</dcterms:created>
  <dcterms:modified xsi:type="dcterms:W3CDTF">2026-09-27T15:06:27.818Z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