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af6"/>
      </w:pPr>
      <w:r>
        <w:t>LLMエージェントの履歴要約と終了制御による</w:t>
        <w:br/>
        <w:t>実行費用の評価</w:t>
      </w:r>
    </w:p>
    <w:p>
      <w:pPr>
        <w:pStyle w:val="af7"/>
      </w:pPr>
      <w:r>
        <w:t>著者未設定</w:t>
      </w:r>
    </w:p>
    <w:p>
      <w:pPr>
        <w:pStyle w:val="af8"/>
      </w:pPr>
      <w:r>
        <w:t>Evaluating Execution Cost of History Summarization and Termination Control for LLM Agents</w:t>
      </w:r>
    </w:p>
    <w:p>
      <w:pPr>
        <w:pStyle w:val="af9"/>
      </w:pPr>
      <w:r>
        <w:t>Author details pending</w:t>
      </w:r>
    </w:p>
    <w:p>
      <w:pPr>
        <w:pStyle w:val="afa"/>
      </w:pPr>
      <w:r>
        <w:t>所属・会員種別・連絡先：未設定</w:t>
      </w:r>
    </w:p>
    <w:p>
      <w:pPr>
        <w:pStyle w:val="a5"/>
      </w:pPr>
      <w:r>
        <w:t>あらまし　LLMエージェントの入力履歴と終了時点を管理するハーネス制御を提案する．履歴の反復要約とAPI実行記録に基づく完了判定を独立に評価した．要約生成を含む全モデル呼出しを計測し，既知課題の成功を保ちながら</w:t>
      </w:r>
      <w:r>
        <w:br/>
      </w:r>
      <w:r>
        <w:t>総トークン数を削減できることを示した．</w:t>
      </w:r>
    </w:p>
    <w:p>
      <w:pPr>
        <w:pStyle w:val="a5"/>
      </w:pPr>
      <w:r>
        <w:t>キーワード　LLMエージェント，ハーネス，履歴要約，終了制御，費用評価</w:t>
      </w:r>
    </w:p>
    <w:p>
      <w:pPr>
        <w:pStyle w:val="af0"/>
        <w:keepNext/>
        <w:keepLines/>
      </w:pPr>
      <w:r>
        <w:t>1．はじめに</w:t>
      </w:r>
    </w:p>
    <w:p>
      <w:pPr>
        <w:pStyle w:val="a5"/>
        <w:widowControl/>
      </w:pPr>
      <w:r>
        <w:t>日常業務のデータ整理や事務処理の負担を軽減するため，大規模言語モデルによる作業支援が研究されている．以下では大規模言語モデルをLLMと呼ぶ．文章の回答生成に加え，外部アプリケーションを操作する複数手順の実行も対象となる．例えば写真の整理や精算では，対象の検索，状態の変更，結果の確認を連続して行う必要がある．推論と行動を繰り返すReAct[1]や，コードを行動として実行するCodeAct[2]は，このような対話的処理を支える技術である．</w:t>
      </w:r>
    </w:p>
    <w:p>
      <w:pPr>
        <w:pStyle w:val="a5"/>
        <w:widowControl/>
      </w:pPr>
      <w:r>
        <w:rPr/>
        <w:t xml:space="preserve">一方，実行が長くなると，過去の操作と観測を次の生成へ繰り返し入力する費用が増える．また，作業が終わった後も確認や生成を続ければ，成果を増やさずに資源を消費し得る．履歴を短くするだけでは必要な情報を失うおそれがあり，早く止めるだけでは未完了となり得るため，最終成功と実行全体の費用を同時に調べる必要がある．</w:t>
      </w:r>
    </w:p>
    <w:p>
      <w:pPr>
        <w:pStyle w:val="a5"/>
        <w:widowControl/>
      </w:pPr>
      <w:r>
        <w:t>本稿では，モデルを再学習せずに実行を管理するハーネスについて，履歴要約と終了判断の二つの制御を評価する．履歴要約では，要約をいつ，どの呼出しで生成するかを比較する．終了判断では，実行中に取得できるAPIの要求と応答を記録し，このAPI実行記録に基づく制御を通常継続と比較する．両者を独立した実験として実行し，要約生成を含む全モデル呼出しの総トークン数と，課題の最終成功を調べる．</w:t>
      </w:r>
    </w:p>
    <w:p>
      <w:pPr>
        <w:pStyle w:val="af0"/>
        <w:keepNext/>
        <w:keepLines/>
      </w:pPr>
      <w:r>
        <w:t>2．関連研究</w:t>
      </w:r>
    </w:p>
    <w:p>
      <w:pPr>
        <w:pStyle w:val="a5"/>
        <w:keepLines/>
        <w:widowControl/>
      </w:pPr>
      <w:r>
        <w:rPr/>
        <w:t xml:space="preserve">入力圧縮では，長文中の情報の位置が性能に影響すること[3]を踏まえ，LLMLingua[4]は予算制御とトークン選別，LLMLingua-2[5]は蒸留データによるトークン分類，LongLLMLingua[6]は長文の重要情報を残す圧縮を扱う．</w:t>
      </w:r>
    </w:p>
    <w:p>
      <w:pPr>
        <w:pStyle w:val="a5"/>
        <w:widowControl/>
      </w:pPr>
      <w:r>
        <w:rPr/>
        <w:t xml:space="preserve">長期実行では，ACON[7]は観測・履歴の圧縮方針，TokenPilot[8]は入力圧縮とキャッシュ継続性を扱う．Generative Agents[9]は経験の記憶・抽象化・検索，Reflexion[10]は言語的フィードバックを後続試行に利用する．本稿では，要約専用の呼出しで反復要約を行う方式と，行動生成と同時に要約を行う方式を比較し，要約生成も含む課題全体のトークン使用量を評価する．</w:t>
      </w:r>
    </w:p>
    <w:p>
      <w:pPr>
        <w:pStyle w:val="a5"/>
        <w:widowControl/>
      </w:pPr>
      <w:r>
        <w:t>終了制御では，Runaway[11]が終了指示と外部の完了検証を検討している．本稿では，既知の要求形式についてAPI実行記録から完了条件を検査する．通常継続との比較では，最終成功，API要求数，総トークン数を評価する．</w:t>
      </w:r>
    </w:p>
    <w:p>
      <w:pPr>
        <w:pStyle w:val="af0"/>
        <w:keepNext/>
        <w:keepLines/>
      </w:pPr>
      <w:r>
        <w:t>3．提案手法</w:t>
      </w:r>
    </w:p>
    <w:p>
      <w:pPr>
        <w:pStyle w:val="a5"/>
        <w:keepLines/>
        <w:widowControl/>
      </w:pPr>
      <w:r>
        <w:t>ハーネスは，モデルの外側で入力と実行の継続を管理するプログラムである．本稿では，モデルを再学習せずに，長い入力を減らす制御と作業完了後の生成を省く制御を提案する．図1の上段に入力履歴の更新，下段に終了判断を示す．既存の要約を用いる入力制御と，API実行記録を用いる終了制御は別々に評価する．</w:t>
      </w:r>
    </w:p>
    <w:p>
      <w:pPr>
        <w:pStyle w:val="afe"/>
        <w:keepNext/>
        <w:keepLines/>
      </w:pPr>
      <w:r>
        <w:t>3.1　入力履歴を短くする制御</w:t>
      </w:r>
    </w:p>
    <w:p>
      <w:pPr>
        <w:pStyle w:val="a5"/>
        <w:keepLines/>
        <w:widowControl/>
      </w:pPr>
      <w:r>
        <w:t>まず，課題とこれまでの履歴をモデルへ渡し，次に実行する行動を生成する．ハーネスは生成されたプログラムを実行し，その行動と結果を履歴に追加する．行動生成から実行結果の記録までを1ターンとする．</w:t>
      </w:r>
    </w:p>
    <w:p>
      <w:pPr>
        <w:pStyle w:val="a5"/>
        <w:spacing w:before="0" w:after="0" w:line="20" w:lineRule="exact"/>
        <w:snapToGrid w:val="0"/>
        <w:rPr>
          <w:sz w:val="2"/>
        </w:rPr>
        <w:sectPr w:rsidR="00BD7DCC" w:rsidSect="00A53BBC">
          <w:headerReference w:type="even" r:id="rId8"/>
          <w:headerReference w:type="default" r:id="rId9"/>
          <w:footerReference w:type="even" r:id="rId10"/>
          <w:footerReference w:type="default" r:id="rId11"/>
          <w:headerReference w:type="first" r:id="rId12"/>
          <w:footerReference w:type="first" r:id="rId13"/>
          <w:type w:val="continuous"/>
          <w:pgSz w:w="10319" w:h="14572" w:code="13"/>
          <w:pgMar w:top="1418" w:right="851" w:bottom="1418" w:left="851" w:header="851" w:footer="992" w:gutter="0"/>
          <w:cols w:num="2" w:space="443"/>
          <w:titlePg/>
          <w:docGrid w:type="linesAndChars" w:linePitch="266"/>
        </w:sectPr>
      </w:pPr>
      <w:r/>
    </w:p>
    <w:p>
      <w:pPr>
        <w:pStyle w:val="aff2"/>
        <w:keepNext/>
        <w:spacing w:before="0" w:beforeLines="0"/>
        <w:jc w:val="center"/>
      </w:pPr>
      <w:r/>
      <w:r>
        <w:drawing>
          <wp:inline xmlns:a="http://schemas.openxmlformats.org/drawingml/2006/main" xmlns:pic="http://schemas.openxmlformats.org/drawingml/2006/picture">
            <wp:extent cx="4680000" cy="2339085"/>
            <wp:docPr id="1" name="Picture 1"/>
            <wp:cNvGraphicFramePr>
              <a:graphicFrameLocks noChangeAspect="1"/>
            </wp:cNvGraphicFramePr>
            <a:graphic>
              <a:graphicData uri="http://schemas.openxmlformats.org/drawingml/2006/picture">
                <pic:pic>
                  <pic:nvPicPr>
                    <pic:cNvPr id="0" name="control_points.png"/>
                    <pic:cNvPicPr/>
                  </pic:nvPicPr>
                  <pic:blipFill>
                    <a:blip r:embed="rId16"/>
                    <a:stretch>
                      <a:fillRect/>
                    </a:stretch>
                  </pic:blipFill>
                  <pic:spPr>
                    <a:xfrm>
                      <a:off x="0" y="0"/>
                      <a:ext cx="4680000" cy="2339085"/>
                    </a:xfrm>
                    <a:prstGeom prst="rect"/>
                  </pic:spPr>
                </pic:pic>
              </a:graphicData>
            </a:graphic>
          </wp:inline>
        </w:drawing>
      </w:r>
    </w:p>
    <w:p>
      <w:pPr>
        <w:pStyle w:val="afd"/>
        <w:keepNext w:val="0"/>
        <w:keepLines/>
      </w:pPr>
      <w:r>
        <w:t>図1　履歴要約と終了制御</w:t>
      </w:r>
    </w:p>
    <w:p>
      <w:pPr>
        <w:pStyle w:val="a5"/>
        <w:spacing w:before="0" w:after="0" w:line="20" w:lineRule="exact"/>
        <w:snapToGrid w:val="0"/>
        <w:rPr>
          <w:sz w:val="2"/>
        </w:rPr>
        <w:sectPr w:rsidR="00BD7DCC" w:rsidSect="00A53BBC">
          <w:headerReference w:type="even" r:id="rId8"/>
          <w:headerReference w:type="default" r:id="rId9"/>
          <w:footerReference w:type="even" r:id="rId10"/>
          <w:footerReference w:type="default" r:id="rId11"/>
          <w:headerReference w:type="first" r:id="rId12"/>
          <w:footerReference w:type="first" r:id="rId13"/>
          <w:type w:val="nextPage"/>
          <w:pgSz w:w="10319" w:h="14572" w:code="13"/>
          <w:pgMar w:top="1418" w:right="851" w:bottom="1418" w:left="851" w:header="851" w:footer="992" w:gutter="0"/>
          <w:cols w:num="1" w:space="443"/>
          <w:docGrid w:type="linesAndChars" w:linePitch="266"/>
        </w:sectPr>
      </w:pPr>
      <w:r/>
    </w:p>
    <w:p>
      <w:pPr>
        <w:pStyle w:val="a5"/>
        <w:widowControl/>
      </w:pPr>
      <w:r>
        <w:t>この繰返しで長くなる入力を抑えるため，保存した全履歴は残したまま，モデルへ渡す古い履歴を要約に置き換える．生成した要約を，検査して採用する前は要約候補と呼ぶ．要約を生成する呼出しの違いから，次の3方式を比較する．</w:t>
      </w:r>
    </w:p>
    <w:p>
      <w:pPr>
        <w:pStyle w:val="a5"/>
        <w:widowControl/>
      </w:pPr>
      <w:r>
        <w:t>単回要約は，要約専用のモデル呼出しを最大1回追加する方式である．入力長が閾値に達し，要約できる古い履歴がある最初の機会に候補を生成する．候補を採用した後は，要約と未要約の履歴を次の行動生成へ渡す．要約機会は最大1回であり，その後に履歴が増えても要約し直さない．</w:t>
      </w:r>
    </w:p>
    <w:p>
      <w:pPr>
        <w:pStyle w:val="a5"/>
        <w:widowControl/>
      </w:pPr>
      <w:r>
        <w:t>反復要約は，要約専用の呼出しを必要に応じて繰り返す方式である．最初は単回要約と同じ処理を行う．その後，入力が再び長くなり，前回の要約機会から新たな行動と結果が蓄積したら，前回採用した要約と，その後に増えた古い履歴をまとめ直す．要約機会は最大3回であり，毎回，保存した全履歴を要約し直すわけではない．</w:t>
      </w:r>
    </w:p>
    <w:p>
      <w:pPr>
        <w:pStyle w:val="a5"/>
        <w:widowControl/>
      </w:pPr>
      <w:r>
        <w:t>同時要約は，行動を生成するモデルの同じ応答に，行動と要約候補を出力する方式である．要約専用の呼出しは追加せず，反復要約と同じく最大3回の要約機会を設ける．この応答で生成した行動を実行し，結果を記録してから，次の行動生成へ進む前に候補の採否を決める．その行動の実行結果は要約に含めず，行動と結果を原文のまま次の入力に残す．</w:t>
      </w:r>
    </w:p>
    <w:p>
      <w:pPr>
        <w:pStyle w:val="a5"/>
        <w:widowControl/>
      </w:pPr>
      <w:r>
        <w:t>どの方式でも，要約には完了した作業，次の操作に使う情報，残作業，不確かな点の四つの欄を用いる．候補が得られたら，ハーネスが形式と文字数を検査し，元の指示と課題，要約，未要約の履歴を含む次回入力全体が短くなる場合に採用する．要約候補を生成する時点で，直近2ターンを原文のまま残す．ここで検査するのは構造と入力長であり，要約内容の正しさを保証するものではない．</w:t>
      </w:r>
    </w:p>
    <w:p>
      <w:pPr>
        <w:pStyle w:val="a5"/>
        <w:widowControl/>
      </w:pPr>
      <w:r>
        <w:t>完了した作業の欄には実行済みの内容を，次の操作に使う情報の欄には識別子，APIの呼出し方，保持された変数などを残すよう指示する．残作業の欄は未実施の操作，不確かな点の欄は結果や完了性について未確認の事項を引き継ぐために用いる．観測できた結果，試みた操作，今後の予定を区別し，APIの正常応答だけから課題の完了を推定しないよう求める．</w:t>
      </w:r>
    </w:p>
    <w:p>
      <w:pPr>
        <w:pStyle w:val="a5"/>
        <w:widowControl/>
      </w:pPr>
      <w:r>
        <w:t>元の指示と課題を残すのは，要約した履歴を読む際にも要求の基準を参照できるようにするためである．直近の行動とAPI応答は，要約文に置き換えずに次の行動生成へ渡す．この構成では，履歴全体を捨てるのではなく，古い部分の提示方法を変える．</w:t>
      </w:r>
    </w:p>
    <w:p>
      <w:pPr>
        <w:pStyle w:val="a5"/>
        <w:widowControl/>
      </w:pPr>
      <w:r>
        <w:t>採用条件を満たさなければ，それまでの要約と未要約の履歴を維持する．まだ要約を採用していない場合は，要約前の履歴を使い続ける．不採用でも要約機会を1回使ったと数え，直ちに候補を生成し直さない．入力長とターン数の閾値は4.1に示す．保存する全履歴とモデルへの入力を分けて管理することで，入力を短くした場合も，行動と結果の元の記録を残す．</w:t>
      </w:r>
    </w:p>
    <w:p>
      <w:pPr>
        <w:pStyle w:val="afe"/>
        <w:keepNext/>
        <w:keepLines/>
      </w:pPr>
      <w:r>
        <w:t>3.2　作業完了後の生成を省く制御</w:t>
      </w:r>
    </w:p>
    <w:p>
      <w:pPr>
        <w:pStyle w:val="a5"/>
        <w:widowControl/>
      </w:pPr>
      <w:r>
        <w:t>写真を作成時期に応じた指定先へ移す課題を対象に，移動完了後の確認や生成を省く．既知の一つの要求形式に対応する検査規則を手書きで用意する．まず，モデル応答内の全プログラムを実行し，APIの要求と応答を記録する．次に，移動前の写真一覧と各写真の作成日時，APIから取得した現在年を調べ，全ての対象が指定先へ移され，元の名前が保たれているか照合する．根拠が初めて揃えば完了APIを1回呼び，次の生成を省く．</w:t>
      </w:r>
    </w:p>
    <w:p>
      <w:pPr>
        <w:pStyle w:val="a5"/>
        <w:widowControl/>
      </w:pPr>
      <w:r>
        <w:t>終了判断では，モデルが完了したと述べたかではなく，API実行記録に対象全件の処理を確認できる情報があるかを調べる．移動先だけでなく対象の日時と名前も照合し，課題で要求された状態が確認できた時点で次の生成を省く．</w:t>
      </w:r>
    </w:p>
    <w:p>
      <w:pPr>
        <w:pStyle w:val="a5"/>
        <w:widowControl/>
      </w:pPr>
      <w:r>
        <w:t>対象集合を移動前に確定するのは，一部の移動だけで完了と判断することを避けるためである．作成日時とAPIから得た現在年は，写真ごとに指定された移動先を照合する際に使う．移動後の場所に加えて元の名前の保持を調べることで，指定先へ移すという要求と，名前を変えないという要求を別々に確認する．これらの根拠はモデルの推測や計算機の時刻で補わず，API実行記録から取得する．</w:t>
      </w:r>
    </w:p>
    <w:p>
      <w:pPr>
        <w:pStyle w:val="a5"/>
        <w:widowControl/>
      </w:pPr>
      <w:r>
        <w:t>対応する要求形式から外れる場合や，判定に必要な記録が不足・矛盾する場合は，通常どおり次の生成へ進む．判定には，その時点で得られたAPI実行記録だけを使い，公式評価器の正解は使わない．履歴要約との組合せ効果は評価しない．</w:t>
      </w:r>
    </w:p>
    <w:p>
      <w:pPr>
        <w:pStyle w:val="afe"/>
        <w:keepNext/>
        <w:keepLines/>
      </w:pPr>
      <w:r>
        <w:t>3.3　総トークン数と課題の成功</w:t>
      </w:r>
    </w:p>
    <w:p>
      <w:pPr>
        <w:pStyle w:val="a5"/>
        <w:keepLines/>
        <w:widowControl/>
      </w:pPr>
      <w:r>
        <w:t>1回の入力を短くしても，要約生成やその後の行動生成に使用するトークンが増えれば，課題全体の使用量は増え得る．そこで，要約後の入力だけを比べず，課題開始から終了までを全方式に共通する集計範囲とする．</w:t>
      </w:r>
    </w:p>
    <w:p>
      <w:pPr>
        <w:pStyle w:val="a5"/>
        <w:keepNext/>
        <w:widowControl/>
      </w:pPr>
      <w:r>
        <w:rPr/>
        <w:t xml:space="preserve">条件</w:t>
      </w:r>
      <w:r>
        <w:rPr>
          <w:i/>
          <w:rFonts w:ascii="Cambria Math" w:hAnsi="Cambria Math"/>
          <w:sz w:val="17"/>
        </w:rPr>
        <w:t>p</w:t>
      </w:r>
      <w:r>
        <w:rPr/>
        <w:t xml:space="preserve">で実行したモデル呼出しの集合を</w:t>
      </w:r>
      <w:r>
        <w:rPr>
          <w:i/>
          <w:rFonts w:ascii="Cambria Math" w:hAnsi="Cambria Math"/>
          <w:sz w:val="17"/>
        </w:rPr>
        <w:t>𝒞</w:t>
      </w:r>
      <w:r>
        <w:rPr>
          <w:i/>
          <w:rFonts w:ascii="Cambria Math" w:hAnsi="Cambria Math"/>
          <w:sz w:val="17"/>
          <w:vertAlign w:val="subscript"/>
        </w:rPr>
        <w:t>p</w:t>
      </w:r>
      <w:r>
        <w:rPr/>
        <w:t xml:space="preserve">とする．各呼出し</w:t>
      </w:r>
      <w:r>
        <w:rPr>
          <w:i/>
          <w:rFonts w:ascii="Cambria Math" w:hAnsi="Cambria Math"/>
          <w:sz w:val="17"/>
        </w:rPr>
        <w:t>c</w:t>
      </w:r>
      <w:r>
        <w:rPr/>
        <w:t xml:space="preserve">の入力トークン数を</w:t>
      </w:r>
      <w:r>
        <w:rPr>
          <w:i/>
          <w:rFonts w:ascii="Cambria Math" w:hAnsi="Cambria Math"/>
          <w:sz w:val="17"/>
        </w:rPr>
        <w:t>I</w:t>
      </w:r>
      <w:r>
        <w:rPr>
          <w:i/>
          <w:rFonts w:ascii="Cambria Math" w:hAnsi="Cambria Math"/>
          <w:sz w:val="17"/>
          <w:vertAlign w:val="subscript"/>
        </w:rPr>
        <w:t>c</w:t>
      </w:r>
      <w:r>
        <w:rPr/>
        <w:t xml:space="preserve">，出力トークン数を</w:t>
      </w:r>
      <w:r>
        <w:rPr>
          <w:i/>
          <w:rFonts w:ascii="Cambria Math" w:hAnsi="Cambria Math"/>
          <w:sz w:val="17"/>
        </w:rPr>
        <w:t>O</w:t>
      </w:r>
      <w:r>
        <w:rPr>
          <w:i/>
          <w:rFonts w:ascii="Cambria Math" w:hAnsi="Cambria Math"/>
          <w:sz w:val="17"/>
          <w:vertAlign w:val="subscript"/>
        </w:rPr>
        <w:t>c</w:t>
      </w:r>
      <w:r>
        <w:rPr/>
        <w:t xml:space="preserve">とし，実行全体の総トークン数</w:t>
      </w:r>
      <w:r>
        <w:rPr>
          <w:i/>
          <w:rFonts w:ascii="Cambria Math" w:hAnsi="Cambria Math"/>
          <w:sz w:val="17"/>
        </w:rPr>
        <w:t>T</w:t>
      </w:r>
      <w:r>
        <w:rPr>
          <w:i/>
          <w:rFonts w:ascii="Cambria Math" w:hAnsi="Cambria Math"/>
          <w:sz w:val="17"/>
          <w:vertAlign w:val="subscript"/>
        </w:rPr>
        <w:t>p</w:t>
      </w:r>
      <w:r>
        <w:rPr/>
        <w:t xml:space="preserve">を式(1)で求める．</w:t>
      </w:r>
    </w:p>
    <w:p>
      <w:pPr>
        <w:pStyle w:val="a5"/>
        <w:keepNext/>
        <w:keepLines/>
        <w:tabs>
          <w:tab w:pos="1814" w:val="center"/>
          <w:tab w:pos="4025" w:val="right"/>
        </w:tabs>
        <w:ind w:firstLine="0" w:left="0" w:right="0" w:firstLineChars="0"/>
      </w:pPr>
      <w:r/>
      <w:r>
        <w:tab/>
      </w:r>
      <m:oMath>
        <m:sSub>
          <m:e>
            <m:r>
              <m:t>T</m:t>
            </m:r>
          </m:e>
          <m:sub>
            <m:r>
              <m:t>p</m:t>
            </m:r>
          </m:sub>
        </m:sSub>
        <m:r>
          <m:rPr>
            <m:sty m:val="p"/>
          </m:rPr>
          <m:t>=</m:t>
        </m:r>
        <m:nary>
          <m:naryPr>
            <m:chr m:val="∑"/>
            <m:limLoc m:val="undOvr"/>
            <m:subHide m:val="off"/>
            <m:supHide m:val="on"/>
          </m:naryPr>
          <m:sub>
            <m:r>
              <m:t>c</m:t>
            </m:r>
            <m:r>
              <m:rPr>
                <m:sty m:val="p"/>
              </m:rPr>
              <m:t>∈</m:t>
            </m:r>
            <m:sSub>
              <m:e>
                <m:r>
                  <m:rPr>
                    <m:scr m:val="script"/>
                    <m:sty m:val="p"/>
                  </m:rPr>
                  <m:t>C</m:t>
                </m:r>
              </m:e>
              <m:sub>
                <m:r>
                  <m:t>p</m:t>
                </m:r>
              </m:sub>
            </m:sSub>
          </m:sub>
          <m:sup>
            <m:r>
              <m:t>​</m:t>
            </m:r>
          </m:sup>
          <m:e>
            <m:r>
              <m:rPr>
                <m:sty m:val="p"/>
              </m:rPr>
              <m:t>(</m:t>
            </m:r>
          </m:e>
        </m:nary>
        <m:sSub>
          <m:e>
            <m:r>
              <m:t>I</m:t>
            </m:r>
          </m:e>
          <m:sub>
            <m:r>
              <m:t>c</m:t>
            </m:r>
          </m:sub>
        </m:sSub>
        <m:r>
          <m:rPr>
            <m:sty m:val="p"/>
          </m:rPr>
          <m:t>+</m:t>
        </m:r>
        <m:sSub>
          <m:e>
            <m:r>
              <m:t>O</m:t>
            </m:r>
          </m:e>
          <m:sub>
            <m:r>
              <m:t>c</m:t>
            </m:r>
          </m:sub>
        </m:sSub>
        <m:r>
          <m:rPr>
            <m:sty m:val="p"/>
          </m:rPr>
          <m:t>)</m:t>
        </m:r>
      </m:oMath>
      <w:r>
        <w:tab/>
        <w:t>(1)</w:t>
      </w:r>
    </w:p>
    <w:p>
      <w:pPr>
        <w:pStyle w:val="a5"/>
        <w:keepLines/>
        <w:widowControl/>
      </w:pPr>
      <w:r>
        <w:t>要約にも生成費用がかかるため，行動生成と要約生成の両方を集計する．不採用となった要約の生成や失敗時の呼出しも，取得できた使用量を計上する．使用量が不明な場合は0とせず，既知分の小計と不明件数を記録する．</w:t>
      </w:r>
    </w:p>
    <w:p>
      <w:pPr>
        <w:pStyle w:val="a5"/>
        <w:widowControl/>
      </w:pPr>
      <w:r>
        <w:rPr/>
        <w:t xml:space="preserve">課題の成功は，実行終了後の状態に対するAppWorld[12]の公式評価器で判定する．評価器の正解や詳細は実行中のモデルへ返さない．方式間では成功数と，各課題の成功の維持を確認する．</w:t>
      </w:r>
    </w:p>
    <w:p>
      <w:pPr>
        <w:pStyle w:val="a5"/>
        <w:widowControl/>
      </w:pPr>
      <w:r>
        <w:t>評価では，まず各実行の使用量を呼出し単位で足し合わせ，その実行の最終状態を公式評価器で調べる．次に，同じ課題を処理した方式同士で成功と総トークン数を対応させる．課題をまたいだ合計だけでは，ある課題の減少と別の課題の増加が相殺されるため，実験Aでは課題別の値も示す．</w:t>
      </w:r>
    </w:p>
    <w:p>
      <w:pPr>
        <w:pStyle w:val="a5"/>
        <w:widowControl/>
      </w:pPr>
      <w:r>
        <w:t>本指標はキャッシュされた入力も含む論理トークン数であり，金銭課金や実行時間を直接表すものではない[8]．要約生成を含む費用評価はACON[7]にも用いられている．実験AとBは独立に集計する．履歴要約は次回入力の長さ，終了判断は次の生成の必要性を制御する．判断に使う材料と変更する対象が異なるため，それぞれの制御と対照を独立に比較する．</w:t>
      </w:r>
    </w:p>
    <w:p>
      <w:pPr>
        <w:pStyle w:val="af0"/>
        <w:keepNext/>
        <w:keepLines/>
      </w:pPr>
      <w:r>
        <w:t>4．実験A：要約の呼出し配置</w:t>
      </w:r>
    </w:p>
    <w:p>
      <w:pPr>
        <w:pStyle w:val="afe"/>
        <w:keepNext/>
        <w:keepLines/>
      </w:pPr>
      <w:r>
        <w:t>4.1　条件</w:t>
      </w:r>
    </w:p>
    <w:p>
      <w:pPr>
        <w:pStyle w:val="a5"/>
        <w:widowControl/>
      </w:pPr>
      <w:r>
        <w:t>写真操作，精算，返金，CSV処理の既知4課題に対し，単回要約，反復要約，同時要約の各方式を各課題で1回ずつ実行した．4課題に3方式を適用し，計12実行とした．モデルは全条件でMiniMax-M3を用い，GGUF形式のIQ4_XS量子化モデルをllama.cpp b11669で実行した．文脈長は65,536トークンである．乱数の初期値を表すseedは，モデル生成の基点を57，環境を42とした．生成側は呼出しの役割と順序に従いseedを増分した．</w:t>
      </w:r>
    </w:p>
    <w:p>
      <w:pPr>
        <w:pStyle w:val="a5"/>
        <w:widowControl/>
      </w:pPr>
      <w:r>
        <w:t>要約機会を設ける入力長の閾値は16,384トークンとし，要約時には直近2ターンを原文のまま保持する．反復要約と同時要約では，前回の要約機会が終了してから新たに3ターン以上が完了することを要求する．採用と不採用のどちらでも，その機会の終了時点を次回の起点とする．初回の起点は課題開始である．要約は合計8,192文字以下とし，次の行動生成へ渡す入力全体が短くなる場合に採用する．要約専用の呼出しでは出力上限を4,096トークンとし，その使用量も式(1)へ含める．</w:t>
      </w:r>
    </w:p>
    <w:p>
      <w:pPr>
        <w:pStyle w:val="a5"/>
        <w:widowControl/>
      </w:pPr>
      <w:r>
        <w:t>各実行の上限はモデル呼出し80回，総トークン数450,000，作業時間1,800秒とし，環境APIは写真160，他3課題80要求とした．生成の温度は行動生成で1.0，要約専用の生成で0.7とした．並列実行数は1，KVキャッシュはq8_0，計算機はApple M3 Ultra，メモリは256 GiBである．実装と全条件の記録を公開する．</w:t>
      </w:r>
      <w:r>
        <w:rPr>
          <w:rStyle w:val="af1"/>
        </w:rPr>
        <w:footnoteReference w:id="20"/>
      </w:r>
    </w:p>
    <w:p>
      <w:pPr>
        <w:pStyle w:val="afe"/>
        <w:keepNext/>
        <w:keepLines/>
      </w:pPr>
      <w:r>
        <w:t>4.2　全4課題の結果</w:t>
      </w:r>
    </w:p>
    <w:p>
      <w:pPr>
        <w:pStyle w:val="aff2"/>
        <w:keepNext/>
        <w:spacing w:before="0" w:beforeLines="0"/>
        <w:jc w:val="center"/>
      </w:pPr>
      <w:r/>
      <w:r>
        <w:drawing>
          <wp:inline xmlns:a="http://schemas.openxmlformats.org/drawingml/2006/main" xmlns:pic="http://schemas.openxmlformats.org/drawingml/2006/picture">
            <wp:extent cx="2340000" cy="2340000"/>
            <wp:docPr id="2" name="Picture 2"/>
            <wp:cNvGraphicFramePr>
              <a:graphicFrameLocks noChangeAspect="1"/>
            </wp:cNvGraphicFramePr>
            <a:graphic>
              <a:graphicData uri="http://schemas.openxmlformats.org/drawingml/2006/picture">
                <pic:pic>
                  <pic:nvPicPr>
                    <pic:cNvPr id="0" name="result_summary_grid.png"/>
                    <pic:cNvPicPr/>
                  </pic:nvPicPr>
                  <pic:blipFill>
                    <a:blip r:embed="rId17"/>
                    <a:stretch>
                      <a:fillRect/>
                    </a:stretch>
                  </pic:blipFill>
                  <pic:spPr>
                    <a:xfrm>
                      <a:off x="0" y="0"/>
                      <a:ext cx="2340000" cy="2340000"/>
                    </a:xfrm>
                    <a:prstGeom prst="rect"/>
                  </pic:spPr>
                </pic:pic>
              </a:graphicData>
            </a:graphic>
          </wp:inline>
        </w:drawing>
      </w:r>
    </w:p>
    <w:p>
      <w:pPr>
        <w:pStyle w:val="afd"/>
        <w:keepNext w:val="0"/>
        <w:keepLines/>
      </w:pPr>
      <w:r>
        <w:t>図2　4課題の総トークン数</w:t>
      </w:r>
    </w:p>
    <w:p>
      <w:pPr>
        <w:pStyle w:val="a5"/>
        <w:widowControl/>
      </w:pPr>
      <w:r>
        <w:t>図2に4課題の結果をまとめる．上段は写真操作と精算，下段は返金とCSV処理である．縦軸の範囲をそろえ，同じ色で同じ要約方式を示す．厳密な値を表1に示す．全12実行で課題に成功し，使用量の欠測はなかった．要約生成を含む4課題の合計は，反復要約が785,656トークンで3方式中最少だった．単回要約の893,529トークンに対し107,873トークン少なく，削減率は12.07%だった．</w:t>
      </w:r>
    </w:p>
    <w:p>
      <w:pPr>
        <w:pStyle w:val="afd"/>
        <w:keepNext/>
        <w:keepLines/>
      </w:pPr>
      <w:r>
        <w:t>表1　実験Aの課題別総トークン数</w:t>
      </w:r>
    </w:p>
    <w:tbl>
      <w:tblPr>
        <w:tblW w:type="auto" w:w="0"/>
        <w:jc w:val="center"/>
        <w:tblLayout w:type="fixed"/>
        <w:tblLook w:firstColumn="1" w:firstRow="1" w:lastColumn="0" w:lastRow="0" w:noHBand="0" w:noVBand="1" w:val="04A0"/>
        <w:tblBorders>
          <w:top w:val="single" w:sz="4"/>
          <w:bottom w:val="single" w:sz="4"/>
          <w:left w:val="nil" w:sz="4"/>
          <w:right w:val="nil" w:sz="4"/>
          <w:insideH w:val="nil" w:sz="4"/>
          <w:insideV w:val="nil" w:sz="4"/>
        </w:tblBorders>
      </w:tblPr>
      <w:tblGrid>
        <w:gridCol w:w="964"/>
        <w:gridCol w:w="907"/>
        <w:gridCol w:w="907"/>
        <w:gridCol w:w="907"/>
      </w:tblGrid>
      <w:tr>
        <w:trPr>
          <w:cantSplit/>
          <w:tblHeader/>
        </w:trPr>
        <w:tc>
          <w:tcPr>
            <w:tcW w:type="dxa" w:w="964"/>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課題</w:t>
            </w:r>
          </w:p>
        </w:tc>
        <w:tc>
          <w:tcPr>
            <w:tcW w:type="dxa" w:w="907"/>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単回要約</w:t>
            </w:r>
          </w:p>
        </w:tc>
        <w:tc>
          <w:tcPr>
            <w:tcW w:type="dxa" w:w="907"/>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反復要約</w:t>
            </w:r>
          </w:p>
        </w:tc>
        <w:tc>
          <w:tcPr>
            <w:tcW w:type="dxa" w:w="907"/>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同時要約</w:t>
            </w:r>
          </w:p>
        </w:tc>
      </w:tr>
      <w:tr>
        <w:trPr>
          <w:cantSplit/>
        </w:trPr>
        <w:tc>
          <w:tcPr>
            <w:tcW w:type="dxa" w:w="964"/>
            <w:vAlign w:val="center"/>
            <w:tcMar>
              <w:left w:w="35" w:type="dxa"/>
              <w:right w:w="35" w:type="dxa"/>
            </w:tcMar>
          </w:tcPr>
          <w:p>
            <w:pPr>
              <w:pStyle w:val="af2"/>
              <w:spacing w:before="0" w:after="0"/>
              <w:ind w:firstLine="0" w:firstLineChars="0" w:left="0" w:right="0" w:hanging="0"/>
              <w:jc w:val="left"/>
              <w:keepNext/>
              <w:keepLines/>
              <w:snapToGrid w:val="0"/>
            </w:pPr>
            <w:r>
              <w:t>写真操作</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139,871</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139,871</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129,374</w:t>
            </w:r>
          </w:p>
        </w:tc>
      </w:tr>
      <w:tr>
        <w:trPr>
          <w:cantSplit/>
        </w:trPr>
        <w:tc>
          <w:tcPr>
            <w:tcW w:type="dxa" w:w="964"/>
            <w:vAlign w:val="center"/>
            <w:tcMar>
              <w:left w:w="35" w:type="dxa"/>
              <w:right w:w="35" w:type="dxa"/>
            </w:tcMar>
          </w:tcPr>
          <w:p>
            <w:pPr>
              <w:pStyle w:val="af2"/>
              <w:spacing w:before="0" w:after="0"/>
              <w:ind w:firstLine="0" w:firstLineChars="0" w:left="0" w:right="0" w:hanging="0"/>
              <w:jc w:val="left"/>
              <w:keepNext/>
              <w:keepLines/>
              <w:snapToGrid w:val="0"/>
            </w:pPr>
            <w:r>
              <w:t>精算</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211,110</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211,110</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211,110</w:t>
            </w:r>
          </w:p>
        </w:tc>
      </w:tr>
      <w:tr>
        <w:trPr>
          <w:cantSplit/>
        </w:trPr>
        <w:tc>
          <w:tcPr>
            <w:tcW w:type="dxa" w:w="964"/>
            <w:vAlign w:val="center"/>
            <w:tcMar>
              <w:left w:w="35" w:type="dxa"/>
              <w:right w:w="35" w:type="dxa"/>
            </w:tcMar>
          </w:tcPr>
          <w:p>
            <w:pPr>
              <w:pStyle w:val="af2"/>
              <w:spacing w:before="0" w:after="0"/>
              <w:ind w:firstLine="0" w:firstLineChars="0" w:left="0" w:right="0" w:hanging="0"/>
              <w:jc w:val="left"/>
              <w:keepNext/>
              <w:keepLines/>
              <w:snapToGrid w:val="0"/>
            </w:pPr>
            <w:r>
              <w:t>返金</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102,087</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102,087</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102,087</w:t>
            </w:r>
          </w:p>
        </w:tc>
      </w:tr>
      <w:tr>
        <w:trPr>
          <w:cantSplit/>
        </w:trPr>
        <w:tc>
          <w:tcPr>
            <w:tcW w:type="dxa" w:w="964"/>
            <w:vAlign w:val="center"/>
            <w:tcMar>
              <w:left w:w="35" w:type="dxa"/>
              <w:right w:w="35" w:type="dxa"/>
            </w:tcMar>
          </w:tcPr>
          <w:p>
            <w:pPr>
              <w:pStyle w:val="af2"/>
              <w:spacing w:before="0" w:after="0"/>
              <w:ind w:firstLine="0" w:firstLineChars="0" w:left="0" w:right="0" w:hanging="0"/>
              <w:jc w:val="left"/>
              <w:keepNext/>
              <w:keepLines/>
              <w:snapToGrid w:val="0"/>
            </w:pPr>
            <w:r>
              <w:t>CSV処理</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440,461</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332,588</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394,351</w:t>
            </w:r>
          </w:p>
        </w:tc>
      </w:tr>
      <w:tr>
        <w:trPr>
          <w:cantSplit/>
        </w:trPr>
        <w:tc>
          <w:tcPr>
            <w:tcW w:type="dxa" w:w="964"/>
            <w:vAlign w:val="center"/>
            <w:tcMar>
              <w:left w:w="35" w:type="dxa"/>
              <w:right w:w="35" w:type="dxa"/>
            </w:tcMar>
            <w:tcBorders>
              <w:top w:val="single" w:sz="4"/>
            </w:tcBorders>
          </w:tcPr>
          <w:p>
            <w:pPr>
              <w:pStyle w:val="af2"/>
              <w:spacing w:before="0" w:after="0"/>
              <w:ind w:firstLine="0" w:firstLineChars="0" w:left="0" w:right="0" w:hanging="0"/>
              <w:jc w:val="left"/>
              <w:keepNext/>
              <w:keepLines/>
              <w:snapToGrid w:val="0"/>
            </w:pPr>
            <w:r>
              <w:t>合計</w:t>
            </w:r>
          </w:p>
        </w:tc>
        <w:tc>
          <w:tcPr>
            <w:tcW w:type="dxa" w:w="907"/>
            <w:vAlign w:val="center"/>
            <w:tcMar>
              <w:left w:w="35" w:type="dxa"/>
              <w:right w:w="35" w:type="dxa"/>
            </w:tcMar>
            <w:noWrap/>
            <w:tcBorders>
              <w:top w:val="single" w:sz="4"/>
            </w:tcBorders>
          </w:tcPr>
          <w:p>
            <w:pPr>
              <w:pStyle w:val="af2"/>
              <w:spacing w:before="0" w:after="0"/>
              <w:ind w:firstLine="0" w:firstLineChars="0" w:left="0" w:right="0" w:hanging="0"/>
              <w:jc w:val="right"/>
              <w:keepNext/>
              <w:keepLines/>
              <w:snapToGrid w:val="0"/>
            </w:pPr>
            <w:r>
              <w:t>893,529</w:t>
            </w:r>
          </w:p>
        </w:tc>
        <w:tc>
          <w:tcPr>
            <w:tcW w:type="dxa" w:w="907"/>
            <w:vAlign w:val="center"/>
            <w:tcMar>
              <w:left w:w="35" w:type="dxa"/>
              <w:right w:w="35" w:type="dxa"/>
            </w:tcMar>
            <w:noWrap/>
            <w:tcBorders>
              <w:top w:val="single" w:sz="4"/>
            </w:tcBorders>
          </w:tcPr>
          <w:p>
            <w:pPr>
              <w:pStyle w:val="af2"/>
              <w:spacing w:before="0" w:after="0"/>
              <w:ind w:firstLine="0" w:firstLineChars="0" w:left="0" w:right="0" w:hanging="0"/>
              <w:jc w:val="right"/>
              <w:keepNext/>
              <w:keepLines/>
              <w:snapToGrid w:val="0"/>
            </w:pPr>
            <w:r>
              <w:t>785,656</w:t>
            </w:r>
          </w:p>
        </w:tc>
        <w:tc>
          <w:tcPr>
            <w:tcW w:type="dxa" w:w="907"/>
            <w:vAlign w:val="center"/>
            <w:tcMar>
              <w:left w:w="35" w:type="dxa"/>
              <w:right w:w="35" w:type="dxa"/>
            </w:tcMar>
            <w:noWrap/>
            <w:tcBorders>
              <w:top w:val="single" w:sz="4"/>
            </w:tcBorders>
          </w:tcPr>
          <w:p>
            <w:pPr>
              <w:pStyle w:val="af2"/>
              <w:spacing w:before="0" w:after="0"/>
              <w:ind w:firstLine="0" w:firstLineChars="0" w:left="0" w:right="0" w:hanging="0"/>
              <w:jc w:val="right"/>
              <w:keepNext/>
              <w:keepLines/>
              <w:snapToGrid w:val="0"/>
            </w:pPr>
            <w:r>
              <w:t>836,922</w:t>
            </w:r>
          </w:p>
        </w:tc>
      </w:tr>
    </w:tbl>
    <w:p>
      <w:pPr>
        <w:pStyle w:val="a5"/>
        <w:widowControl/>
        <w:spacing w:before="40"/>
      </w:pPr>
      <w:r>
        <w:t>写真操作では，単回要約と反復要約は139,871トークンで，同時要約は129,374トークンだった．同時要約は他の2方式より10,497トークン少なかった．要約の採用回数はいずれも1回だった．同じ1回の要約採用でも，課題全体の総トークン数には差があった．</w:t>
      </w:r>
    </w:p>
    <w:p>
      <w:pPr>
        <w:pStyle w:val="a5"/>
        <w:widowControl/>
      </w:pPr>
      <w:r>
        <w:t>精算の総トークン数は全方式で211,110トークンだった．いずれも要約の採用回数は0回で，方式による総量の差はなかった．</w:t>
      </w:r>
    </w:p>
    <w:p>
      <w:pPr>
        <w:pStyle w:val="a5"/>
        <w:widowControl/>
      </w:pPr>
      <w:r>
        <w:t>返金では，全方式で102,087トークンを使用し，要約の採用回数は0回だった．精算と同様に，成功と総トークン数は全方式で一致した．</w:t>
      </w:r>
    </w:p>
    <w:p>
      <w:pPr>
        <w:pStyle w:val="a5"/>
        <w:widowControl/>
      </w:pPr>
      <w:r>
        <w:t>CSV処理では，単回要約は440,461，反復要約は332,588，同時要約は394,351トークンだった．反復要約は単回要約より107,873トークン少なく，4課題合計の削減はこの課題で生じた．要約の採用回数は単回要約が1回，反復要約と同時要約が各2回だった．反復要約と同時要約の採用回数は等しかったが，総トークン数は一致しなかった．</w:t>
      </w:r>
    </w:p>
    <w:p>
      <w:pPr>
        <w:pStyle w:val="a5"/>
        <w:widowControl/>
      </w:pPr>
      <w:r>
        <w:t>同時要約は4課題合計で単回要約より6.34%少なかったが，反復要約より51,266トークン多く，増加率は6.53%だった．反復要約との比較では，写真操作で10,497トークン減る一方，CSV処理で61,763トークン増えた．要約専用の呼出しを省く方式が，課題全体でも最少になるとは限らなかった．したがって，要約専用の呼出しの有無や要約の採用回数だけで方式を選ばず，各課題の成功と総トークン数を確認する必要がある．4課題の合計と課題別の値を併記することで，写真操作の減少とCSV処理の増加が全体にどう寄与したかを確認できる．</w:t>
      </w:r>
    </w:p>
    <w:p>
      <w:pPr>
        <w:pStyle w:val="af0"/>
        <w:keepNext/>
        <w:keepLines/>
      </w:pPr>
      <w:r>
        <w:t>5．実験B：API実行記録に基づく終了</w:t>
      </w:r>
    </w:p>
    <w:p>
      <w:pPr>
        <w:pStyle w:val="afe"/>
        <w:keepNext/>
        <w:keepLines/>
      </w:pPr>
      <w:r>
        <w:t>5.1　条件</w:t>
      </w:r>
    </w:p>
    <w:p>
      <w:pPr>
        <w:pStyle w:val="a5"/>
        <w:widowControl/>
      </w:pPr>
      <w:r>
        <w:t>同じ写真課題について，API文書の取得を必須とする文書必須条件と，公開API名からのアクセスを許す名前参照条件を設けた．各条件で，通常継続と，API実行記録から完了を判断する終了制御を比較した．後者を完了判定と呼ぶ．完了判定は，事前に実行・保存した通常継続と同じ初期状態，モデル，seed，モデルへの指示とツール説明，予算を用いて各1回実行した．</w:t>
      </w:r>
    </w:p>
    <w:p>
      <w:pPr>
        <w:pStyle w:val="a5"/>
        <w:widowControl/>
      </w:pPr>
      <w:r>
        <w:rPr/>
        <w:t xml:space="preserve">seedの基点は42であり，実験Aとは別の履歴・設定である．同じMiniMax-M3 IQ4_XSとllama.cpp b11669を用い，各実行の予算はモデル呼出し80回，450,000トークン，1,800秒，API160要求とした．</w:t>
      </w:r>
    </w:p>
    <w:p>
      <w:pPr>
        <w:pStyle w:val="a5"/>
        <w:widowControl/>
      </w:pPr>
      <w:r>
        <w:t>終了判定と完了通知は3.2に従う．判定，記録保存，完了通知を含む実行時間を記録し，完了通知をAPI要求数に含めた．</w:t>
      </w:r>
    </w:p>
    <w:p>
      <w:pPr>
        <w:pStyle w:val="a5"/>
        <w:widowControl/>
      </w:pPr>
      <w:r>
        <w:t>行動の生成はLLMが担い，記録の検査はハーネスの規則で行う．この検査のために別のモデル呼出しは設けない．完了の根拠が揃えば次の行動生成を省き，根拠が足りなければ同じ実行を継続する．</w:t>
      </w:r>
    </w:p>
    <w:p>
      <w:pPr>
        <w:pStyle w:val="afe"/>
        <w:keepNext/>
        <w:keepLines/>
      </w:pPr>
      <w:r>
        <w:t>5.2　成功を保った総トークン数の削減</w:t>
      </w:r>
    </w:p>
    <w:p>
      <w:pPr>
        <w:pStyle w:val="a5"/>
        <w:widowControl/>
      </w:pPr>
      <w:r>
        <w:t>表2と図3に結果を示す．両API条件で課題の成功を保ち，完了判定により総トークン数を削減した．文書必須では130,439から91,116へ30.15%，名前参照では151,664から112,233へ26.00%減った．全4実行で公式評価器による成功を確認し，使用量の欠測はなかった．各条件でモデル呼出し2回とAPI要求4回を削減した．完了通知を含めて処理を終え，対象の移動後に続いていた4回の確認APIと，それに伴う生成を省いた．</w:t>
      </w:r>
    </w:p>
    <w:p>
      <w:pPr>
        <w:pStyle w:val="afd"/>
        <w:keepNext/>
        <w:keepLines/>
      </w:pPr>
      <w:r>
        <w:t>表2　実験Bの総トークン数と呼出し回数</w:t>
      </w:r>
    </w:p>
    <w:tbl>
      <w:tblPr>
        <w:tblW w:type="auto" w:w="0"/>
        <w:jc w:val="center"/>
        <w:tblLayout w:type="fixed"/>
        <w:tblLook w:firstColumn="1" w:firstRow="1" w:lastColumn="0" w:lastRow="0" w:noHBand="0" w:noVBand="1" w:val="04A0"/>
        <w:tblBorders>
          <w:top w:val="single" w:sz="4"/>
          <w:bottom w:val="single" w:sz="4"/>
          <w:left w:val="nil" w:sz="4"/>
          <w:right w:val="nil" w:sz="4"/>
          <w:insideH w:val="nil" w:sz="4"/>
          <w:insideV w:val="nil" w:sz="4"/>
        </w:tblBorders>
      </w:tblPr>
      <w:tblGrid>
        <w:gridCol w:w="680"/>
        <w:gridCol w:w="737"/>
        <w:gridCol w:w="964"/>
        <w:gridCol w:w="737"/>
        <w:gridCol w:w="567"/>
      </w:tblGrid>
      <w:tr>
        <w:trPr>
          <w:cantSplit/>
          <w:tblHeader/>
        </w:trPr>
        <w:tc>
          <w:tcPr>
            <w:tcW w:type="dxa" w:w="680"/>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API条件</w:t>
            </w:r>
          </w:p>
        </w:tc>
        <w:tc>
          <w:tcPr>
            <w:tcW w:type="dxa" w:w="737"/>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終了方法</w:t>
            </w:r>
          </w:p>
        </w:tc>
        <w:tc>
          <w:tcPr>
            <w:tcW w:type="dxa" w:w="964"/>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総トークン数</w:t>
            </w:r>
          </w:p>
        </w:tc>
        <w:tc>
          <w:tcPr>
            <w:tcW w:type="dxa" w:w="737"/>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モデル</w:t>
              <w:br/>
              <w:t>呼出し数</w:t>
            </w:r>
          </w:p>
        </w:tc>
        <w:tc>
          <w:tcPr>
            <w:tcW w:type="dxa" w:w="567"/>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API</w:t>
              <w:br/>
              <w:t>要求数</w:t>
            </w:r>
          </w:p>
        </w:tc>
      </w:tr>
      <w:tr>
        <w:trPr>
          <w:cantSplit/>
        </w:trPr>
        <w:tc>
          <w:tcPr>
            <w:tcW w:type="dxa" w:w="680"/>
            <w:vAlign w:val="center"/>
            <w:tcMar>
              <w:left w:w="35" w:type="dxa"/>
              <w:right w:w="35" w:type="dxa"/>
            </w:tcMar>
          </w:tcPr>
          <w:p>
            <w:pPr>
              <w:pStyle w:val="af2"/>
              <w:spacing w:before="0" w:after="0"/>
              <w:ind w:firstLine="0" w:firstLineChars="0" w:left="0" w:right="0" w:hanging="0"/>
              <w:jc w:val="left"/>
              <w:keepNext/>
              <w:keepLines/>
              <w:snapToGrid w:val="0"/>
            </w:pPr>
            <w:r>
              <w:t>文書必須</w:t>
            </w:r>
          </w:p>
        </w:tc>
        <w:tc>
          <w:tcPr>
            <w:tcW w:type="dxa" w:w="737"/>
            <w:vAlign w:val="center"/>
            <w:tcMar>
              <w:left w:w="35" w:type="dxa"/>
              <w:right w:w="35" w:type="dxa"/>
            </w:tcMar>
          </w:tcPr>
          <w:p>
            <w:pPr>
              <w:pStyle w:val="af2"/>
              <w:spacing w:before="0" w:after="0"/>
              <w:ind w:firstLine="0" w:firstLineChars="0" w:left="0" w:right="0" w:hanging="0"/>
              <w:jc w:val="left"/>
              <w:keepNext/>
              <w:keepLines/>
              <w:snapToGrid w:val="0"/>
            </w:pPr>
            <w:r>
              <w:t>通常継続</w:t>
            </w:r>
          </w:p>
        </w:tc>
        <w:tc>
          <w:tcPr>
            <w:tcW w:type="dxa" w:w="964"/>
            <w:vAlign w:val="center"/>
            <w:tcMar>
              <w:left w:w="35" w:type="dxa"/>
              <w:right w:w="35" w:type="dxa"/>
            </w:tcMar>
            <w:noWrap/>
          </w:tcPr>
          <w:p>
            <w:pPr>
              <w:pStyle w:val="af2"/>
              <w:spacing w:before="0" w:after="0"/>
              <w:ind w:firstLine="0" w:firstLineChars="0" w:left="0" w:right="0" w:hanging="0"/>
              <w:jc w:val="right"/>
              <w:keepNext/>
              <w:keepLines/>
              <w:snapToGrid w:val="0"/>
            </w:pPr>
            <w:r>
              <w:t>130,439</w:t>
            </w:r>
          </w:p>
        </w:tc>
        <w:tc>
          <w:tcPr>
            <w:tcW w:type="dxa" w:w="737"/>
            <w:vAlign w:val="center"/>
            <w:tcMar>
              <w:left w:w="35" w:type="dxa"/>
              <w:right w:w="35" w:type="dxa"/>
            </w:tcMar>
            <w:noWrap/>
          </w:tcPr>
          <w:p>
            <w:pPr>
              <w:pStyle w:val="af2"/>
              <w:spacing w:before="0" w:after="0"/>
              <w:ind w:firstLine="0" w:firstLineChars="0" w:left="0" w:right="0" w:hanging="0"/>
              <w:jc w:val="right"/>
              <w:keepNext/>
              <w:keepLines/>
              <w:snapToGrid w:val="0"/>
            </w:pPr>
            <w:r>
              <w:t>15</w:t>
            </w:r>
          </w:p>
        </w:tc>
        <w:tc>
          <w:tcPr>
            <w:tcW w:type="dxa" w:w="567"/>
            <w:vAlign w:val="center"/>
            <w:tcMar>
              <w:left w:w="35" w:type="dxa"/>
              <w:right w:w="35" w:type="dxa"/>
            </w:tcMar>
            <w:noWrap/>
          </w:tcPr>
          <w:p>
            <w:pPr>
              <w:pStyle w:val="af2"/>
              <w:spacing w:before="0" w:after="0"/>
              <w:ind w:firstLine="0" w:firstLineChars="0" w:left="0" w:right="0" w:hanging="0"/>
              <w:jc w:val="right"/>
              <w:keepNext/>
              <w:keepLines/>
              <w:snapToGrid w:val="0"/>
            </w:pPr>
            <w:r>
              <w:t>104</w:t>
            </w:r>
          </w:p>
        </w:tc>
      </w:tr>
      <w:tr>
        <w:trPr>
          <w:cantSplit/>
        </w:trPr>
        <w:tc>
          <w:tcPr>
            <w:tcW w:type="dxa" w:w="680"/>
            <w:vAlign w:val="center"/>
            <w:tcMar>
              <w:left w:w="35" w:type="dxa"/>
              <w:right w:w="35" w:type="dxa"/>
            </w:tcMar>
          </w:tcPr>
          <w:p>
            <w:pPr>
              <w:pStyle w:val="af2"/>
              <w:spacing w:before="0" w:after="40"/>
              <w:ind w:firstLine="0" w:firstLineChars="0" w:left="0" w:right="0" w:hanging="0"/>
              <w:jc w:val="left"/>
              <w:keepNext/>
              <w:keepLines/>
              <w:snapToGrid w:val="0"/>
            </w:pPr>
            <w:r>
              <w:t>文書必須</w:t>
            </w:r>
          </w:p>
        </w:tc>
        <w:tc>
          <w:tcPr>
            <w:tcW w:type="dxa" w:w="737"/>
            <w:vAlign w:val="center"/>
            <w:tcMar>
              <w:left w:w="35" w:type="dxa"/>
              <w:right w:w="35" w:type="dxa"/>
            </w:tcMar>
          </w:tcPr>
          <w:p>
            <w:pPr>
              <w:pStyle w:val="af2"/>
              <w:spacing w:before="0" w:after="40"/>
              <w:ind w:firstLine="0" w:firstLineChars="0" w:left="0" w:right="0" w:hanging="0"/>
              <w:jc w:val="left"/>
              <w:keepNext/>
              <w:keepLines/>
              <w:snapToGrid w:val="0"/>
            </w:pPr>
            <w:r>
              <w:t>完了判定</w:t>
            </w:r>
          </w:p>
        </w:tc>
        <w:tc>
          <w:tcPr>
            <w:tcW w:type="dxa" w:w="964"/>
            <w:vAlign w:val="center"/>
            <w:tcMar>
              <w:left w:w="35" w:type="dxa"/>
              <w:right w:w="35" w:type="dxa"/>
            </w:tcMar>
            <w:noWrap/>
          </w:tcPr>
          <w:p>
            <w:pPr>
              <w:pStyle w:val="af2"/>
              <w:spacing w:before="0" w:after="40"/>
              <w:ind w:firstLine="0" w:firstLineChars="0" w:left="0" w:right="0" w:hanging="0"/>
              <w:jc w:val="right"/>
              <w:keepNext/>
              <w:keepLines/>
              <w:snapToGrid w:val="0"/>
            </w:pPr>
            <w:r>
              <w:t>91,116</w:t>
            </w:r>
          </w:p>
        </w:tc>
        <w:tc>
          <w:tcPr>
            <w:tcW w:type="dxa" w:w="737"/>
            <w:vAlign w:val="center"/>
            <w:tcMar>
              <w:left w:w="35" w:type="dxa"/>
              <w:right w:w="35" w:type="dxa"/>
            </w:tcMar>
            <w:noWrap/>
          </w:tcPr>
          <w:p>
            <w:pPr>
              <w:pStyle w:val="af2"/>
              <w:spacing w:before="0" w:after="40"/>
              <w:ind w:firstLine="0" w:firstLineChars="0" w:left="0" w:right="0" w:hanging="0"/>
              <w:jc w:val="right"/>
              <w:keepNext/>
              <w:keepLines/>
              <w:snapToGrid w:val="0"/>
            </w:pPr>
            <w:r>
              <w:t>13</w:t>
            </w:r>
          </w:p>
        </w:tc>
        <w:tc>
          <w:tcPr>
            <w:tcW w:type="dxa" w:w="567"/>
            <w:vAlign w:val="center"/>
            <w:tcMar>
              <w:left w:w="35" w:type="dxa"/>
              <w:right w:w="35" w:type="dxa"/>
            </w:tcMar>
            <w:noWrap/>
          </w:tcPr>
          <w:p>
            <w:pPr>
              <w:pStyle w:val="af2"/>
              <w:spacing w:before="0" w:after="40"/>
              <w:ind w:firstLine="0" w:firstLineChars="0" w:left="0" w:right="0" w:hanging="0"/>
              <w:jc w:val="right"/>
              <w:keepNext/>
              <w:keepLines/>
              <w:snapToGrid w:val="0"/>
            </w:pPr>
            <w:r>
              <w:t>100</w:t>
            </w:r>
          </w:p>
        </w:tc>
      </w:tr>
      <w:tr>
        <w:trPr>
          <w:cantSplit/>
        </w:trPr>
        <w:tc>
          <w:tcPr>
            <w:tcW w:type="dxa" w:w="680"/>
            <w:vAlign w:val="center"/>
            <w:tcMar>
              <w:left w:w="35" w:type="dxa"/>
              <w:right w:w="35" w:type="dxa"/>
            </w:tcMar>
          </w:tcPr>
          <w:p>
            <w:pPr>
              <w:pStyle w:val="af2"/>
              <w:spacing w:before="0" w:after="0"/>
              <w:ind w:firstLine="0" w:firstLineChars="0" w:left="0" w:right="0" w:hanging="0"/>
              <w:jc w:val="left"/>
              <w:keepNext/>
              <w:keepLines/>
              <w:snapToGrid w:val="0"/>
            </w:pPr>
            <w:r>
              <w:t>名前参照</w:t>
            </w:r>
          </w:p>
        </w:tc>
        <w:tc>
          <w:tcPr>
            <w:tcW w:type="dxa" w:w="737"/>
            <w:vAlign w:val="center"/>
            <w:tcMar>
              <w:left w:w="35" w:type="dxa"/>
              <w:right w:w="35" w:type="dxa"/>
            </w:tcMar>
          </w:tcPr>
          <w:p>
            <w:pPr>
              <w:pStyle w:val="af2"/>
              <w:spacing w:before="0" w:after="0"/>
              <w:ind w:firstLine="0" w:firstLineChars="0" w:left="0" w:right="0" w:hanging="0"/>
              <w:jc w:val="left"/>
              <w:keepNext/>
              <w:keepLines/>
              <w:snapToGrid w:val="0"/>
            </w:pPr>
            <w:r>
              <w:t>通常継続</w:t>
            </w:r>
          </w:p>
        </w:tc>
        <w:tc>
          <w:tcPr>
            <w:tcW w:type="dxa" w:w="964"/>
            <w:vAlign w:val="center"/>
            <w:tcMar>
              <w:left w:w="35" w:type="dxa"/>
              <w:right w:w="35" w:type="dxa"/>
            </w:tcMar>
            <w:noWrap/>
          </w:tcPr>
          <w:p>
            <w:pPr>
              <w:pStyle w:val="af2"/>
              <w:spacing w:before="0" w:after="0"/>
              <w:ind w:firstLine="0" w:firstLineChars="0" w:left="0" w:right="0" w:hanging="0"/>
              <w:jc w:val="right"/>
              <w:keepNext/>
              <w:keepLines/>
              <w:snapToGrid w:val="0"/>
            </w:pPr>
            <w:r>
              <w:t>151,664</w:t>
            </w:r>
          </w:p>
        </w:tc>
        <w:tc>
          <w:tcPr>
            <w:tcW w:type="dxa" w:w="737"/>
            <w:vAlign w:val="center"/>
            <w:tcMar>
              <w:left w:w="35" w:type="dxa"/>
              <w:right w:w="35" w:type="dxa"/>
            </w:tcMar>
            <w:noWrap/>
          </w:tcPr>
          <w:p>
            <w:pPr>
              <w:pStyle w:val="af2"/>
              <w:spacing w:before="0" w:after="0"/>
              <w:ind w:firstLine="0" w:firstLineChars="0" w:left="0" w:right="0" w:hanging="0"/>
              <w:jc w:val="right"/>
              <w:keepNext/>
              <w:keepLines/>
              <w:snapToGrid w:val="0"/>
            </w:pPr>
            <w:r>
              <w:t>14</w:t>
            </w:r>
          </w:p>
        </w:tc>
        <w:tc>
          <w:tcPr>
            <w:tcW w:type="dxa" w:w="567"/>
            <w:vAlign w:val="center"/>
            <w:tcMar>
              <w:left w:w="35" w:type="dxa"/>
              <w:right w:w="35" w:type="dxa"/>
            </w:tcMar>
            <w:noWrap/>
          </w:tcPr>
          <w:p>
            <w:pPr>
              <w:pStyle w:val="af2"/>
              <w:spacing w:before="0" w:after="0"/>
              <w:ind w:firstLine="0" w:firstLineChars="0" w:left="0" w:right="0" w:hanging="0"/>
              <w:jc w:val="right"/>
              <w:keepNext/>
              <w:keepLines/>
              <w:snapToGrid w:val="0"/>
            </w:pPr>
            <w:r>
              <w:t>103</w:t>
            </w:r>
          </w:p>
        </w:tc>
      </w:tr>
      <w:tr>
        <w:trPr>
          <w:cantSplit/>
        </w:trPr>
        <w:tc>
          <w:tcPr>
            <w:tcW w:type="dxa" w:w="680"/>
            <w:vAlign w:val="center"/>
            <w:tcMar>
              <w:left w:w="35" w:type="dxa"/>
              <w:right w:w="35" w:type="dxa"/>
            </w:tcMar>
          </w:tcPr>
          <w:p>
            <w:pPr>
              <w:pStyle w:val="af2"/>
              <w:spacing w:before="0" w:after="0"/>
              <w:ind w:firstLine="0" w:firstLineChars="0" w:left="0" w:right="0" w:hanging="0"/>
              <w:jc w:val="left"/>
              <w:keepNext/>
              <w:keepLines/>
              <w:snapToGrid w:val="0"/>
            </w:pPr>
            <w:r>
              <w:t>名前参照</w:t>
            </w:r>
          </w:p>
        </w:tc>
        <w:tc>
          <w:tcPr>
            <w:tcW w:type="dxa" w:w="737"/>
            <w:vAlign w:val="center"/>
            <w:tcMar>
              <w:left w:w="35" w:type="dxa"/>
              <w:right w:w="35" w:type="dxa"/>
            </w:tcMar>
          </w:tcPr>
          <w:p>
            <w:pPr>
              <w:pStyle w:val="af2"/>
              <w:spacing w:before="0" w:after="0"/>
              <w:ind w:firstLine="0" w:firstLineChars="0" w:left="0" w:right="0" w:hanging="0"/>
              <w:jc w:val="left"/>
              <w:keepNext/>
              <w:keepLines/>
              <w:snapToGrid w:val="0"/>
            </w:pPr>
            <w:r>
              <w:t>完了判定</w:t>
            </w:r>
          </w:p>
        </w:tc>
        <w:tc>
          <w:tcPr>
            <w:tcW w:type="dxa" w:w="964"/>
            <w:vAlign w:val="center"/>
            <w:tcMar>
              <w:left w:w="35" w:type="dxa"/>
              <w:right w:w="35" w:type="dxa"/>
            </w:tcMar>
            <w:noWrap/>
          </w:tcPr>
          <w:p>
            <w:pPr>
              <w:pStyle w:val="af2"/>
              <w:spacing w:before="0" w:after="0"/>
              <w:ind w:firstLine="0" w:firstLineChars="0" w:left="0" w:right="0" w:hanging="0"/>
              <w:jc w:val="right"/>
              <w:keepNext/>
              <w:keepLines/>
              <w:snapToGrid w:val="0"/>
            </w:pPr>
            <w:r>
              <w:t>112,233</w:t>
            </w:r>
          </w:p>
        </w:tc>
        <w:tc>
          <w:tcPr>
            <w:tcW w:type="dxa" w:w="737"/>
            <w:vAlign w:val="center"/>
            <w:tcMar>
              <w:left w:w="35" w:type="dxa"/>
              <w:right w:w="35" w:type="dxa"/>
            </w:tcMar>
            <w:noWrap/>
          </w:tcPr>
          <w:p>
            <w:pPr>
              <w:pStyle w:val="af2"/>
              <w:spacing w:before="0" w:after="0"/>
              <w:ind w:firstLine="0" w:firstLineChars="0" w:left="0" w:right="0" w:hanging="0"/>
              <w:jc w:val="right"/>
              <w:keepNext/>
              <w:keepLines/>
              <w:snapToGrid w:val="0"/>
            </w:pPr>
            <w:r>
              <w:t>12</w:t>
            </w:r>
          </w:p>
        </w:tc>
        <w:tc>
          <w:tcPr>
            <w:tcW w:type="dxa" w:w="567"/>
            <w:vAlign w:val="center"/>
            <w:tcMar>
              <w:left w:w="35" w:type="dxa"/>
              <w:right w:w="35" w:type="dxa"/>
            </w:tcMar>
            <w:noWrap/>
          </w:tcPr>
          <w:p>
            <w:pPr>
              <w:pStyle w:val="af2"/>
              <w:spacing w:before="0" w:after="0"/>
              <w:ind w:firstLine="0" w:firstLineChars="0" w:left="0" w:right="0" w:hanging="0"/>
              <w:jc w:val="right"/>
              <w:keepNext/>
              <w:keepLines/>
              <w:snapToGrid w:val="0"/>
            </w:pPr>
            <w:r>
              <w:t>99</w:t>
            </w:r>
          </w:p>
        </w:tc>
      </w:tr>
    </w:tbl>
    <w:p>
      <w:pPr>
        <w:pStyle w:val="a5"/>
        <w:widowControl/>
        <w:spacing w:before="40"/>
      </w:pPr>
      <w:r>
        <w:t>実行したAPI操作などの前半の記録と，実行終了時の13個のデータベースのハッシュ値は対照と一致し，最終状態を保った削減を確認した．要求・モデル応答の全文が通常継続側の先頭部分と完全に一致する事前基準は満たさなかったため，結果は既知の要求形式に対する各1回の比較として扱う．平均的な因果効果や汎用的な終了保証を示す評価ではない．</w:t>
      </w:r>
    </w:p>
    <w:p>
      <w:pPr>
        <w:pStyle w:val="aff2"/>
        <w:keepNext/>
        <w:spacing w:before="0" w:beforeLines="0"/>
        <w:jc w:val="center"/>
      </w:pPr>
      <w:r/>
      <w:r>
        <w:drawing>
          <wp:inline xmlns:a="http://schemas.openxmlformats.org/drawingml/2006/main" xmlns:pic="http://schemas.openxmlformats.org/drawingml/2006/picture">
            <wp:extent cx="2340000" cy="2087718"/>
            <wp:docPr id="3" name="Picture 3"/>
            <wp:cNvGraphicFramePr>
              <a:graphicFrameLocks noChangeAspect="1"/>
            </wp:cNvGraphicFramePr>
            <a:graphic>
              <a:graphicData uri="http://schemas.openxmlformats.org/drawingml/2006/picture">
                <pic:pic>
                  <pic:nvPicPr>
                    <pic:cNvPr id="0" name="result_termination.png"/>
                    <pic:cNvPicPr/>
                  </pic:nvPicPr>
                  <pic:blipFill>
                    <a:blip r:embed="rId18"/>
                    <a:stretch>
                      <a:fillRect/>
                    </a:stretch>
                  </pic:blipFill>
                  <pic:spPr>
                    <a:xfrm>
                      <a:off x="0" y="0"/>
                      <a:ext cx="2340000" cy="2087718"/>
                    </a:xfrm>
                    <a:prstGeom prst="rect"/>
                  </pic:spPr>
                </pic:pic>
              </a:graphicData>
            </a:graphic>
          </wp:inline>
        </w:drawing>
      </w:r>
    </w:p>
    <w:p>
      <w:pPr>
        <w:pStyle w:val="afd"/>
        <w:keepNext w:val="0"/>
        <w:keepLines/>
      </w:pPr>
      <w:r>
        <w:t>図3　実験Bの総トークン数</w:t>
      </w:r>
    </w:p>
    <w:p>
      <w:pPr>
        <w:pStyle w:val="af0"/>
        <w:keepNext/>
        <w:keepLines/>
      </w:pPr>
      <w:r>
        <w:t>6．むすび</w:t>
      </w:r>
    </w:p>
    <w:p>
      <w:pPr>
        <w:pStyle w:val="a5"/>
        <w:widowControl/>
      </w:pPr>
      <w:r>
        <w:t>既知4課題では，反復要約により全課題の成功を保ち，単回要約に比べて総トークン数を12.07%削減した．同じ写真課題の2つのAPI条件では，API実行記録に基づく完了判定により成功を保ち，通常継続に比べて26.00–30.15%削減した．要約生成を含む全モデル呼出しを計測し，両制御を独立に評価して実行費用の削減を確認した．</w:t>
      </w:r>
    </w:p>
    <w:p>
      <w:pPr>
        <w:pStyle w:val="a5"/>
        <w:widowControl/>
      </w:pPr>
      <w:r>
        <w:t>本稿は，既知課題と単一モデル・量子化設定における少数のseed・試行による開発実験を事後に整理した評価である．未見課題の品質維持や統計的非劣性は評価していない．</w:t>
      </w:r>
    </w:p>
    <w:p>
      <w:pPr>
        <w:pStyle w:val="af1"/>
      </w:pPr>
      <w:r>
        <w:t>文　　　献</w:t>
      </w:r>
    </w:p>
    <w:p>
      <w:pPr>
        <w:pStyle w:val="af2"/>
      </w:pPr>
      <w:r/>
      <w:r>
        <w:tab/>
        <w:t>[1]</w:t>
        <w:tab/>
      </w:r>
      <w:r>
        <w:rPr/>
        <w:t xml:space="preserve">S. Yao, J. Zhao, D. Yu, N. Du, I. Shafran, K. Narasimhan, and Y. Cao,</w:t>
      </w:r>
      <w:r>
        <w:rPr/>
        <w:t xml:space="preserve"> </w:t>
      </w:r>
      <w:r>
        <w:rPr/>
        <w:t xml:space="preserve">“ReAct: Synergizing reasoning and acting in language models,”</w:t>
      </w:r>
      <w:r>
        <w:rPr/>
        <w:t xml:space="preserve"> </w:t>
      </w:r>
      <w:r>
        <w:rPr/>
        <w:t xml:space="preserve">Proc. ICLR, May 2023.</w:t>
      </w:r>
    </w:p>
    <w:p>
      <w:pPr>
        <w:pStyle w:val="af2"/>
      </w:pPr>
      <w:r/>
      <w:r>
        <w:tab/>
        <w:t>[2]</w:t>
        <w:tab/>
      </w:r>
      <w:r>
        <w:rPr/>
        <w:t xml:space="preserve">X. Wang, Y. Chen, L. Yuan, Y. Zhang, Y. Li, H. Peng, and H. Ji,</w:t>
      </w:r>
      <w:r>
        <w:rPr/>
        <w:t xml:space="preserve"> </w:t>
      </w:r>
      <w:r>
        <w:rPr/>
        <w:t xml:space="preserve">“Executable code actions elicit better LLM agents,”</w:t>
      </w:r>
      <w:r>
        <w:rPr/>
        <w:t xml:space="preserve"> </w:t>
      </w:r>
      <w:r>
        <w:rPr/>
        <w:t xml:space="preserve">Proc. ICML, PMLR, vol.235, pp.50208–50232, July 2024.</w:t>
      </w:r>
    </w:p>
    <w:p>
      <w:pPr>
        <w:pStyle w:val="af2"/>
      </w:pPr>
      <w:r/>
      <w:r>
        <w:tab/>
        <w:t>[3]</w:t>
        <w:tab/>
      </w:r>
      <w:r>
        <w:rPr/>
        <w:t xml:space="preserve">N. F. Liu, K. Lin, J. Hewitt, A. Paranjape, M. Bevilacqua, F. Petroni, and P. Liang,</w:t>
      </w:r>
      <w:r>
        <w:rPr/>
        <w:t xml:space="preserve"> </w:t>
      </w:r>
      <w:r>
        <w:rPr/>
        <w:t xml:space="preserve">“Lost in the middle: How language models use long contexts,”</w:t>
      </w:r>
      <w:r>
        <w:rPr/>
        <w:t xml:space="preserve"> </w:t>
      </w:r>
      <w:r>
        <w:rPr/>
        <w:t xml:space="preserve">Trans. ACL, vol.12, pp.157–173, 2024.</w:t>
      </w:r>
      <w:r>
        <w:rPr/>
        <w:t xml:space="preserve"> </w:t>
      </w:r>
      <w:r>
        <w:rPr/>
        <w:t xml:space="preserve">doi: 10.1162/tacl_a_00638.</w:t>
      </w:r>
    </w:p>
    <w:p>
      <w:pPr>
        <w:pStyle w:val="af2"/>
      </w:pPr>
      <w:r/>
      <w:r>
        <w:tab/>
        <w:t>[4]</w:t>
        <w:tab/>
      </w:r>
      <w:r>
        <w:rPr/>
        <w:t xml:space="preserve">H. Jiang, Q. Wu, C.-Y. Lin, Y. Yang, and L. Qiu,</w:t>
      </w:r>
      <w:r>
        <w:rPr/>
        <w:t xml:space="preserve"> </w:t>
      </w:r>
      <w:r>
        <w:rPr/>
        <w:t xml:space="preserve">“LLMLingua: Compressing prompts for accelerated inference of large language models,”</w:t>
      </w:r>
      <w:r>
        <w:rPr/>
        <w:t xml:space="preserve"> </w:t>
      </w:r>
      <w:r>
        <w:rPr/>
        <w:t xml:space="preserve">Proc. EMNLP, pp.13358–13376, Dec. 2023.</w:t>
      </w:r>
      <w:r>
        <w:rPr/>
        <w:t xml:space="preserve"> </w:t>
      </w:r>
      <w:r>
        <w:rPr/>
        <w:t xml:space="preserve">doi: 10.18653/v1/2023.emnlp-main.825.</w:t>
      </w:r>
    </w:p>
    <w:p>
      <w:pPr>
        <w:pStyle w:val="af2"/>
      </w:pPr>
      <w:r/>
      <w:r>
        <w:tab/>
        <w:t>[5]</w:t>
        <w:tab/>
      </w:r>
      <w:r>
        <w:rPr/>
        <w:t xml:space="preserve">Z. Pan, Q. Wu, H. Jiang, M. Xia, X. Luo, J. Zhang, Q. Lin, V. Rühle,</w:t>
      </w:r>
      <w:r>
        <w:rPr/>
        <w:t xml:space="preserve"> </w:t>
      </w:r>
      <w:r>
        <w:rPr/>
        <w:t xml:space="preserve">Y. Yang, C.-Y. Lin, H. V. Zhao, L. Qiu, and D. Zhang,</w:t>
      </w:r>
      <w:r>
        <w:rPr/>
        <w:t xml:space="preserve"> </w:t>
      </w:r>
      <w:r>
        <w:rPr/>
        <w:t xml:space="preserve">“LLMLingua-2: Data distillation for efficient and faithful task-agnostic prompt compression,”</w:t>
      </w:r>
      <w:r>
        <w:rPr/>
        <w:t xml:space="preserve"> </w:t>
      </w:r>
      <w:r>
        <w:rPr/>
        <w:t xml:space="preserve">Findings of ACL: ACL 2024, pp.963–981, Aug. 2024.</w:t>
      </w:r>
      <w:r>
        <w:rPr/>
        <w:t xml:space="preserve"> </w:t>
      </w:r>
      <w:r>
        <w:rPr/>
        <w:t xml:space="preserve">doi: 10.18653/v1/2024.findings-acl.57.</w:t>
      </w:r>
    </w:p>
    <w:p>
      <w:pPr>
        <w:pStyle w:val="af2"/>
      </w:pPr>
      <w:r/>
      <w:r>
        <w:tab/>
        <w:t>[6]</w:t>
        <w:tab/>
      </w:r>
      <w:r>
        <w:rPr/>
        <w:t xml:space="preserve">H. Jiang, Q. Wu, X. Luo, D. Li, C.-Y. Lin, Y. Yang, and L. Qiu,</w:t>
      </w:r>
      <w:r>
        <w:rPr/>
        <w:t xml:space="preserve"> </w:t>
      </w:r>
      <w:r>
        <w:rPr/>
        <w:t xml:space="preserve">“LongLLMLingua: Accelerating and enhancing LLMs in long context scenarios via prompt compression,”</w:t>
      </w:r>
      <w:r>
        <w:rPr/>
        <w:t xml:space="preserve"> </w:t>
      </w:r>
      <w:r>
        <w:rPr/>
        <w:t xml:space="preserve">Proc. ACL, vol.1, pp.1658–1677, Aug. 2024.</w:t>
      </w:r>
      <w:r>
        <w:rPr/>
        <w:t xml:space="preserve"> </w:t>
      </w:r>
      <w:r>
        <w:rPr/>
        <w:t xml:space="preserve">doi: 10.18653/v1/2024.acl-long.91.</w:t>
      </w:r>
    </w:p>
    <w:p>
      <w:pPr>
        <w:pStyle w:val="af2"/>
      </w:pPr>
      <w:r/>
      <w:r>
        <w:tab/>
        <w:t>[7]</w:t>
        <w:tab/>
      </w:r>
      <w:r>
        <w:rPr/>
        <w:t xml:space="preserve">M. Kang, W.-N. Chen, D. Han, H. A. Inan, L. Wutschitz, Y. Chen,</w:t>
      </w:r>
      <w:r>
        <w:rPr/>
        <w:t xml:space="preserve"> </w:t>
      </w:r>
      <w:r>
        <w:rPr/>
        <w:t xml:space="preserve">R. Sim, and S. Rajmohan,</w:t>
      </w:r>
      <w:r>
        <w:rPr/>
        <w:t xml:space="preserve"> </w:t>
      </w:r>
      <w:r>
        <w:rPr/>
        <w:t xml:space="preserve">“ACON: Optimizing context compression for long-horizon LLM agents,”</w:t>
      </w:r>
      <w:r>
        <w:rPr/>
        <w:t xml:space="preserve"> </w:t>
      </w:r>
      <w:r>
        <w:rPr/>
        <w:t xml:space="preserve">Proc. ICML, PMLR, vol.306, pp.55321–55375, July 2026.</w:t>
      </w:r>
    </w:p>
    <w:p>
      <w:pPr>
        <w:pStyle w:val="af2"/>
      </w:pPr>
      <w:r/>
      <w:r>
        <w:tab/>
        <w:t>[8]</w:t>
        <w:tab/>
      </w:r>
      <w:r>
        <w:rPr/>
        <w:t xml:space="preserve">B. Xu, Z. Xue, D. Chen, C. Fu, C. Wu, C. Huang, C. Jiang, J. Fang,</w:t>
      </w:r>
      <w:r>
        <w:rPr/>
        <w:t xml:space="preserve"> </w:t>
      </w:r>
      <w:r>
        <w:rPr/>
        <w:t xml:space="preserve">X. Deng, Y. Chen, Y. Yao, X. Wang, J. Shang, H. Chen, and N. Zhang,</w:t>
      </w:r>
      <w:r>
        <w:rPr/>
        <w:t xml:space="preserve"> </w:t>
      </w:r>
      <w:r>
        <w:rPr/>
        <w:t xml:space="preserve">“TokenPilot: Cache-efficient context management for LLM agents,”</w:t>
      </w:r>
      <w:r>
        <w:rPr/>
        <w:t xml:space="preserve"> </w:t>
      </w:r>
      <w:r>
        <w:rPr/>
        <w:t xml:space="preserve">Findings of ACL: EMNLP 2026, pp.19034–19049, Oct. 2026.</w:t>
      </w:r>
    </w:p>
    <w:p>
      <w:pPr>
        <w:pStyle w:val="af2"/>
      </w:pPr>
      <w:r/>
      <w:r>
        <w:tab/>
        <w:t>[9]</w:t>
        <w:tab/>
      </w:r>
      <w:r>
        <w:rPr/>
        <w:t xml:space="preserve">J. S. Park, J. O’Brien, C. J. Cai, M. R. Morris, P. Liang, and M. S. Bernstein,</w:t>
      </w:r>
      <w:r>
        <w:rPr/>
        <w:t xml:space="preserve"> </w:t>
      </w:r>
      <w:r>
        <w:rPr/>
        <w:t xml:space="preserve">“Generative agents: Interactive simulacra of human behavior,”</w:t>
      </w:r>
      <w:r>
        <w:rPr/>
        <w:t xml:space="preserve"> </w:t>
      </w:r>
      <w:r>
        <w:rPr/>
        <w:t xml:space="preserve">Proc. ACM UIST, article 2, pp.1–22, Oct. 2023.</w:t>
      </w:r>
      <w:r>
        <w:rPr/>
        <w:t xml:space="preserve"> </w:t>
      </w:r>
      <w:r>
        <w:rPr/>
        <w:t xml:space="preserve">doi: 10.1145/3586183.3606763.</w:t>
      </w:r>
    </w:p>
    <w:p>
      <w:pPr>
        <w:pStyle w:val="af2"/>
      </w:pPr>
      <w:r/>
      <w:r>
        <w:tab/>
        <w:t>[10]</w:t>
        <w:tab/>
      </w:r>
      <w:r>
        <w:rPr/>
        <w:t xml:space="preserve">N. Shinn, F. Cassano, A. Gopinath, K. Narasimhan, and S. Yao,</w:t>
      </w:r>
      <w:r>
        <w:rPr/>
        <w:t xml:space="preserve"> </w:t>
      </w:r>
      <w:r>
        <w:rPr/>
        <w:t xml:space="preserve">“Reflexion: Language agents with verbal reinforcement learning,”</w:t>
      </w:r>
      <w:r>
        <w:rPr/>
        <w:t xml:space="preserve"> </w:t>
      </w:r>
      <w:r>
        <w:rPr/>
        <w:t xml:space="preserve">Advances in Neural Information Processing Systems, vol.36, pp.8634–8652, 2023.</w:t>
      </w:r>
      <w:r>
        <w:rPr/>
        <w:t xml:space="preserve"> </w:t>
      </w:r>
      <w:r>
        <w:rPr/>
        <w:t xml:space="preserve">doi: 10.52202/075280-0377.</w:t>
      </w:r>
    </w:p>
    <w:p>
      <w:pPr>
        <w:pStyle w:val="af2"/>
      </w:pPr>
      <w:r/>
      <w:r>
        <w:tab/>
        <w:t>[11]</w:t>
        <w:tab/>
      </w:r>
      <w:r>
        <w:rPr/>
        <w:t xml:space="preserve">Q. Lu, L. Ding, S. Cao, X. Liu, K. Zhang, J. Zhang, and D. Tao,</w:t>
      </w:r>
      <w:r>
        <w:rPr/>
        <w:t xml:space="preserve"> </w:t>
      </w:r>
      <w:r>
        <w:rPr/>
        <w:t xml:space="preserve">“Runaway is ashamed, but helpful: On the early-exit behavior of large language model-based agents in embodied environments,”</w:t>
      </w:r>
      <w:r>
        <w:rPr/>
        <w:t xml:space="preserve"> </w:t>
      </w:r>
      <w:r>
        <w:rPr/>
        <w:t xml:space="preserve">Findings of ACL: EMNLP 2025, pp.24014–24027, Nov. 2025.</w:t>
      </w:r>
      <w:r>
        <w:rPr/>
        <w:t xml:space="preserve"> </w:t>
      </w:r>
      <w:r>
        <w:rPr/>
        <w:t xml:space="preserve">doi: 10.18653/v1/2025.findings-emnlp.1304.</w:t>
      </w:r>
    </w:p>
    <w:p>
      <w:pPr>
        <w:pStyle w:val="af2"/>
      </w:pPr>
      <w:r/>
      <w:r>
        <w:tab/>
        <w:t>[12]</w:t>
        <w:tab/>
      </w:r>
      <w:r>
        <w:rPr/>
        <w:t xml:space="preserve">H. Trivedi, T. Khot, M. Hartmann, R. Manku, V. Dong, E. Li, S. Gupta,</w:t>
      </w:r>
      <w:r>
        <w:rPr/>
        <w:t xml:space="preserve"> </w:t>
      </w:r>
      <w:r>
        <w:rPr/>
        <w:t xml:space="preserve">A. Sabharwal, and N. Balasubramanian,</w:t>
      </w:r>
      <w:r>
        <w:rPr/>
        <w:t xml:space="preserve"> </w:t>
      </w:r>
      <w:r>
        <w:rPr/>
        <w:t xml:space="preserve">“AppWorld: A controllable world of apps and people for benchmarking interactive coding agents,”</w:t>
      </w:r>
      <w:r>
        <w:rPr/>
        <w:t xml:space="preserve"> </w:t>
      </w:r>
      <w:r>
        <w:rPr/>
        <w:t xml:space="preserve">Proc. ACL, vol.1, pp.16022–16076, Aug. 2024.</w:t>
      </w:r>
      <w:r>
        <w:rPr/>
        <w:t xml:space="preserve"> </w:t>
      </w:r>
      <w:r>
        <w:rPr/>
        <w:t xml:space="preserve">doi: 10.18653/v1/2024.acl-long.850.</w:t>
      </w:r>
    </w:p>
    <w:p>
      <w:pPr>
        <w:pageBreakBefore/>
      </w:pPr>
      <w:r>
        <w:t>Abstract</w:t>
      </w:r>
    </w:p>
    <w:p>
      <w:pPr>
        <w:jc w:val="left"/>
      </w:pPr>
      <w:r>
        <w:t>We propose harness control that manages an LLM agent's input history and stopping time. We independently evaluated repeated summarization and completion checks based on API execution records. Counting every model call, including summarization, showed reduced total tokens while preserving success on known tasks.</w:t>
      </w:r>
    </w:p>
    <w:p>
      <w:pPr>
        <w:jc w:val="left"/>
      </w:pPr>
      <w:r>
        <w:t>Key words: LLM agents, harness, history summarization, termination control, cost evaluation</w:t>
      </w:r>
    </w:p>
    <w:sectPr w:rsidR="00BD7DCC" w:rsidSect="00A53BBC">
      <w:headerReference w:type="even" r:id="rId8"/>
      <w:headerReference w:type="default" r:id="rId9"/>
      <w:footerReference w:type="even" r:id="rId10"/>
      <w:footerReference w:type="default" r:id="rId11"/>
      <w:headerReference w:type="first" r:id="rId12"/>
      <w:footerReference w:type="first" r:id="rId13"/>
      <w:type w:val="continuous"/>
      <w:pgSz w:w="10319" w:h="14572" w:code="13"/>
      <w:pgMar w:top="1418" w:right="851" w:bottom="1418" w:left="851" w:header="851" w:footer="992" w:gutter="0"/>
      <w:cols w:num="2" w:space="443"/>
      <w:docGrid w:type="linesAndChars" w:linePitch="26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646D4" w:rsidRDefault="00D646D4">
      <w:r>
        <w:separator/>
      </w:r>
    </w:p>
  </w:endnote>
  <w:endnote w:type="continuationSeparator" w:id="0">
    <w:p w:rsidR="00D646D4" w:rsidRDefault="00D646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Pr="004F3C80" w:rsidRDefault="00AC6250" w:rsidP="004F3C80">
    <w:pPr>
      <w:pStyle w:val="aa"/>
    </w:pPr>
    <w:r w:rsidRPr="004F3C80">
      <w:fldChar w:fldCharType="begin"/>
    </w:r>
    <w:r w:rsidRPr="004F3C80">
      <w:instrText xml:space="preserve"> PAGE </w:instrText>
    </w:r>
    <w:r w:rsidRPr="004F3C80">
      <w:fldChar w:fldCharType="separate"/>
    </w:r>
    <w:r w:rsidR="00CE4E2E">
      <w:rPr>
        <w:noProof/>
      </w:rPr>
      <w:t>4</w:t>
    </w:r>
    <w:r w:rsidRPr="004F3C80">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Pr="004F3C80" w:rsidRDefault="00AC6250" w:rsidP="004F3C80">
    <w:pPr>
      <w:pStyle w:val="ab"/>
      <w:ind w:right="170"/>
    </w:pPr>
    <w:r w:rsidRPr="004F3C80">
      <w:fldChar w:fldCharType="begin"/>
    </w:r>
    <w:r w:rsidRPr="004F3C80">
      <w:instrText xml:space="preserve"> PAGE </w:instrText>
    </w:r>
    <w:r w:rsidRPr="004F3C80">
      <w:fldChar w:fldCharType="separate"/>
    </w:r>
    <w:r w:rsidR="00CE4E2E">
      <w:rPr>
        <w:noProof/>
      </w:rPr>
      <w:t>5</w:t>
    </w:r>
    <w:r w:rsidRPr="004F3C80">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Pr="004F3C80" w:rsidRDefault="00AC6250" w:rsidP="004F3C80">
    <w:pPr>
      <w:pStyle w:val="ab"/>
      <w:ind w:right="170"/>
    </w:pPr>
    <w:r>
      <w:rPr>
        <w:rFonts w:hint="eastAsia"/>
        <w:lang w:eastAsia="zh-TW"/>
      </w:rPr>
      <w:t xml:space="preserve">電子情報通信学会論文誌　</w:t>
    </w:r>
    <w:r w:rsidR="00BD7DCC">
      <w:rPr>
        <w:rFonts w:hint="eastAsia"/>
      </w:rPr>
      <w:t>D</w:t>
    </w:r>
    <w:r>
      <w:rPr>
        <w:rFonts w:hint="eastAsia"/>
        <w:lang w:eastAsia="zh-TW"/>
      </w:rPr>
      <w:t xml:space="preserve">　</w:t>
    </w:r>
    <w:r>
      <w:rPr>
        <w:rFonts w:hint="eastAsia"/>
        <w:lang w:eastAsia="zh-TW"/>
      </w:rPr>
      <w:t xml:space="preserve">Vol. </w:t>
    </w:r>
    <w:r w:rsidR="00915B60">
      <w:rPr>
        <w:rFonts w:hint="eastAsia"/>
      </w:rPr>
      <w:t>J</w:t>
    </w:r>
    <w:r>
      <w:rPr>
        <w:rFonts w:hint="eastAsia"/>
      </w:rPr>
      <w:t>XXX-</w:t>
    </w:r>
    <w:r w:rsidR="00BD7DCC">
      <w:rPr>
        <w:rFonts w:hint="eastAsia"/>
      </w:rPr>
      <w:t>D</w:t>
    </w:r>
    <w:r>
      <w:rPr>
        <w:rFonts w:hint="eastAsia"/>
      </w:rPr>
      <w:t xml:space="preserve">　</w:t>
    </w:r>
    <w:r>
      <w:rPr>
        <w:rFonts w:hint="eastAsia"/>
      </w:rPr>
      <w:t>No. X</w:t>
    </w:r>
    <w:r>
      <w:rPr>
        <w:rFonts w:hint="eastAsia"/>
      </w:rPr>
      <w:t xml:space="preserve">　</w:t>
    </w:r>
    <w:r>
      <w:rPr>
        <w:rFonts w:hint="eastAsia"/>
      </w:rPr>
      <w:t>pp. XXX-XXX</w:t>
    </w:r>
    <w:r>
      <w:rPr>
        <w:rFonts w:hint="eastAsia"/>
      </w:rPr>
      <w:t xml:space="preserve">　</w:t>
    </w:r>
    <w:r w:rsidR="00915B60">
      <w:fldChar w:fldCharType="begin"/>
    </w:r>
    <w:r w:rsidR="00915B60">
      <w:instrText xml:space="preserve"> </w:instrText>
    </w:r>
    <w:r w:rsidR="00915B60">
      <w:rPr>
        <w:rFonts w:hint="eastAsia"/>
      </w:rPr>
      <w:instrText>eq \o\ac(</w:instrText>
    </w:r>
    <w:r w:rsidR="00915B60">
      <w:rPr>
        <w:rFonts w:hint="eastAsia"/>
      </w:rPr>
      <w:instrText>○</w:instrText>
    </w:r>
    <w:r w:rsidR="00915B60">
      <w:rPr>
        <w:rFonts w:hint="eastAsia"/>
      </w:rPr>
      <w:instrText>,</w:instrText>
    </w:r>
    <w:r w:rsidR="00915B60" w:rsidRPr="00915B60">
      <w:rPr>
        <w:rFonts w:hint="eastAsia"/>
        <w:position w:val="2"/>
        <w:sz w:val="11"/>
      </w:rPr>
      <w:instrText>C</w:instrText>
    </w:r>
    <w:r w:rsidR="00915B60">
      <w:rPr>
        <w:rFonts w:hint="eastAsia"/>
      </w:rPr>
      <w:instrText>)</w:instrText>
    </w:r>
    <w:r w:rsidR="00915B60">
      <w:fldChar w:fldCharType="end"/>
    </w:r>
    <w:r>
      <w:rPr>
        <w:rFonts w:ascii="ＭＳ ゴシック" w:hAnsi="ＭＳ ゴシック" w:hint="eastAsia"/>
      </w:rPr>
      <w:t xml:space="preserve">　</w:t>
    </w:r>
    <w:r w:rsidR="00915B60">
      <w:rPr>
        <w:rFonts w:ascii="ＭＳ ゴシック" w:hAnsi="ＭＳ ゴシック" w:hint="eastAsia"/>
      </w:rPr>
      <w:t xml:space="preserve">(社) </w:t>
    </w:r>
    <w:r>
      <w:rPr>
        <w:rFonts w:ascii="ＭＳ ゴシック" w:hAnsi="ＭＳ ゴシック" w:hint="eastAsia"/>
      </w:rPr>
      <w:t xml:space="preserve">電子情報通信学会XXXX　　　　</w:t>
    </w:r>
    <w:r w:rsidRPr="004F3C80">
      <w:fldChar w:fldCharType="begin"/>
    </w:r>
    <w:r w:rsidRPr="004F3C80">
      <w:instrText xml:space="preserve"> PAGE </w:instrText>
    </w:r>
    <w:r w:rsidRPr="004F3C80">
      <w:fldChar w:fldCharType="separate"/>
    </w:r>
    <w:r w:rsidR="00CE4E2E">
      <w:rPr>
        <w:noProof/>
      </w:rPr>
      <w:t>1</w:t>
    </w:r>
    <w:r w:rsidRPr="004F3C80">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646D4" w:rsidRDefault="00D646D4">
      <w:r>
        <w:separator/>
      </w:r>
    </w:p>
  </w:footnote>
  <w:footnote w:type="continuationSeparator" w:id="0">
    <w:p w:rsidR="00D646D4" w:rsidRDefault="00D646D4">
      <w:r>
        <w:continuationSeparator/>
      </w:r>
    </w:p>
  </w:footnote>
  <w:footnote w:id="20">
    <w:p>
      <w:pPr>
        <w:pStyle w:val="af2"/>
      </w:pPr>
      <w:r>
        <w:footnoteRef/>
      </w:r>
      <w:r>
        <w:t xml:space="preserve"> https://github.com/sophiria1225/AI-</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Default="00A50C1A" w:rsidP="00A52CDC">
    <w:pPr>
      <w:pStyle w:val="a8"/>
      <w:rPr>
        <w:lang w:eastAsia="zh-TW"/>
      </w:rPr>
    </w:pPr>
    <w:r>
      <w:rPr>
        <w:noProof/>
      </w:rPr>
      <mc:AlternateContent>
        <mc:Choice Requires="wps">
          <w:drawing>
            <wp:anchor distT="0" distB="0" distL="114300" distR="114300" simplePos="0" relativeHeight="251658752" behindDoc="0" locked="0" layoutInCell="0" allowOverlap="1">
              <wp:simplePos x="0" y="0"/>
              <wp:positionH relativeFrom="page">
                <wp:align>center</wp:align>
              </wp:positionH>
              <wp:positionV relativeFrom="page">
                <wp:posOffset>727075</wp:posOffset>
              </wp:positionV>
              <wp:extent cx="5471795" cy="0"/>
              <wp:effectExtent l="7620" t="6350" r="6985" b="12700"/>
              <wp:wrapNone/>
              <wp:docPr id="3"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419282" id="Line 17" o:spid="_x0000_s1026" style="position:absolute;left:0;text-align:left;z-index:251658752;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" o:allowincell="f" strokeweight=".71pt">
              <w10:wrap anchorx="page" anchory="page"/>
            </v:line>
          </w:pict>
        </mc:Fallback>
      </mc:AlternateContent>
    </w:r>
    <w:r w:rsidR="00AC6250">
      <w:rPr>
        <w:rFonts w:hint="eastAsia"/>
        <w:lang w:eastAsia="zh-TW"/>
      </w:rPr>
      <w:t>電子情報通信学会論文誌</w:t>
    </w:r>
    <w:r w:rsidR="005D31A0">
      <w:rPr>
        <w:rFonts w:hint="eastAsia"/>
        <w:lang w:eastAsia="zh-TW"/>
      </w:rPr>
      <w:t xml:space="preserve">　</w:t>
    </w:r>
    <w:r w:rsidR="00AC6250">
      <w:rPr>
        <w:rFonts w:hint="eastAsia"/>
        <w:lang w:eastAsia="zh-TW"/>
      </w:rPr>
      <w:t>XXXX/XX</w:t>
    </w:r>
    <w:r w:rsidR="005D31A0">
      <w:rPr>
        <w:rFonts w:hint="eastAsia"/>
        <w:lang w:eastAsia="zh-TW"/>
      </w:rPr>
      <w:t xml:space="preserve">　</w:t>
    </w:r>
    <w:r w:rsidR="00AC6250">
      <w:rPr>
        <w:rFonts w:hint="eastAsia"/>
        <w:lang w:eastAsia="zh-TW"/>
      </w:rPr>
      <w:t xml:space="preserve">Vol. </w:t>
    </w:r>
    <w:r w:rsidR="005D31A0">
      <w:rPr>
        <w:rFonts w:hint="eastAsia"/>
        <w:lang w:eastAsia="zh-TW"/>
      </w:rPr>
      <w:t>J</w:t>
    </w:r>
    <w:r w:rsidR="00AC6250">
      <w:rPr>
        <w:rFonts w:hint="eastAsia"/>
        <w:lang w:eastAsia="zh-TW"/>
      </w:rPr>
      <w:t>XX-</w:t>
    </w:r>
    <w:r w:rsidR="00BD7DCC">
      <w:rPr>
        <w:rFonts w:hint="eastAsia"/>
      </w:rPr>
      <w:t>D</w:t>
    </w:r>
    <w:r w:rsidR="005D31A0">
      <w:rPr>
        <w:rFonts w:hint="eastAsia"/>
        <w:lang w:eastAsia="zh-TW"/>
      </w:rPr>
      <w:t xml:space="preserve">　</w:t>
    </w:r>
    <w:r w:rsidR="00AC6250">
      <w:rPr>
        <w:rFonts w:hint="eastAsia"/>
        <w:lang w:eastAsia="zh-TW"/>
      </w:rPr>
      <w:t>No. 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Pr="00A52CDC" w:rsidRDefault="00A50C1A" w:rsidP="00A52CDC">
    <w:pPr>
      <w:pStyle w:val="a9"/>
      <w:rPr>
        <w:noProof/>
      </w:rPr>
    </w:pPr>
    <w:r>
      <w:rPr>
        <w:rFonts w:hint="eastAsia"/>
        <w:noProof/>
      </w:rPr>
      <mc:AlternateContent>
        <mc:Choice Requires="wps">
          <w:drawing>
            <wp:anchor distT="0" distB="0" distL="114300" distR="114300" simplePos="0" relativeHeight="251657728" behindDoc="0" locked="0" layoutInCell="0" allowOverlap="1">
              <wp:simplePos x="0" y="0"/>
              <wp:positionH relativeFrom="page">
                <wp:align>center</wp:align>
              </wp:positionH>
              <wp:positionV relativeFrom="page">
                <wp:posOffset>727075</wp:posOffset>
              </wp:positionV>
              <wp:extent cx="5471795" cy="0"/>
              <wp:effectExtent l="6350" t="6350" r="8255" b="12700"/>
              <wp:wrapNone/>
              <wp:docPr id="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E9766D" id="Line 14" o:spid="_x0000_s1026" style="position:absolute;left:0;text-align:left;z-index:251657728;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" o:allowincell="f" strokeweight=".71pt">
              <w10:wrap anchorx="page" anchory="page"/>
            </v:line>
          </w:pict>
        </mc:Fallback>
      </mc:AlternateContent>
    </w:r>
    <w:r w:rsidR="00915B60">
      <w:rPr>
        <w:rFonts w:hint="eastAsia"/>
        <w:noProof/>
      </w:rPr>
      <w:t>研究速報</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Pr="00305552" w:rsidRDefault="00A50C1A" w:rsidP="003A4365">
    <w:pPr>
      <w:pStyle w:val="af5"/>
      <w:rPr>
        <w:rStyle w:val="ae"/>
      </w:rPr>
    </w:pPr>
    <w:r w:rsidRPr="00305552">
      <w:rPr>
        <w:rStyle w:val="ae"/>
        <w:noProof/>
      </w:rPr>
      <mc:AlternateContent>
        <mc:Choice Requires="wps">
          <w:drawing>
            <wp:anchor distT="0" distB="0" distL="114300" distR="114300" simplePos="0" relativeHeight="251656704" behindDoc="1" locked="0" layoutInCell="1" allowOverlap="1">
              <wp:simplePos x="0" y="0"/>
              <wp:positionH relativeFrom="page">
                <wp:align>center</wp:align>
              </wp:positionH>
              <wp:positionV relativeFrom="page">
                <wp:posOffset>727075</wp:posOffset>
              </wp:positionV>
              <wp:extent cx="5471795" cy="0"/>
              <wp:effectExtent l="6350" t="6350" r="8255" b="12700"/>
              <wp:wrapNone/>
              <wp:docPr id="1"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758C32" id="Line 13" o:spid="_x0000_s1026" style="position:absolute;left:0;text-align:left;z-index:-251659776;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" strokeweight=".71pt">
              <w10:wrap anchorx="page" anchory="page"/>
            </v:line>
          </w:pict>
        </mc:Fallback>
      </mc:AlternateContent>
    </w:r>
    <w:r w:rsidR="00915B60">
      <w:rPr>
        <w:rStyle w:val="ae"/>
        <w:rFonts w:hint="eastAsia"/>
      </w:rPr>
      <w:t>研究速報</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activeWritingStyle w:appName="MSWord" w:lang="ja-JP" w:vendorID="64" w:dllVersion="131078" w:nlCheck="1" w:checkStyle="1"/>
  <w:activeWritingStyle w:appName="MSWord" w:lang="en-US" w:vendorID="64" w:dllVersion="131078" w:nlCheck="1" w:checkStyle="1"/>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evenAndOddHeaders/>
  <w:drawingGridHorizontalSpacing w:val="85"/>
  <w:drawingGridVerticalSpacing w:val="133"/>
  <w:displayHorizontalDrawingGridEvery w:val="0"/>
  <w:displayVerticalDrawingGridEvery w:val="2"/>
  <w:characterSpacingControl w:val="doNotCompress"/>
  <w:strictFirstAndLastChars/>
  <w:hdrShapeDefaults>
    <o:shapedefaults v:ext="edit" spidmax="1433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7DCC"/>
    <w:rsid w:val="000168DB"/>
    <w:rsid w:val="00027540"/>
    <w:rsid w:val="00035B44"/>
    <w:rsid w:val="0009188A"/>
    <w:rsid w:val="000C183D"/>
    <w:rsid w:val="000E051F"/>
    <w:rsid w:val="000E1112"/>
    <w:rsid w:val="00114743"/>
    <w:rsid w:val="00117AB2"/>
    <w:rsid w:val="001209A2"/>
    <w:rsid w:val="001609F8"/>
    <w:rsid w:val="0017278B"/>
    <w:rsid w:val="001768CC"/>
    <w:rsid w:val="0018299A"/>
    <w:rsid w:val="0018404D"/>
    <w:rsid w:val="001A322D"/>
    <w:rsid w:val="001B2B7D"/>
    <w:rsid w:val="001C2503"/>
    <w:rsid w:val="001F10F5"/>
    <w:rsid w:val="00202718"/>
    <w:rsid w:val="002044B6"/>
    <w:rsid w:val="0025455D"/>
    <w:rsid w:val="002560AB"/>
    <w:rsid w:val="0027748C"/>
    <w:rsid w:val="002B532D"/>
    <w:rsid w:val="002C5E5A"/>
    <w:rsid w:val="002E418E"/>
    <w:rsid w:val="002F1132"/>
    <w:rsid w:val="00305552"/>
    <w:rsid w:val="003440CC"/>
    <w:rsid w:val="00390741"/>
    <w:rsid w:val="003A4365"/>
    <w:rsid w:val="003F6FA9"/>
    <w:rsid w:val="00426D8F"/>
    <w:rsid w:val="00461554"/>
    <w:rsid w:val="004B1171"/>
    <w:rsid w:val="004B3531"/>
    <w:rsid w:val="004E34AE"/>
    <w:rsid w:val="004F02EF"/>
    <w:rsid w:val="004F3C80"/>
    <w:rsid w:val="00516FF4"/>
    <w:rsid w:val="005478FF"/>
    <w:rsid w:val="005B4850"/>
    <w:rsid w:val="005B71D0"/>
    <w:rsid w:val="005B7B02"/>
    <w:rsid w:val="005C2311"/>
    <w:rsid w:val="005D31A0"/>
    <w:rsid w:val="005D63BE"/>
    <w:rsid w:val="005F79A6"/>
    <w:rsid w:val="0063301D"/>
    <w:rsid w:val="00651539"/>
    <w:rsid w:val="006627F7"/>
    <w:rsid w:val="00695796"/>
    <w:rsid w:val="006A2529"/>
    <w:rsid w:val="006B1A14"/>
    <w:rsid w:val="006D17FD"/>
    <w:rsid w:val="006D2AAF"/>
    <w:rsid w:val="006D6FEA"/>
    <w:rsid w:val="006E231F"/>
    <w:rsid w:val="006F052B"/>
    <w:rsid w:val="006F0D30"/>
    <w:rsid w:val="007425A9"/>
    <w:rsid w:val="00746004"/>
    <w:rsid w:val="00753A69"/>
    <w:rsid w:val="00782978"/>
    <w:rsid w:val="0079510B"/>
    <w:rsid w:val="007C21BF"/>
    <w:rsid w:val="007C575D"/>
    <w:rsid w:val="007D57C8"/>
    <w:rsid w:val="007D68EA"/>
    <w:rsid w:val="007F2AE6"/>
    <w:rsid w:val="00816A93"/>
    <w:rsid w:val="008335A0"/>
    <w:rsid w:val="008510FA"/>
    <w:rsid w:val="00853BE4"/>
    <w:rsid w:val="0086448B"/>
    <w:rsid w:val="008B1857"/>
    <w:rsid w:val="008E59EC"/>
    <w:rsid w:val="00915B60"/>
    <w:rsid w:val="009319FC"/>
    <w:rsid w:val="00931A4D"/>
    <w:rsid w:val="009854F3"/>
    <w:rsid w:val="0098742F"/>
    <w:rsid w:val="00987B42"/>
    <w:rsid w:val="00996B55"/>
    <w:rsid w:val="009B585D"/>
    <w:rsid w:val="009C24BA"/>
    <w:rsid w:val="009C2B65"/>
    <w:rsid w:val="009C77E4"/>
    <w:rsid w:val="00A01B74"/>
    <w:rsid w:val="00A01F96"/>
    <w:rsid w:val="00A50C1A"/>
    <w:rsid w:val="00A52CDC"/>
    <w:rsid w:val="00A53BBC"/>
    <w:rsid w:val="00A778A0"/>
    <w:rsid w:val="00AA40F4"/>
    <w:rsid w:val="00AC6250"/>
    <w:rsid w:val="00AD3F56"/>
    <w:rsid w:val="00B22AA0"/>
    <w:rsid w:val="00B243B9"/>
    <w:rsid w:val="00B439A7"/>
    <w:rsid w:val="00B7001D"/>
    <w:rsid w:val="00B951EA"/>
    <w:rsid w:val="00BC191D"/>
    <w:rsid w:val="00BD34B3"/>
    <w:rsid w:val="00BD7DCC"/>
    <w:rsid w:val="00C02BCB"/>
    <w:rsid w:val="00C0497D"/>
    <w:rsid w:val="00C13778"/>
    <w:rsid w:val="00C36DEA"/>
    <w:rsid w:val="00C459F9"/>
    <w:rsid w:val="00C65C9A"/>
    <w:rsid w:val="00C72D2C"/>
    <w:rsid w:val="00C8212E"/>
    <w:rsid w:val="00CE4E2E"/>
    <w:rsid w:val="00CF36C6"/>
    <w:rsid w:val="00D1744E"/>
    <w:rsid w:val="00D3012C"/>
    <w:rsid w:val="00D42C59"/>
    <w:rsid w:val="00D646D4"/>
    <w:rsid w:val="00D74C5B"/>
    <w:rsid w:val="00D80664"/>
    <w:rsid w:val="00D85328"/>
    <w:rsid w:val="00DC16A7"/>
    <w:rsid w:val="00E17F4C"/>
    <w:rsid w:val="00E24A2D"/>
    <w:rsid w:val="00EB44F6"/>
    <w:rsid w:val="00EC728F"/>
    <w:rsid w:val="00EF43D6"/>
    <w:rsid w:val="00F10043"/>
    <w:rsid w:val="00F3476B"/>
    <w:rsid w:val="00F47937"/>
    <w:rsid w:val="00F578A4"/>
    <w:rsid w:val="00F93419"/>
    <w:rsid w:val="00FB567C"/>
    <w:rsid w:val="00FC19DC"/>
    <w:rsid w:val="00FF41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4337">
      <v:textbox inset="5.85pt,.7pt,5.85pt,.7pt"/>
    </o:shapedefaults>
    <o:shapelayout v:ext="edit">
      <o:idmap v:ext="edit" data="1"/>
    </o:shapelayout>
  </w:shapeDefaults>
  <w:decimalSymbol w:val="."/>
  <w:listSeparator w:val=","/>
  <w15:chartTrackingRefBased/>
  <w15:docId w15:val="{ACDB7C70-B653-4343-A8FF-3D44A0513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B1171"/>
    <w:pPr>
      <w:widowControl w:val="0"/>
      <w:jc w:val="both"/>
    </w:pPr>
    <w:rPr>
      <w:rFonts w:ascii="Times New Roman" w:hAnsi="Times New Roman"/>
      <w:kern w:val="2"/>
      <w:sz w:val="17"/>
      <w:szCs w:val="1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共通_一段組み"/>
    <w:basedOn w:val="a"/>
    <w:link w:val="a4"/>
    <w:rsid w:val="00E17F4C"/>
    <w:pPr>
      <w:ind w:left="794"/>
    </w:pPr>
  </w:style>
  <w:style w:type="character" w:customStyle="1" w:styleId="a4">
    <w:name w:val="共通_一段組み (文字) (文字)"/>
    <w:basedOn w:val="a0"/>
    <w:link w:val="a3"/>
    <w:rsid w:val="00461554"/>
    <w:rPr>
      <w:rFonts w:eastAsia="ＭＳ 明朝"/>
      <w:color w:val="0000FF"/>
      <w:kern w:val="2"/>
      <w:sz w:val="17"/>
      <w:szCs w:val="17"/>
      <w:lang w:val="en-US" w:eastAsia="ja-JP" w:bidi="ar-SA"/>
    </w:rPr>
  </w:style>
  <w:style w:type="paragraph" w:customStyle="1" w:styleId="a5">
    <w:name w:val="共通_本文"/>
    <w:basedOn w:val="a"/>
    <w:rsid w:val="0018299A"/>
    <w:pPr>
      <w:ind w:firstLineChars="100" w:firstLine="170"/>
    </w:pPr>
  </w:style>
  <w:style w:type="paragraph" w:styleId="a6">
    <w:name w:val="header"/>
    <w:basedOn w:val="a"/>
    <w:rsid w:val="005B4850"/>
    <w:pPr>
      <w:tabs>
        <w:tab w:val="center" w:pos="4252"/>
        <w:tab w:val="right" w:pos="8504"/>
      </w:tabs>
      <w:snapToGrid w:val="0"/>
    </w:pPr>
  </w:style>
  <w:style w:type="paragraph" w:styleId="a7">
    <w:name w:val="footer"/>
    <w:basedOn w:val="a"/>
    <w:rsid w:val="005B4850"/>
    <w:pPr>
      <w:tabs>
        <w:tab w:val="center" w:pos="4252"/>
        <w:tab w:val="right" w:pos="8504"/>
      </w:tabs>
      <w:snapToGrid w:val="0"/>
    </w:pPr>
  </w:style>
  <w:style w:type="paragraph" w:customStyle="1" w:styleId="a8">
    <w:name w:val="共通_柱（偶数頁）"/>
    <w:basedOn w:val="a"/>
    <w:rsid w:val="00A52CDC"/>
    <w:pPr>
      <w:jc w:val="right"/>
    </w:pPr>
    <w:rPr>
      <w:sz w:val="16"/>
      <w:szCs w:val="16"/>
    </w:rPr>
  </w:style>
  <w:style w:type="paragraph" w:customStyle="1" w:styleId="a9">
    <w:name w:val="共通_柱（奇数頁）"/>
    <w:basedOn w:val="a"/>
    <w:rsid w:val="00A52CDC"/>
    <w:rPr>
      <w:sz w:val="16"/>
      <w:szCs w:val="16"/>
    </w:rPr>
  </w:style>
  <w:style w:type="paragraph" w:customStyle="1" w:styleId="aa">
    <w:name w:val="共通_ノンブル（偶数頁）"/>
    <w:basedOn w:val="a"/>
    <w:rsid w:val="004F3C80"/>
    <w:pPr>
      <w:ind w:leftChars="100" w:left="170"/>
    </w:pPr>
    <w:rPr>
      <w:rFonts w:ascii="Arial" w:eastAsia="ＭＳ ゴシック" w:hAnsi="Arial"/>
      <w:sz w:val="16"/>
      <w:szCs w:val="16"/>
    </w:rPr>
  </w:style>
  <w:style w:type="paragraph" w:customStyle="1" w:styleId="ab">
    <w:name w:val="共通_ノンブル（奇数頁）"/>
    <w:basedOn w:val="a"/>
    <w:rsid w:val="004F3C80"/>
    <w:pPr>
      <w:ind w:rightChars="100" w:right="100"/>
      <w:jc w:val="right"/>
    </w:pPr>
    <w:rPr>
      <w:rFonts w:ascii="Arial" w:eastAsia="ＭＳ ゴシック" w:hAnsi="Arial"/>
      <w:sz w:val="16"/>
      <w:szCs w:val="16"/>
    </w:rPr>
  </w:style>
  <w:style w:type="character" w:styleId="ac">
    <w:name w:val="page number"/>
    <w:basedOn w:val="a0"/>
    <w:rsid w:val="004F3C80"/>
  </w:style>
  <w:style w:type="character" w:customStyle="1" w:styleId="ad">
    <w:name w:val="色"/>
    <w:rsid w:val="004B1171"/>
    <w:rPr>
      <w:color w:val="auto"/>
    </w:rPr>
  </w:style>
  <w:style w:type="character" w:customStyle="1" w:styleId="ae">
    <w:name w:val="背景色_白"/>
    <w:basedOn w:val="ad"/>
    <w:rsid w:val="00305552"/>
    <w:rPr>
      <w:color w:val="auto"/>
      <w:bdr w:val="none" w:sz="0" w:space="0" w:color="auto"/>
      <w:shd w:val="clear" w:color="auto" w:fill="FFFFFF"/>
    </w:rPr>
  </w:style>
  <w:style w:type="character" w:customStyle="1" w:styleId="af">
    <w:name w:val="ゴシック"/>
    <w:basedOn w:val="ad"/>
    <w:rsid w:val="00027540"/>
    <w:rPr>
      <w:rFonts w:ascii="Arial" w:eastAsia="ＭＳ ゴシック" w:hAnsi="Arial"/>
      <w:color w:val="auto"/>
    </w:rPr>
  </w:style>
  <w:style w:type="paragraph" w:customStyle="1" w:styleId="af0">
    <w:name w:val="共通_節見出し"/>
    <w:basedOn w:val="a"/>
    <w:next w:val="a5"/>
    <w:rsid w:val="00915B60"/>
    <w:pPr>
      <w:keepNext/>
      <w:ind w:leftChars="100" w:left="170"/>
    </w:pPr>
    <w:rPr>
      <w:rFonts w:ascii="Arial" w:eastAsia="ＭＳ ゴシック" w:hAnsi="Arial"/>
    </w:rPr>
  </w:style>
  <w:style w:type="paragraph" w:customStyle="1" w:styleId="af1">
    <w:name w:val="共通_文献見出し"/>
    <w:basedOn w:val="a"/>
    <w:rsid w:val="004F02EF"/>
    <w:pPr>
      <w:keepNext/>
      <w:jc w:val="center"/>
    </w:pPr>
    <w:rPr>
      <w:rFonts w:ascii="Arial" w:eastAsia="ＭＳ ゴシック" w:hAnsi="Arial"/>
    </w:rPr>
  </w:style>
  <w:style w:type="paragraph" w:customStyle="1" w:styleId="af2">
    <w:name w:val="共通_文献"/>
    <w:basedOn w:val="a"/>
    <w:rsid w:val="00816A93"/>
    <w:pPr>
      <w:tabs>
        <w:tab w:val="right" w:pos="280"/>
        <w:tab w:val="left" w:pos="420"/>
      </w:tabs>
      <w:spacing w:line="216" w:lineRule="exact"/>
      <w:ind w:left="420" w:hanging="420"/>
    </w:pPr>
    <w:rPr>
      <w:sz w:val="14"/>
      <w:szCs w:val="14"/>
    </w:rPr>
  </w:style>
  <w:style w:type="paragraph" w:customStyle="1" w:styleId="af3">
    <w:name w:val="共通_著者紹介名前"/>
    <w:basedOn w:val="a"/>
    <w:rsid w:val="00BD34B3"/>
    <w:pPr>
      <w:keepNext/>
      <w:spacing w:after="94" w:line="170" w:lineRule="exact"/>
    </w:pPr>
    <w:rPr>
      <w:rFonts w:ascii="Arial" w:eastAsia="ＭＳ ゴシック" w:hAnsi="Arial"/>
    </w:rPr>
  </w:style>
  <w:style w:type="paragraph" w:customStyle="1" w:styleId="af4">
    <w:name w:val="共通_著者紹介"/>
    <w:basedOn w:val="af2"/>
    <w:rsid w:val="00F578A4"/>
    <w:pPr>
      <w:ind w:left="0" w:firstLineChars="100" w:firstLine="140"/>
    </w:pPr>
  </w:style>
  <w:style w:type="paragraph" w:customStyle="1" w:styleId="af5">
    <w:name w:val="研究速報_原稿種"/>
    <w:basedOn w:val="a"/>
    <w:rsid w:val="00915B60"/>
    <w:pPr>
      <w:spacing w:line="520" w:lineRule="exact"/>
    </w:pPr>
    <w:rPr>
      <w:b/>
      <w:w w:val="133"/>
      <w:sz w:val="22"/>
      <w:szCs w:val="22"/>
    </w:rPr>
  </w:style>
  <w:style w:type="paragraph" w:customStyle="1" w:styleId="af6">
    <w:name w:val="研究速報_タイトル（和）"/>
    <w:basedOn w:val="a"/>
    <w:rsid w:val="008335A0"/>
    <w:rPr>
      <w:rFonts w:ascii="Arial" w:eastAsia="ＭＳ ゴシック" w:hAnsi="Arial"/>
    </w:rPr>
  </w:style>
  <w:style w:type="paragraph" w:customStyle="1" w:styleId="af7">
    <w:name w:val="研究速報_著者名（和）"/>
    <w:basedOn w:val="a"/>
    <w:rsid w:val="008335A0"/>
    <w:rPr>
      <w:sz w:val="16"/>
      <w:szCs w:val="16"/>
    </w:rPr>
  </w:style>
  <w:style w:type="paragraph" w:customStyle="1" w:styleId="af8">
    <w:name w:val="研究速報_タイトル（英）"/>
    <w:basedOn w:val="a"/>
    <w:rsid w:val="0086448B"/>
    <w:pPr>
      <w:spacing w:before="40" w:line="180" w:lineRule="exact"/>
    </w:pPr>
    <w:rPr>
      <w:sz w:val="12"/>
      <w:szCs w:val="12"/>
    </w:rPr>
  </w:style>
  <w:style w:type="paragraph" w:customStyle="1" w:styleId="af9">
    <w:name w:val="研究速報_著者名（英）"/>
    <w:basedOn w:val="a"/>
    <w:rsid w:val="0086448B"/>
    <w:pPr>
      <w:pBdr>
        <w:bottom w:val="single" w:sz="2" w:space="1" w:color="auto"/>
      </w:pBdr>
      <w:spacing w:before="40" w:line="180" w:lineRule="exact"/>
    </w:pPr>
    <w:rPr>
      <w:sz w:val="12"/>
      <w:szCs w:val="12"/>
    </w:rPr>
  </w:style>
  <w:style w:type="paragraph" w:customStyle="1" w:styleId="afa">
    <w:name w:val="研究速報_所属"/>
    <w:basedOn w:val="a"/>
    <w:rsid w:val="00987B42"/>
    <w:pPr>
      <w:tabs>
        <w:tab w:val="right" w:pos="180"/>
      </w:tabs>
      <w:spacing w:line="180" w:lineRule="exact"/>
      <w:ind w:left="240" w:hanging="240"/>
    </w:pPr>
    <w:rPr>
      <w:sz w:val="12"/>
      <w:szCs w:val="12"/>
    </w:rPr>
  </w:style>
  <w:style w:type="paragraph" w:customStyle="1" w:styleId="afb">
    <w:name w:val="研究速報_見出し"/>
    <w:basedOn w:val="a"/>
    <w:rsid w:val="005F79A6"/>
    <w:pPr>
      <w:keepNext/>
      <w:ind w:leftChars="100" w:left="170"/>
    </w:pPr>
    <w:rPr>
      <w:rFonts w:ascii="Arial" w:eastAsia="ＭＳ ゴシック" w:hAnsi="Arial"/>
    </w:rPr>
  </w:style>
  <w:style w:type="paragraph" w:customStyle="1" w:styleId="afc">
    <w:name w:val="共通_終わり"/>
    <w:basedOn w:val="a"/>
    <w:rsid w:val="00C65C9A"/>
    <w:pPr>
      <w:spacing w:line="20" w:lineRule="exact"/>
    </w:pPr>
    <w:rPr>
      <w:sz w:val="2"/>
      <w:szCs w:val="2"/>
    </w:rPr>
  </w:style>
  <w:style w:type="paragraph" w:customStyle="1" w:styleId="afd">
    <w:name w:val="共通_キャプション"/>
    <w:basedOn w:val="a"/>
    <w:rsid w:val="00FB567C"/>
    <w:pPr>
      <w:spacing w:line="184" w:lineRule="exact"/>
      <w:jc w:val="center"/>
    </w:pPr>
    <w:rPr>
      <w:sz w:val="14"/>
      <w:szCs w:val="14"/>
    </w:rPr>
  </w:style>
  <w:style w:type="paragraph" w:customStyle="1" w:styleId="afe">
    <w:name w:val="共通_項見出し"/>
    <w:basedOn w:val="a"/>
    <w:next w:val="a5"/>
    <w:rsid w:val="00F3476B"/>
    <w:pPr>
      <w:keepNext/>
      <w:ind w:leftChars="100" w:left="170"/>
    </w:pPr>
    <w:rPr>
      <w:rFonts w:ascii="Arial" w:eastAsia="ＭＳ ゴシック" w:hAnsi="Arial"/>
    </w:rPr>
  </w:style>
  <w:style w:type="paragraph" w:customStyle="1" w:styleId="aff">
    <w:name w:val="共通_綱見出し"/>
    <w:basedOn w:val="a"/>
    <w:next w:val="a5"/>
    <w:rsid w:val="007D68EA"/>
    <w:pPr>
      <w:keepNext/>
      <w:ind w:leftChars="100" w:left="170"/>
    </w:pPr>
    <w:rPr>
      <w:lang w:eastAsia="zh-CN"/>
    </w:rPr>
  </w:style>
  <w:style w:type="character" w:customStyle="1" w:styleId="2">
    <w:name w:val="共通_2倍"/>
    <w:basedOn w:val="a0"/>
    <w:rsid w:val="0009188A"/>
    <w:rPr>
      <w:w w:val="200"/>
    </w:rPr>
  </w:style>
  <w:style w:type="character" w:customStyle="1" w:styleId="aff0">
    <w:name w:val="共通_上付き"/>
    <w:basedOn w:val="a0"/>
    <w:rsid w:val="0009188A"/>
    <w:rPr>
      <w:vertAlign w:val="superscript"/>
    </w:rPr>
  </w:style>
  <w:style w:type="paragraph" w:customStyle="1" w:styleId="65pt0mm26025pt">
    <w:name w:val="スタイル 6.5 pt 左 :  0 mm ぶら下げインデント :  2.6 字 上揃え: (細線  0.25 pt 線幅..."/>
    <w:basedOn w:val="a"/>
    <w:rsid w:val="006627F7"/>
    <w:pPr>
      <w:pBdr>
        <w:top w:val="single" w:sz="2" w:space="2" w:color="000000"/>
      </w:pBdr>
      <w:shd w:val="solid" w:color="FFFFFF" w:fill="FFFFFF"/>
      <w:tabs>
        <w:tab w:val="right" w:pos="227"/>
      </w:tabs>
      <w:spacing w:line="176" w:lineRule="exact"/>
      <w:ind w:left="260" w:hanging="260"/>
    </w:pPr>
    <w:rPr>
      <w:rFonts w:cs="ＭＳ 明朝"/>
      <w:sz w:val="13"/>
      <w:szCs w:val="20"/>
    </w:rPr>
  </w:style>
  <w:style w:type="paragraph" w:customStyle="1" w:styleId="aff1">
    <w:name w:val="共通_付録見出し"/>
    <w:basedOn w:val="a"/>
    <w:rsid w:val="006D2AAF"/>
    <w:pPr>
      <w:spacing w:beforeLines="50" w:before="133" w:afterLines="50" w:after="133"/>
      <w:jc w:val="center"/>
    </w:pPr>
    <w:rPr>
      <w:rFonts w:ascii="Arial" w:eastAsia="ＭＳ ゴシック" w:hAnsi="Arial"/>
      <w:sz w:val="20"/>
      <w:szCs w:val="20"/>
      <w:lang w:eastAsia="zh-TW"/>
    </w:rPr>
  </w:style>
  <w:style w:type="paragraph" w:customStyle="1" w:styleId="aff2">
    <w:name w:val="共通_図"/>
    <w:basedOn w:val="a"/>
    <w:rsid w:val="00915B60"/>
    <w:pPr>
      <w:keepNext/>
      <w:spacing w:beforeLines="100" w:before="266"/>
      <w:jc w:val="center"/>
    </w:pPr>
    <w:rPr>
      <w:rFonts w:ascii="ＭＳ 明朝" w:hAnsi="ＭＳ 明朝"/>
      <w:sz w:val="20"/>
      <w:szCs w:val="20"/>
    </w:rPr>
  </w:style>
  <w:style w:type="table" w:styleId="aff3">
    <w:name w:val="Table Grid"/>
    <w:basedOn w:val="a1"/>
    <w:rsid w:val="00D74C5B"/>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2950</Words>
  <Characters>1375</Characters>
  <Application>Microsoft Office Word</Application>
  <DocSecurity>0</DocSecurity>
  <Lines>11</Lines>
  <Paragraphs>8</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IEICE_JP_Template</vt:lpstr>
      <vt:lpstr>IEICE_JP_Template</vt:lpstr>
    </vt:vector>
  </TitlesOfParts>
  <Company>Jat Co.,Ltd.</Company>
  <LinksUpToDate>false</LinksUpToDate>
  <CharactersWithSpaces>4317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LLMエージェントの履歴要約と終了制御による実行費用の評価</dc:title>
  <dc:subject>IEICE Japanese D letter; official template based editable manuscript</dc:subject>
  <dc:creator>著者未設定</dc:creator>
  <cp:keywords/>
  <dc:description/>
  <cp:lastModifiedBy/>
  <cp:revision>3</cp:revision>
  <dcterms:created xsi:type="dcterms:W3CDTF">2026-10-28T22:30:00Z</dcterms:created>
  <dcterms:modified xsi:type="dcterms:W3CDTF">2026-10-28T22:30:00Z</dcterms:modified>
</cp:coreProperties>
</file>