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af6"/>
      </w:pPr>
      <w:r>
        <w:t>LLMエージェントの履歴要約と終了制御による実行費用の評価</w:t>
      </w:r>
    </w:p>
    <w:p>
      <w:pPr>
        <w:pStyle w:val="af7"/>
      </w:pPr>
      <w:r>
        <w:t>著者未設定</w:t>
      </w:r>
    </w:p>
    <w:p>
      <w:pPr>
        <w:pStyle w:val="af8"/>
      </w:pPr>
      <w:r>
        <w:t>Evaluating Execution Cost of History Summarization and Termination Control for LLM Agents</w:t>
      </w:r>
    </w:p>
    <w:p>
      <w:pPr>
        <w:pStyle w:val="af9"/>
      </w:pPr>
      <w:r>
        <w:t>Author details pending</w:t>
      </w:r>
    </w:p>
    <w:p>
      <w:pPr>
        <w:pStyle w:val="afa"/>
      </w:pPr>
      <w:r>
        <w:t>所属・会員種別・連絡先：未設定</w:t>
      </w:r>
    </w:p>
    <w:p>
      <w:pPr>
        <w:pStyle w:val="a5"/>
      </w:pPr>
      <w:r>
        <w:t>あらまし　LLMエージェントの履歴を反復要約する制御と，実行記録から完了を判断する制御を個別に評価した．要約処理も含む全呼出しを計測し，既知課題で成功を保ちながら，履歴の再入力や完了後の不要な生成によるトークン消費を抑えられることを示した．</w:t>
      </w:r>
    </w:p>
    <w:p>
      <w:pPr>
        <w:pStyle w:val="a5"/>
      </w:pPr>
      <w:r>
        <w:t>キーワード　LLMエージェント，ハーネス，履歴要約，終了制御，費用評価</w:t>
      </w:r>
    </w:p>
    <w:p>
      <w:pPr>
        <w:pStyle w:val="af0"/>
      </w:pPr>
      <w:r>
        <w:t>1．はじめに</w:t>
      </w:r>
    </w:p>
    <w:p>
      <w:pPr>
        <w:pStyle w:val="a5"/>
      </w:pPr>
      <w:r>
        <w:rPr/>
        <w:t xml:space="preserve">日常業務のデータ整理や事務処理の負担を軽減するため，大規模言語モデル（LLM）による作業支援が研究されている．文章の回答生成に加え，外部アプリケーションを操作する複数手順の実行も対象となる．例えば写真の整理や精算では，対象の検索，状態の変更，結果の確認を連続して行う必要がある．推論と行動を繰り返すReAct[1]や，コードを行動として実行するCodeAct[2]は，このような対話的処理を支える技術である．</w:t>
      </w:r>
    </w:p>
    <w:p>
      <w:pPr>
        <w:pStyle w:val="a5"/>
      </w:pPr>
      <w:r>
        <w:rPr/>
        <w:t xml:space="preserve">一方，実行が長くなると，過去の操作と観測を次の生成へ繰り返し入力する費用が増える．また，作業が終わった後も確認や生成を続ければ，成果を増やさずに資源を消費し得る．履歴を短くするだけでは必要な情報を失うおそれがあり，早く止めるだけでは未完了となり得るため，最終成功と実行全体の費用を同時に調べる必要がある．</w:t>
      </w:r>
    </w:p>
    <w:p>
      <w:pPr>
        <w:pStyle w:val="a5"/>
      </w:pPr>
      <w:r>
        <w:rPr/>
        <w:t xml:space="preserve">本稿では，モデルを再学習せずに実行を管理するハーネスの二つの作用点を評価する．履歴要約の呼出し配置と，実行中に観測可能なAPI結果の記録（以下，公開記録）に基づく終了判断を別々に比較し，要約生成や失敗の費用も含めて，既知課題で成功を保つ削減がどこまで得られるかを明らかにする．</w:t>
      </w:r>
    </w:p>
    <w:p>
      <w:pPr>
        <w:pStyle w:val="af0"/>
      </w:pPr>
      <w:r>
        <w:t>2．関連研究</w:t>
      </w:r>
    </w:p>
    <w:p>
      <w:pPr>
        <w:pStyle w:val="a5"/>
      </w:pPr>
      <w:r>
        <w:rPr/>
        <w:t xml:space="preserve">入力圧縮では，長文中の情報の位置が性能に影響すること[3]を背景に，LLMLingua[4]は予算制御とトークン選別，LLMLingua-2[5]は蒸留データによるトークン分類，LongLLMLingua[6]は長文の重要情報を残す圧縮を扱う．本稿では，要約をいつ，どの呼出しで作るかを，課題全体の成功と費用を測る比較軸とする．</w:t>
      </w:r>
    </w:p>
    <w:p>
      <w:pPr>
        <w:pStyle w:val="a5"/>
      </w:pPr>
      <w:r>
        <w:rPr/>
        <w:t xml:space="preserve">長期実行では，ACON[7]は観測・履歴の圧縮方針を最適化し，TokenPilot[8]は入力の圧縮とキャッシュ継続性を扱う．Generative Agents[9]は経験の記憶・抽象化・検索，Reflexion[10]は言語的フィードバックの後続試行への利用を扱う．本稿では専用要約の費用も含め，通常の反復要約を強い対照に呼出し配置の影響を検証する．</w:t>
      </w:r>
    </w:p>
    <w:p>
      <w:pPr>
        <w:pStyle w:val="a5"/>
      </w:pPr>
      <w:r>
        <w:rPr/>
        <w:t xml:space="preserve">終了制御では，Runaway[11]が終了指示と外部の完了検証を検討している．本稿では公開記録から得られる完了の根拠を公開証拠と呼び，既知の要求文型に対する検査を対象とする．通常継続に対する最終成功，API要求，論理入出力の差を評価する．</w:t>
      </w:r>
    </w:p>
    <w:p>
      <w:pPr>
        <w:pStyle w:val="af0"/>
      </w:pPr>
      <w:r>
        <w:t>3．制御と評価指標</w:t>
      </w:r>
    </w:p>
    <w:p>
      <w:pPr>
        <w:pStyle w:val="afe"/>
      </w:pPr>
      <w:r>
        <w:t>3.1　ハーネスの二つの作用点</w:t>
      </w:r>
    </w:p>
    <w:p>
      <w:pPr>
        <w:pStyle w:val="a5"/>
      </w:pPr>
      <w:r>
        <w:rPr/>
        <w:t xml:space="preserve">図1に制御の構成を示す．実験Aでは完全履歴をホストに保存し，行動生成を担うactorには未要約時の履歴，採用後には要約と残る直近履歴を提示する．別呼出し反復は専用のfocus呼出しで要約を更新し，同時反復はactorが行動と要約候補を同じ応答に出す．候補の検査と採用はホストで行う．</w:t>
      </w:r>
    </w:p>
    <w:p>
      <w:pPr>
        <w:pStyle w:val="a5"/>
      </w:pPr>
      <w:r>
        <w:rPr/>
        <w:t xml:space="preserve">実験Bでは応答内の全プログラムの実行後，次の生成前にAPI記録から完了の根拠を検査する．揃えば通常の完了APIを1回送り，未知・未対応・矛盾があれば継続する．完了はモデルの自己申告でなく公開記録で判定し，Aとの組合せ効果は評価しない．</w:t>
      </w:r>
    </w:p>
    <w:p>
      <w:pPr>
        <w:pStyle w:val="afe"/>
      </w:pPr>
      <w:r>
        <w:t>3.2　全呼出しを含む費用と最終成功</w:t>
      </w:r>
    </w:p>
    <w:p>
      <w:pPr>
        <w:pStyle w:val="a5"/>
      </w:pPr>
      <w:r>
        <w:rPr/>
        <w:t xml:space="preserve">条件</w:t>
      </w:r>
      <m:oMath>
        <m:r>
          <m:t>p</m:t>
        </m:r>
      </m:oMath>
      <w:r>
        <w:rPr/>
        <w:t xml:space="preserve">のモデル呼出し集合を</w:t>
      </w:r>
      <m:oMath>
        <m:sSub>
          <m:e>
            <m:r>
              <m:rPr>
                <m:scr m:val="script"/>
                <m:sty m:val="p"/>
              </m:rPr>
              <m:t>C</m:t>
            </m:r>
          </m:e>
          <m:sub>
            <m:r>
              <m:t>p</m:t>
            </m:r>
          </m:sub>
        </m:sSub>
      </m:oMath>
      <w:r>
        <w:rPr/>
        <w:t xml:space="preserve">とし，実際の入力</w:t>
      </w:r>
      <m:oMath>
        <m:sSub>
          <m:e>
            <m:r>
              <m:t>I</m:t>
            </m:r>
          </m:e>
          <m:sub>
            <m:r>
              <m:t>c</m:t>
            </m:r>
          </m:sub>
        </m:sSub>
      </m:oMath>
      <w:r>
        <w:rPr/>
        <w:t xml:space="preserve">と出力</w:t>
      </w:r>
      <m:oMath>
        <m:sSub>
          <m:e>
            <m:r>
              <m:t>O</m:t>
            </m:r>
          </m:e>
          <m:sub>
            <m:r>
              <m:t>c</m:t>
            </m:r>
          </m:sub>
        </m:sSub>
      </m:oMath>
      <w:r>
        <w:rPr/>
        <w:t xml:space="preserve">から</w:t>
      </w:r>
    </w:p>
    <w:p>
      <w:pPr>
        <w:pStyle w:val="a5"/>
      </w:pPr>
      <m:oMathPara>
        <m:oMathParaPr>
          <m:jc m:val="center"/>
        </m:oMathParaPr>
        <m:oMath>
          <m:sSub>
            <m:e>
              <m:r>
                <m:t>T</m:t>
              </m:r>
            </m:e>
            <m:sub>
              <m:r>
                <m:t>p</m:t>
              </m:r>
            </m:sub>
          </m:sSub>
          <m:r>
            <m:rPr>
              <m:sty m:val="p"/>
            </m:rPr>
            <m:t>=</m:t>
          </m:r>
          <m:nary>
            <m:naryPr>
              <m:chr m:val="∑"/>
              <m:limLoc m:val="undOvr"/>
              <m:subHide m:val="off"/>
              <m:supHide m:val="on"/>
            </m:naryPr>
            <m:sub>
              <m:r>
                <m:t>c</m:t>
              </m:r>
              <m:r>
                <m:rPr>
                  <m:sty m:val="p"/>
                </m:rPr>
                <m:t>∈</m:t>
              </m:r>
              <m:sSub>
                <m:e>
                  <m:r>
                    <m:rPr>
                      <m:scr m:val="script"/>
                      <m:sty m:val="p"/>
                    </m:rPr>
                    <m:t>C</m:t>
                  </m:r>
                </m:e>
                <m:sub>
                  <m:r>
                    <m:t>p</m:t>
                  </m:r>
                </m:sub>
              </m:sSub>
            </m:sub>
            <m:sup>
              <m:r>
                <m:t>​</m:t>
              </m:r>
            </m:sup>
            <m:e>
              <m:r>
                <m:rPr>
                  <m:sty m:val="p"/>
                </m:rPr>
                <m:t>(</m:t>
              </m:r>
            </m:e>
          </m:nary>
          <m:sSub>
            <m:e>
              <m:r>
                <m:t>I</m:t>
              </m:r>
            </m:e>
            <m:sub>
              <m:r>
                <m:t>c</m:t>
              </m:r>
            </m:sub>
          </m:sSub>
          <m:r>
            <m:rPr>
              <m:sty m:val="p"/>
            </m:rPr>
            <m:t>+</m:t>
          </m:r>
          <m:sSub>
            <m:e>
              <m:r>
                <m:t>O</m:t>
              </m:r>
            </m:e>
            <m:sub>
              <m:r>
                <m:t>c</m:t>
              </m:r>
            </m:sub>
          </m:sSub>
          <m:r>
            <m:rPr>
              <m:sty m:val="p"/>
            </m:rPr>
            <m:t>)</m:t>
          </m:r>
          <m:r>
            <m:t>  </m:t>
          </m:r>
          <m:r>
            <m:rPr>
              <m:sty m:val="p"/>
            </m:rPr>
            <m:t>(</m:t>
          </m:r>
          <m:r>
            <m:t>1</m:t>
          </m:r>
          <m:r>
            <m:rPr>
              <m:sty m:val="p"/>
            </m:rPr>
            <m:t>)</m:t>
          </m:r>
        </m:oMath>
      </m:oMathPara>
    </w:p>
    <w:p>
      <w:pPr>
        <w:pStyle w:val="a5"/>
      </w:pPr>
      <w:r>
        <w:rPr/>
        <w:t xml:space="preserve">を求める．actorとfocus，不採用要約，失敗時の既知使用量も含め，cached</w:t>
      </w:r>
      <w:r>
        <w:rPr/>
        <w:t xml:space="preserve"> </w:t>
      </w:r>
      <w:r>
        <w:rPr/>
        <w:t xml:space="preserve">inputを控除しない．論理トークン数は金銭課金や実行時間そのものではない[8]．圧縮役を含む費用評価はACON[7]にも存在し，会計方法自体を新規技術とはしない．局所的な入力削減と，生成全体の費用削減も区別する．</w:t>
      </w:r>
    </w:p>
    <w:p>
      <w:pPr>
        <w:pStyle w:val="a5"/>
      </w:pPr>
      <w:r>
        <w:rPr/>
        <w:t xml:space="preserve">品質は，課題終了後の状態に対するAppWorld[12]の公式評価器の成功・失敗で測る．評価の正解や詳細を実行中のモデルへ返さない．成功数の一致だけでなく，同じ課題の成功を失っていないかを確認する．不明使用量がある場合は既知小計と件数を残し，0へ補完しない．異なる実験の費用や課題数は合算しない．</w:t>
      </w:r>
    </w:p>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2" w:space="443"/>
          <w:titlePg/>
          <w:docGrid w:type="linesAndChars" w:linePitch="266"/>
        </w:sectPr>
      </w:pPr>
      <w:r/>
    </w:p>
    <w:p>
      <w:pPr>
        <w:pStyle w:val="aff2"/>
        <w:jc w:val="center"/>
      </w:pPr>
      <w:r/>
      <w:r>
        <w:drawing>
          <wp:inline xmlns:a="http://schemas.openxmlformats.org/drawingml/2006/main" xmlns:pic="http://schemas.openxmlformats.org/drawingml/2006/picture">
            <wp:extent cx="4680000" cy="3059648"/>
            <wp:docPr id="1" name="Picture 1"/>
            <wp:cNvGraphicFramePr>
              <a:graphicFrameLocks noChangeAspect="1"/>
            </wp:cNvGraphicFramePr>
            <a:graphic>
              <a:graphicData uri="http://schemas.openxmlformats.org/drawingml/2006/picture">
                <pic:pic>
                  <pic:nvPicPr>
                    <pic:cNvPr id="0" name="control_points.png"/>
                    <pic:cNvPicPr/>
                  </pic:nvPicPr>
                  <pic:blipFill>
                    <a:blip r:embed="rId16"/>
                    <a:stretch>
                      <a:fillRect/>
                    </a:stretch>
                  </pic:blipFill>
                  <pic:spPr>
                    <a:xfrm>
                      <a:off x="0" y="0"/>
                      <a:ext cx="4680000" cy="3059648"/>
                    </a:xfrm>
                    <a:prstGeom prst="rect"/>
                  </pic:spPr>
                </pic:pic>
              </a:graphicData>
            </a:graphic>
          </wp:inline>
        </w:drawing>
      </w:r>
    </w:p>
    <w:p>
      <w:pPr>
        <w:pStyle w:val="afd"/>
      </w:pPr>
      <w:r>
        <w:t>図 1　共通実行経路と独立に評価する二つの制御点．Aは専用要約の例，Bは応答内の全操作実行後の完了判定を示す．</w:t>
      </w:r>
    </w:p>
    <w:p>
      <w:pPr>
        <w:pStyle w:val="afd"/>
      </w:pPr>
      <w:r>
        <w:t>Shared execution path and independently evaluated controls: dedicated summarization (A) and completion checks after executing a response (B).</w:t>
      </w:r>
    </w:p>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1" w:space="443"/>
          <w:docGrid w:type="linesAndChars" w:linePitch="266"/>
        </w:sectPr>
      </w:pPr>
      <w:r/>
    </w:p>
    <w:p>
      <w:pPr>
        <w:pStyle w:val="af0"/>
      </w:pPr>
      <w:r>
        <w:t>4．実験A：要約の呼出し配置</w:t>
      </w:r>
    </w:p>
    <w:p>
      <w:pPr>
        <w:pStyle w:val="afe"/>
      </w:pPr>
      <w:r>
        <w:t>4.1　条件</w:t>
      </w:r>
    </w:p>
    <w:p>
      <w:pPr>
        <w:pStyle w:val="a5"/>
      </w:pPr>
      <w:r>
        <w:rPr/>
        <w:t xml:space="preserve">写真操作，精算，返金，CSV処理の既知4課題に対し，単発別要約（Single），別呼出し反復（Separate），同時反復（Inline）を各1回，計12条件実行した．全条件は同じMiniMax-M3（GGUF，IQ4_XS），llama.cpp</w:t>
      </w:r>
      <w:r>
        <w:rPr/>
        <w:t xml:space="preserve"> </w:t>
      </w:r>
      <w:r>
        <w:rPr/>
        <w:t xml:space="preserve">b11669，文脈長65,536を用いた．model</w:t>
      </w:r>
      <w:r>
        <w:rPr/>
        <w:t xml:space="preserve"> </w:t>
      </w:r>
      <w:r>
        <w:rPr/>
        <w:t xml:space="preserve">seedの基点は57，world</w:t>
      </w:r>
      <w:r>
        <w:rPr/>
        <w:t xml:space="preserve"> </w:t>
      </w:r>
      <w:r>
        <w:rPr/>
        <w:t xml:space="preserve">seedは42で，呼出しの役割・順序に従いseedを増分した．</w:t>
      </w:r>
    </w:p>
    <w:p>
      <w:pPr>
        <w:pStyle w:val="a5"/>
      </w:pPr>
      <w:r>
        <w:rPr/>
        <w:t xml:space="preserve">要約機会の入力長閾値は16,384トークン，直近2ターンを保持し，反復では新規完了ターン3以上を要求する．単発の最大機会数は1，反復は3である．要約は合計8,192文字以下とし，次のactor入力全体が短くなる場合に採用する．単発と別呼出し反復はfocus出力上限4,096で，focus費用も式(1)へ含める．</w:t>
      </w:r>
    </w:p>
    <w:p>
      <w:pPr>
        <w:pStyle w:val="a5"/>
      </w:pPr>
      <w:r>
        <w:rPr/>
        <w:t xml:space="preserve">各条件の上限は80モデル要求，450,000トークン，作業1,800秒で，環境APIは写真160，他3課題80要求とした．actor温度1.0，focus温度0.7，並列実行数1，KV</w:t>
      </w:r>
      <w:r>
        <w:rPr/>
        <w:t xml:space="preserve"> cache </w:t>
      </w:r>
      <w:r>
        <w:rPr/>
        <w:t xml:space="preserve">q8_0，計算機はApple</w:t>
      </w:r>
      <w:r>
        <w:rPr/>
        <w:t xml:space="preserve"> M3 Ultra・メモリ256 </w:t>
      </w:r>
      <w:r>
        <w:rPr/>
        <w:t xml:space="preserve">GiBである．実装と全条件の記録を公開する</w:t>
      </w:r>
      <w:r>
        <w:rPr/>
        <w:footnoteReference w:id="20"/>
      </w:r>
      <w:r>
        <w:rPr/>
        <w:t xml:space="preserve">．</w:t>
      </w:r>
    </w:p>
    <w:p>
      <w:pPr>
        <w:pStyle w:val="afe"/>
      </w:pPr>
      <w:r>
        <w:t>4.2　全4課題の結果</w:t>
      </w:r>
    </w:p>
    <w:p>
      <w:pPr>
        <w:pStyle w:val="a5"/>
      </w:pPr>
      <w:r>
        <w:rPr/>
        <w:t xml:space="preserve">表1に全12条件の費用を示す．全方式が4/4成功し，使用量不明は0だった．SeparateはSingleより107,873トークン（12.07%）少なかった．この差は全てCSVの440,461から332,588への減少であり，他3課題は同値である．要約採用回数も，CSVはSingleの1回に対して両反復方式が2回，写真は全方式1回，精算・返金は0回だった．したがって，全4課題で一様に改善した結果ではない．</w:t>
      </w:r>
    </w:p>
    <w:p>
      <w:pPr>
        <w:pStyle w:val="a5"/>
      </w:pPr>
      <w:r>
        <w:rPr/>
        <w:t xml:space="preserve">InlineはSingleより6.34%少なかったが，強いSeparate対照より51,266トークン（6.53%）多かった．写真だけではInlineが10,497少ない一方，CSVではSeparateより61,763多く，この増加が上回った．専用要約呼出しを無くすことと，全仕事を安くすることは同義ではない．図2（a）はCSV以外の3課題とCSVを分けてこの内訳を示す．</w:t>
      </w:r>
    </w:p>
    <w:p>
      <w:pPr>
        <w:pStyle w:val="afd"/>
        <w:keepNext/>
        <w:keepLines/>
      </w:pPr>
      <w:r>
        <w:t>表 1　実験Aの全12条件の論理入出力．全セル公式成功，使用量不明0．</w:t>
      </w:r>
    </w:p>
    <w:p>
      <w:pPr>
        <w:pStyle w:val="afd"/>
        <w:keepNext/>
        <w:keepLines/>
      </w:pPr>
      <w:r>
        <w:t>Logical input/output for all 12 conditions in study A; all succeed with known usage.</w:t>
      </w:r>
    </w:p>
    <w:tbl>
      <w:tblPr>
        <w:tblW w:type="auto" w:w="0"/>
        <w:jc w:val="center"/>
        <w:tblLayout w:type="fixed"/>
        <w:tblLook w:firstColumn="1" w:firstRow="1" w:lastColumn="0" w:lastRow="0" w:noHBand="0" w:noVBand="1" w:val="04A0"/>
        <w:tblBorders>
          <w:top w:val="single" w:sz="4"/>
          <w:bottom w:val="single" w:sz="4"/>
          <w:left w:val="nil" w:sz="4"/>
          <w:right w:val="nil" w:sz="4"/>
          <w:insideH w:val="nil" w:sz="4"/>
          <w:insideV w:val="nil" w:sz="4"/>
        </w:tblBorders>
      </w:tblPr>
      <w:tblGrid>
        <w:gridCol w:w="1134"/>
        <w:gridCol w:w="964"/>
        <w:gridCol w:w="964"/>
        <w:gridCol w:w="964"/>
      </w:tblGrid>
      <w:tr>
        <w:trPr>
          <w:cantSplit/>
          <w:tblHeader/>
        </w:trPr>
        <w:tc>
          <w:tcPr>
            <w:tcW w:type="dxa" w:w="1134"/>
            <w:tcMar>
              <w:left w:w="35" w:type="dxa"/>
              <w:right w:w="35" w:type="dxa"/>
            </w:tcMar>
            <w:tcBorders>
              <w:bottom w:val="single" w:sz="4"/>
            </w:tcBorders>
          </w:tcPr>
          <w:p>
            <w:pPr>
              <w:pStyle w:val="af2"/>
              <w:spacing w:before="0" w:after="0"/>
              <w:ind w:firstLine="0" w:firstLineChars="0" w:left="0" w:right="0" w:hanging="0"/>
              <w:jc w:val="left"/>
              <w:keepNext/>
              <w:keepLines/>
              <w:snapToGrid w:val="0"/>
            </w:pPr>
            <w:r>
              <w:rPr>
                <w:b/>
              </w:rPr>
              <w:t>課題</w:t>
            </w:r>
          </w:p>
        </w:tc>
        <w:tc>
          <w:tcPr>
            <w:tcW w:type="dxa" w:w="964"/>
            <w:tcMar>
              <w:left w:w="35" w:type="dxa"/>
              <w:right w:w="35" w:type="dxa"/>
            </w:tcMar>
            <w:tcBorders>
              <w:bottom w:val="single" w:sz="4"/>
            </w:tcBorders>
          </w:tcPr>
          <w:p>
            <w:pPr>
              <w:pStyle w:val="af2"/>
              <w:spacing w:before="0" w:after="0"/>
              <w:ind w:firstLine="0" w:firstLineChars="0" w:left="0" w:right="0" w:hanging="0"/>
              <w:jc w:val="right"/>
              <w:keepNext/>
              <w:keepLines/>
              <w:snapToGrid w:val="0"/>
            </w:pPr>
            <w:r>
              <w:rPr>
                <w:b/>
              </w:rPr>
              <w:t>Single</w:t>
            </w:r>
          </w:p>
        </w:tc>
        <w:tc>
          <w:tcPr>
            <w:tcW w:type="dxa" w:w="964"/>
            <w:tcMar>
              <w:left w:w="35" w:type="dxa"/>
              <w:right w:w="35" w:type="dxa"/>
            </w:tcMar>
            <w:tcBorders>
              <w:bottom w:val="single" w:sz="4"/>
            </w:tcBorders>
          </w:tcPr>
          <w:p>
            <w:pPr>
              <w:pStyle w:val="af2"/>
              <w:spacing w:before="0" w:after="0"/>
              <w:ind w:firstLine="0" w:firstLineChars="0" w:left="0" w:right="0" w:hanging="0"/>
              <w:jc w:val="right"/>
              <w:keepNext/>
              <w:keepLines/>
              <w:snapToGrid w:val="0"/>
            </w:pPr>
            <w:r>
              <w:rPr>
                <w:b/>
              </w:rPr>
              <w:t>Separate</w:t>
            </w:r>
          </w:p>
        </w:tc>
        <w:tc>
          <w:tcPr>
            <w:tcW w:type="dxa" w:w="964"/>
            <w:tcMar>
              <w:left w:w="35" w:type="dxa"/>
              <w:right w:w="35" w:type="dxa"/>
            </w:tcMar>
            <w:tcBorders>
              <w:bottom w:val="single" w:sz="4"/>
            </w:tcBorders>
          </w:tcPr>
          <w:p>
            <w:pPr>
              <w:pStyle w:val="af2"/>
              <w:spacing w:before="0" w:after="0"/>
              <w:ind w:firstLine="0" w:firstLineChars="0" w:left="0" w:right="0" w:hanging="0"/>
              <w:jc w:val="right"/>
              <w:keepNext/>
              <w:keepLines/>
              <w:snapToGrid w:val="0"/>
            </w:pPr>
            <w:r>
              <w:rPr>
                <w:b/>
              </w:rPr>
              <w:t>Inline</w:t>
            </w:r>
          </w:p>
        </w:tc>
      </w:tr>
      <w:tr>
        <w:trPr>
          <w:cantSplit/>
        </w:trPr>
        <w:tc>
          <w:tcPr>
            <w:tcW w:type="dxa" w:w="1134"/>
            <w:tcMar>
              <w:left w:w="35" w:type="dxa"/>
              <w:right w:w="35" w:type="dxa"/>
            </w:tcMar>
          </w:tcPr>
          <w:p>
            <w:pPr>
              <w:pStyle w:val="af2"/>
              <w:spacing w:before="0" w:after="0"/>
              <w:ind w:firstLine="0" w:firstLineChars="0" w:left="0" w:right="0" w:hanging="0"/>
              <w:jc w:val="left"/>
              <w:keepNext/>
              <w:keepLines/>
              <w:snapToGrid w:val="0"/>
            </w:pPr>
            <w:r>
              <w:t>写真操作</w:t>
            </w:r>
          </w:p>
        </w:tc>
        <w:tc>
          <w:tcPr>
            <w:tcW w:type="dxa" w:w="964"/>
            <w:tcMar>
              <w:left w:w="35" w:type="dxa"/>
              <w:right w:w="35" w:type="dxa"/>
            </w:tcMar>
            <w:noWrap/>
          </w:tcPr>
          <w:p>
            <w:pPr>
              <w:pStyle w:val="af2"/>
              <w:spacing w:before="0" w:after="0"/>
              <w:ind w:firstLine="0" w:firstLineChars="0" w:left="0" w:right="0" w:hanging="0"/>
              <w:jc w:val="right"/>
              <w:keepNext/>
              <w:keepLines/>
              <w:snapToGrid w:val="0"/>
            </w:pPr>
            <w:r>
              <w:t>139,871</w:t>
            </w:r>
          </w:p>
        </w:tc>
        <w:tc>
          <w:tcPr>
            <w:tcW w:type="dxa" w:w="964"/>
            <w:tcMar>
              <w:left w:w="35" w:type="dxa"/>
              <w:right w:w="35" w:type="dxa"/>
            </w:tcMar>
            <w:noWrap/>
          </w:tcPr>
          <w:p>
            <w:pPr>
              <w:pStyle w:val="af2"/>
              <w:spacing w:before="0" w:after="0"/>
              <w:ind w:firstLine="0" w:firstLineChars="0" w:left="0" w:right="0" w:hanging="0"/>
              <w:jc w:val="right"/>
              <w:keepNext/>
              <w:keepLines/>
              <w:snapToGrid w:val="0"/>
            </w:pPr>
            <w:r>
              <w:t>139,871</w:t>
            </w:r>
          </w:p>
        </w:tc>
        <w:tc>
          <w:tcPr>
            <w:tcW w:type="dxa" w:w="964"/>
            <w:tcMar>
              <w:left w:w="35" w:type="dxa"/>
              <w:right w:w="35" w:type="dxa"/>
            </w:tcMar>
            <w:noWrap/>
          </w:tcPr>
          <w:p>
            <w:pPr>
              <w:pStyle w:val="af2"/>
              <w:spacing w:before="0" w:after="0"/>
              <w:ind w:firstLine="0" w:firstLineChars="0" w:left="0" w:right="0" w:hanging="0"/>
              <w:jc w:val="right"/>
              <w:keepNext/>
              <w:keepLines/>
              <w:snapToGrid w:val="0"/>
            </w:pPr>
            <w:r>
              <w:t>129,374</w:t>
            </w:r>
          </w:p>
        </w:tc>
      </w:tr>
      <w:tr>
        <w:trPr>
          <w:cantSplit/>
        </w:trPr>
        <w:tc>
          <w:tcPr>
            <w:tcW w:type="dxa" w:w="1134"/>
            <w:tcMar>
              <w:left w:w="35" w:type="dxa"/>
              <w:right w:w="35" w:type="dxa"/>
            </w:tcMar>
          </w:tcPr>
          <w:p>
            <w:pPr>
              <w:pStyle w:val="af2"/>
              <w:spacing w:before="0" w:after="0"/>
              <w:ind w:firstLine="0" w:firstLineChars="0" w:left="0" w:right="0" w:hanging="0"/>
              <w:jc w:val="left"/>
              <w:keepNext/>
              <w:keepLines/>
              <w:snapToGrid w:val="0"/>
            </w:pPr>
            <w:r>
              <w:t>精算</w:t>
            </w:r>
          </w:p>
        </w:tc>
        <w:tc>
          <w:tcPr>
            <w:tcW w:type="dxa" w:w="964"/>
            <w:tcMar>
              <w:left w:w="35" w:type="dxa"/>
              <w:right w:w="35" w:type="dxa"/>
            </w:tcMar>
            <w:noWrap/>
          </w:tcPr>
          <w:p>
            <w:pPr>
              <w:pStyle w:val="af2"/>
              <w:spacing w:before="0" w:after="0"/>
              <w:ind w:firstLine="0" w:firstLineChars="0" w:left="0" w:right="0" w:hanging="0"/>
              <w:jc w:val="right"/>
              <w:keepNext/>
              <w:keepLines/>
              <w:snapToGrid w:val="0"/>
            </w:pPr>
            <w:r>
              <w:t>211,110</w:t>
            </w:r>
          </w:p>
        </w:tc>
        <w:tc>
          <w:tcPr>
            <w:tcW w:type="dxa" w:w="964"/>
            <w:tcMar>
              <w:left w:w="35" w:type="dxa"/>
              <w:right w:w="35" w:type="dxa"/>
            </w:tcMar>
            <w:noWrap/>
          </w:tcPr>
          <w:p>
            <w:pPr>
              <w:pStyle w:val="af2"/>
              <w:spacing w:before="0" w:after="0"/>
              <w:ind w:firstLine="0" w:firstLineChars="0" w:left="0" w:right="0" w:hanging="0"/>
              <w:jc w:val="right"/>
              <w:keepNext/>
              <w:keepLines/>
              <w:snapToGrid w:val="0"/>
            </w:pPr>
            <w:r>
              <w:t>211,110</w:t>
            </w:r>
          </w:p>
        </w:tc>
        <w:tc>
          <w:tcPr>
            <w:tcW w:type="dxa" w:w="964"/>
            <w:tcMar>
              <w:left w:w="35" w:type="dxa"/>
              <w:right w:w="35" w:type="dxa"/>
            </w:tcMar>
            <w:noWrap/>
          </w:tcPr>
          <w:p>
            <w:pPr>
              <w:pStyle w:val="af2"/>
              <w:spacing w:before="0" w:after="0"/>
              <w:ind w:firstLine="0" w:firstLineChars="0" w:left="0" w:right="0" w:hanging="0"/>
              <w:jc w:val="right"/>
              <w:keepNext/>
              <w:keepLines/>
              <w:snapToGrid w:val="0"/>
            </w:pPr>
            <w:r>
              <w:t>211,110</w:t>
            </w:r>
          </w:p>
        </w:tc>
      </w:tr>
      <w:tr>
        <w:trPr>
          <w:cantSplit/>
        </w:trPr>
        <w:tc>
          <w:tcPr>
            <w:tcW w:type="dxa" w:w="1134"/>
            <w:tcMar>
              <w:left w:w="35" w:type="dxa"/>
              <w:right w:w="35" w:type="dxa"/>
            </w:tcMar>
          </w:tcPr>
          <w:p>
            <w:pPr>
              <w:pStyle w:val="af2"/>
              <w:spacing w:before="0" w:after="0"/>
              <w:ind w:firstLine="0" w:firstLineChars="0" w:left="0" w:right="0" w:hanging="0"/>
              <w:jc w:val="left"/>
              <w:keepNext/>
              <w:keepLines/>
              <w:snapToGrid w:val="0"/>
            </w:pPr>
            <w:r>
              <w:t>返金</w:t>
            </w:r>
          </w:p>
        </w:tc>
        <w:tc>
          <w:tcPr>
            <w:tcW w:type="dxa" w:w="964"/>
            <w:tcMar>
              <w:left w:w="35" w:type="dxa"/>
              <w:right w:w="35" w:type="dxa"/>
            </w:tcMar>
            <w:noWrap/>
          </w:tcPr>
          <w:p>
            <w:pPr>
              <w:pStyle w:val="af2"/>
              <w:spacing w:before="0" w:after="0"/>
              <w:ind w:firstLine="0" w:firstLineChars="0" w:left="0" w:right="0" w:hanging="0"/>
              <w:jc w:val="right"/>
              <w:keepNext/>
              <w:keepLines/>
              <w:snapToGrid w:val="0"/>
            </w:pPr>
            <w:r>
              <w:t>102,087</w:t>
            </w:r>
          </w:p>
        </w:tc>
        <w:tc>
          <w:tcPr>
            <w:tcW w:type="dxa" w:w="964"/>
            <w:tcMar>
              <w:left w:w="35" w:type="dxa"/>
              <w:right w:w="35" w:type="dxa"/>
            </w:tcMar>
            <w:noWrap/>
          </w:tcPr>
          <w:p>
            <w:pPr>
              <w:pStyle w:val="af2"/>
              <w:spacing w:before="0" w:after="0"/>
              <w:ind w:firstLine="0" w:firstLineChars="0" w:left="0" w:right="0" w:hanging="0"/>
              <w:jc w:val="right"/>
              <w:keepNext/>
              <w:keepLines/>
              <w:snapToGrid w:val="0"/>
            </w:pPr>
            <w:r>
              <w:t>102,087</w:t>
            </w:r>
          </w:p>
        </w:tc>
        <w:tc>
          <w:tcPr>
            <w:tcW w:type="dxa" w:w="964"/>
            <w:tcMar>
              <w:left w:w="35" w:type="dxa"/>
              <w:right w:w="35" w:type="dxa"/>
            </w:tcMar>
            <w:noWrap/>
          </w:tcPr>
          <w:p>
            <w:pPr>
              <w:pStyle w:val="af2"/>
              <w:spacing w:before="0" w:after="0"/>
              <w:ind w:firstLine="0" w:firstLineChars="0" w:left="0" w:right="0" w:hanging="0"/>
              <w:jc w:val="right"/>
              <w:keepNext/>
              <w:keepLines/>
              <w:snapToGrid w:val="0"/>
            </w:pPr>
            <w:r>
              <w:t>102,087</w:t>
            </w:r>
          </w:p>
        </w:tc>
      </w:tr>
      <w:tr>
        <w:trPr>
          <w:cantSplit/>
        </w:trPr>
        <w:tc>
          <w:tcPr>
            <w:tcW w:type="dxa" w:w="1134"/>
            <w:tcMar>
              <w:left w:w="35" w:type="dxa"/>
              <w:right w:w="35" w:type="dxa"/>
            </w:tcMar>
          </w:tcPr>
          <w:p>
            <w:pPr>
              <w:pStyle w:val="af2"/>
              <w:spacing w:before="0" w:after="0"/>
              <w:ind w:firstLine="0" w:firstLineChars="0" w:left="0" w:right="0" w:hanging="0"/>
              <w:jc w:val="left"/>
              <w:keepNext/>
              <w:keepLines/>
              <w:snapToGrid w:val="0"/>
            </w:pPr>
            <w:r>
              <w:t>CSV処理</w:t>
            </w:r>
          </w:p>
        </w:tc>
        <w:tc>
          <w:tcPr>
            <w:tcW w:type="dxa" w:w="964"/>
            <w:tcMar>
              <w:left w:w="35" w:type="dxa"/>
              <w:right w:w="35" w:type="dxa"/>
            </w:tcMar>
            <w:noWrap/>
          </w:tcPr>
          <w:p>
            <w:pPr>
              <w:pStyle w:val="af2"/>
              <w:spacing w:before="0" w:after="0"/>
              <w:ind w:firstLine="0" w:firstLineChars="0" w:left="0" w:right="0" w:hanging="0"/>
              <w:jc w:val="right"/>
              <w:keepNext/>
              <w:keepLines/>
              <w:snapToGrid w:val="0"/>
            </w:pPr>
            <w:r>
              <w:t>440,461</w:t>
            </w:r>
          </w:p>
        </w:tc>
        <w:tc>
          <w:tcPr>
            <w:tcW w:type="dxa" w:w="964"/>
            <w:tcMar>
              <w:left w:w="35" w:type="dxa"/>
              <w:right w:w="35" w:type="dxa"/>
            </w:tcMar>
            <w:noWrap/>
          </w:tcPr>
          <w:p>
            <w:pPr>
              <w:pStyle w:val="af2"/>
              <w:spacing w:before="0" w:after="0"/>
              <w:ind w:firstLine="0" w:firstLineChars="0" w:left="0" w:right="0" w:hanging="0"/>
              <w:jc w:val="right"/>
              <w:keepNext/>
              <w:keepLines/>
              <w:snapToGrid w:val="0"/>
            </w:pPr>
            <w:r>
              <w:t>332,588</w:t>
            </w:r>
          </w:p>
        </w:tc>
        <w:tc>
          <w:tcPr>
            <w:tcW w:type="dxa" w:w="964"/>
            <w:tcMar>
              <w:left w:w="35" w:type="dxa"/>
              <w:right w:w="35" w:type="dxa"/>
            </w:tcMar>
            <w:noWrap/>
          </w:tcPr>
          <w:p>
            <w:pPr>
              <w:pStyle w:val="af2"/>
              <w:spacing w:before="0" w:after="0"/>
              <w:ind w:firstLine="0" w:firstLineChars="0" w:left="0" w:right="0" w:hanging="0"/>
              <w:jc w:val="right"/>
              <w:keepNext/>
              <w:keepLines/>
              <w:snapToGrid w:val="0"/>
            </w:pPr>
            <w:r>
              <w:t>394,351</w:t>
            </w:r>
          </w:p>
        </w:tc>
      </w:tr>
      <w:tr>
        <w:trPr>
          <w:cantSplit/>
        </w:trPr>
        <w:tc>
          <w:tcPr>
            <w:tcW w:type="dxa" w:w="1134"/>
            <w:tcMar>
              <w:left w:w="35" w:type="dxa"/>
              <w:right w:w="35" w:type="dxa"/>
            </w:tcMar>
          </w:tcPr>
          <w:p>
            <w:pPr>
              <w:pStyle w:val="af2"/>
              <w:spacing w:before="0" w:after="0"/>
              <w:ind w:firstLine="0" w:firstLineChars="0" w:left="0" w:right="0" w:hanging="0"/>
              <w:jc w:val="left"/>
              <w:keepNext w:val="0"/>
              <w:keepLines/>
              <w:snapToGrid w:val="0"/>
            </w:pPr>
            <w:r>
              <w:t>全4課題</w:t>
            </w:r>
          </w:p>
        </w:tc>
        <w:tc>
          <w:tcPr>
            <w:tcW w:type="dxa" w:w="964"/>
            <w:tcMar>
              <w:left w:w="35" w:type="dxa"/>
              <w:right w:w="35" w:type="dxa"/>
            </w:tcMar>
            <w:noWrap/>
          </w:tcPr>
          <w:p>
            <w:pPr>
              <w:pStyle w:val="af2"/>
              <w:spacing w:before="0" w:after="0"/>
              <w:ind w:firstLine="0" w:firstLineChars="0" w:left="0" w:right="0" w:hanging="0"/>
              <w:jc w:val="right"/>
              <w:keepNext w:val="0"/>
              <w:keepLines/>
              <w:snapToGrid w:val="0"/>
            </w:pPr>
            <w:r>
              <w:t>893,529</w:t>
            </w:r>
          </w:p>
        </w:tc>
        <w:tc>
          <w:tcPr>
            <w:tcW w:type="dxa" w:w="964"/>
            <w:tcMar>
              <w:left w:w="35" w:type="dxa"/>
              <w:right w:w="35" w:type="dxa"/>
            </w:tcMar>
            <w:noWrap/>
          </w:tcPr>
          <w:p>
            <w:pPr>
              <w:pStyle w:val="af2"/>
              <w:spacing w:before="0" w:after="0"/>
              <w:ind w:firstLine="0" w:firstLineChars="0" w:left="0" w:right="0" w:hanging="0"/>
              <w:jc w:val="right"/>
              <w:keepNext w:val="0"/>
              <w:keepLines/>
              <w:snapToGrid w:val="0"/>
            </w:pPr>
            <w:r>
              <w:t>785,656</w:t>
            </w:r>
          </w:p>
        </w:tc>
        <w:tc>
          <w:tcPr>
            <w:tcW w:type="dxa" w:w="964"/>
            <w:tcMar>
              <w:left w:w="35" w:type="dxa"/>
              <w:right w:w="35" w:type="dxa"/>
            </w:tcMar>
            <w:noWrap/>
          </w:tcPr>
          <w:p>
            <w:pPr>
              <w:pStyle w:val="af2"/>
              <w:spacing w:before="0" w:after="0"/>
              <w:ind w:firstLine="0" w:firstLineChars="0" w:left="0" w:right="0" w:hanging="0"/>
              <w:jc w:val="right"/>
              <w:keepNext w:val="0"/>
              <w:keepLines/>
              <w:snapToGrid w:val="0"/>
            </w:pPr>
            <w:r>
              <w:t>836,922</w:t>
            </w:r>
          </w:p>
        </w:tc>
      </w:tr>
    </w:tbl>
    <w:p>
      <w:pPr>
        <w:pStyle w:val="afd"/>
        <w:keepNext/>
        <w:keepLines/>
      </w:pPr>
      <w:r>
        <w:t>表 2　実験Bの全4観測．同じ写真1課題で，全観測公式成功，使用量不明0．</w:t>
      </w:r>
    </w:p>
    <w:p>
      <w:pPr>
        <w:pStyle w:val="afd"/>
        <w:keepNext/>
        <w:keepLines/>
      </w:pPr>
      <w:r>
        <w:t>All four observations in study B concern one photo task and succeed with known usage.</w:t>
      </w:r>
    </w:p>
    <w:tbl>
      <w:tblPr>
        <w:tblW w:type="auto" w:w="0"/>
        <w:jc w:val="center"/>
        <w:tblLayout w:type="fixed"/>
        <w:tblLook w:firstColumn="1" w:firstRow="1" w:lastColumn="0" w:lastRow="0" w:noHBand="0" w:noVBand="1" w:val="04A0"/>
        <w:tblBorders>
          <w:top w:val="single" w:sz="4"/>
          <w:bottom w:val="single" w:sz="4"/>
          <w:left w:val="nil" w:sz="4"/>
          <w:right w:val="nil" w:sz="4"/>
          <w:insideH w:val="nil" w:sz="4"/>
          <w:insideV w:val="nil" w:sz="4"/>
        </w:tblBorders>
      </w:tblPr>
      <w:tblGrid>
        <w:gridCol w:w="1020"/>
        <w:gridCol w:w="1020"/>
        <w:gridCol w:w="737"/>
        <w:gridCol w:w="624"/>
        <w:gridCol w:w="624"/>
      </w:tblGrid>
      <w:tr>
        <w:trPr>
          <w:cantSplit/>
          <w:tblHeader/>
        </w:trPr>
        <w:tc>
          <w:tcPr>
            <w:tcW w:type="dxa" w:w="1020"/>
            <w:tcMar>
              <w:left w:w="35" w:type="dxa"/>
              <w:right w:w="35" w:type="dxa"/>
            </w:tcMar>
            <w:tcBorders>
              <w:bottom w:val="single" w:sz="4"/>
            </w:tcBorders>
          </w:tcPr>
          <w:p>
            <w:pPr>
              <w:pStyle w:val="af2"/>
              <w:spacing w:before="0" w:after="0"/>
              <w:ind w:firstLine="0" w:firstLineChars="0" w:left="0" w:right="0" w:hanging="0"/>
              <w:jc w:val="left"/>
              <w:keepNext/>
              <w:keepLines/>
              <w:snapToGrid w:val="0"/>
            </w:pPr>
            <w:r>
              <w:rPr>
                <w:b/>
              </w:rPr>
              <w:t>Interface</w:t>
            </w:r>
          </w:p>
        </w:tc>
        <w:tc>
          <w:tcPr>
            <w:tcW w:type="dxa" w:w="1020"/>
            <w:tcMar>
              <w:left w:w="35" w:type="dxa"/>
              <w:right w:w="35" w:type="dxa"/>
            </w:tcMar>
            <w:tcBorders>
              <w:bottom w:val="single" w:sz="4"/>
            </w:tcBorders>
          </w:tcPr>
          <w:p>
            <w:pPr>
              <w:pStyle w:val="af2"/>
              <w:spacing w:before="0" w:after="0"/>
              <w:ind w:firstLine="0" w:firstLineChars="0" w:left="0" w:right="0" w:hanging="0"/>
              <w:jc w:val="left"/>
              <w:keepNext/>
              <w:keepLines/>
              <w:snapToGrid w:val="0"/>
            </w:pPr>
            <w:r>
              <w:rPr>
                <w:b/>
              </w:rPr>
              <w:t>制御</w:t>
            </w:r>
          </w:p>
        </w:tc>
        <w:tc>
          <w:tcPr>
            <w:tcW w:type="dxa" w:w="737"/>
            <w:tcMar>
              <w:left w:w="35" w:type="dxa"/>
              <w:right w:w="35" w:type="dxa"/>
            </w:tcMar>
            <w:tcBorders>
              <w:bottom w:val="single" w:sz="4"/>
            </w:tcBorders>
          </w:tcPr>
          <w:p>
            <w:pPr>
              <w:pStyle w:val="af2"/>
              <w:spacing w:before="0" w:after="0"/>
              <w:ind w:firstLine="0" w:firstLineChars="0" w:left="0" w:right="0" w:hanging="0"/>
              <w:jc w:val="right"/>
              <w:keepNext/>
              <w:keepLines/>
              <w:snapToGrid w:val="0"/>
            </w:pPr>
            <w:r>
              <w:rPr>
                <w:b/>
              </w:rPr>
              <w:t>論理入出力</w:t>
            </w:r>
          </w:p>
        </w:tc>
        <w:tc>
          <w:tcPr>
            <w:tcW w:type="dxa" w:w="624"/>
            <w:tcMar>
              <w:left w:w="35" w:type="dxa"/>
              <w:right w:w="35" w:type="dxa"/>
            </w:tcMar>
            <w:tcBorders>
              <w:bottom w:val="single" w:sz="4"/>
            </w:tcBorders>
          </w:tcPr>
          <w:p>
            <w:pPr>
              <w:pStyle w:val="af2"/>
              <w:spacing w:before="0" w:after="0"/>
              <w:ind w:firstLine="0" w:firstLineChars="0" w:left="0" w:right="0" w:hanging="0"/>
              <w:jc w:val="right"/>
              <w:keepNext/>
              <w:keepLines/>
              <w:snapToGrid w:val="0"/>
            </w:pPr>
            <w:r>
              <w:rPr>
                <w:b/>
              </w:rPr>
              <w:t>モデル呼出し</w:t>
            </w:r>
          </w:p>
        </w:tc>
        <w:tc>
          <w:tcPr>
            <w:tcW w:type="dxa" w:w="624"/>
            <w:tcMar>
              <w:left w:w="35" w:type="dxa"/>
              <w:right w:w="35" w:type="dxa"/>
            </w:tcMar>
            <w:tcBorders>
              <w:bottom w:val="single" w:sz="4"/>
            </w:tcBorders>
          </w:tcPr>
          <w:p>
            <w:pPr>
              <w:pStyle w:val="af2"/>
              <w:spacing w:before="0" w:after="0"/>
              <w:ind w:firstLine="0" w:firstLineChars="0" w:left="0" w:right="0" w:hanging="0"/>
              <w:jc w:val="right"/>
              <w:keepNext/>
              <w:keepLines/>
              <w:snapToGrid w:val="0"/>
            </w:pPr>
            <w:r>
              <w:rPr>
                <w:b/>
              </w:rPr>
              <w:t>API要求</w:t>
            </w:r>
          </w:p>
        </w:tc>
      </w:tr>
      <w:tr>
        <w:trPr>
          <w:cantSplit/>
        </w:trPr>
        <w:tc>
          <w:tcPr>
            <w:tcW w:type="dxa" w:w="1020"/>
            <w:tcMar>
              <w:left w:w="35" w:type="dxa"/>
              <w:right w:w="35" w:type="dxa"/>
            </w:tcMar>
          </w:tcPr>
          <w:p>
            <w:pPr>
              <w:pStyle w:val="af2"/>
              <w:spacing w:before="0" w:after="0"/>
              <w:ind w:firstLine="0" w:firstLineChars="0" w:left="0" w:right="0" w:hanging="0"/>
              <w:jc w:val="left"/>
              <w:keepNext/>
              <w:keepLines/>
              <w:snapToGrid w:val="0"/>
            </w:pPr>
            <w:r>
              <w:t>文書取得必須</w:t>
            </w:r>
          </w:p>
        </w:tc>
        <w:tc>
          <w:tcPr>
            <w:tcW w:type="dxa" w:w="1020"/>
            <w:tcMar>
              <w:left w:w="35" w:type="dxa"/>
              <w:right w:w="35" w:type="dxa"/>
            </w:tcMar>
          </w:tcPr>
          <w:p>
            <w:pPr>
              <w:pStyle w:val="af2"/>
              <w:spacing w:before="0" w:after="0"/>
              <w:ind w:firstLine="0" w:firstLineChars="0" w:left="0" w:right="0" w:hanging="0"/>
              <w:jc w:val="left"/>
              <w:keepNext/>
              <w:keepLines/>
              <w:snapToGrid w:val="0"/>
            </w:pPr>
            <w:r>
              <w:t>通常継続</w:t>
            </w:r>
          </w:p>
        </w:tc>
        <w:tc>
          <w:tcPr>
            <w:tcW w:type="dxa" w:w="737"/>
            <w:tcMar>
              <w:left w:w="35" w:type="dxa"/>
              <w:right w:w="35" w:type="dxa"/>
            </w:tcMar>
            <w:noWrap/>
          </w:tcPr>
          <w:p>
            <w:pPr>
              <w:pStyle w:val="af2"/>
              <w:spacing w:before="0" w:after="0"/>
              <w:ind w:firstLine="0" w:firstLineChars="0" w:left="0" w:right="0" w:hanging="0"/>
              <w:jc w:val="right"/>
              <w:keepNext/>
              <w:keepLines/>
              <w:snapToGrid w:val="0"/>
            </w:pPr>
            <w:r>
              <w:t>130,439</w:t>
            </w:r>
          </w:p>
        </w:tc>
        <w:tc>
          <w:tcPr>
            <w:tcW w:type="dxa" w:w="624"/>
            <w:tcMar>
              <w:left w:w="35" w:type="dxa"/>
              <w:right w:w="35" w:type="dxa"/>
            </w:tcMar>
            <w:noWrap/>
          </w:tcPr>
          <w:p>
            <w:pPr>
              <w:pStyle w:val="af2"/>
              <w:spacing w:before="0" w:after="0"/>
              <w:ind w:firstLine="0" w:firstLineChars="0" w:left="0" w:right="0" w:hanging="0"/>
              <w:jc w:val="right"/>
              <w:keepNext/>
              <w:keepLines/>
              <w:snapToGrid w:val="0"/>
            </w:pPr>
            <w:r>
              <w:t>15</w:t>
            </w:r>
          </w:p>
        </w:tc>
        <w:tc>
          <w:tcPr>
            <w:tcW w:type="dxa" w:w="624"/>
            <w:tcMar>
              <w:left w:w="35" w:type="dxa"/>
              <w:right w:w="35" w:type="dxa"/>
            </w:tcMar>
            <w:noWrap/>
          </w:tcPr>
          <w:p>
            <w:pPr>
              <w:pStyle w:val="af2"/>
              <w:spacing w:before="0" w:after="0"/>
              <w:ind w:firstLine="0" w:firstLineChars="0" w:left="0" w:right="0" w:hanging="0"/>
              <w:jc w:val="right"/>
              <w:keepNext/>
              <w:keepLines/>
              <w:snapToGrid w:val="0"/>
            </w:pPr>
            <w:r>
              <w:t>104</w:t>
            </w:r>
          </w:p>
        </w:tc>
      </w:tr>
      <w:tr>
        <w:trPr>
          <w:cantSplit/>
        </w:trPr>
        <w:tc>
          <w:tcPr>
            <w:tcW w:type="dxa" w:w="1020"/>
            <w:tcMar>
              <w:left w:w="35" w:type="dxa"/>
              <w:right w:w="35" w:type="dxa"/>
            </w:tcMar>
          </w:tcPr>
          <w:p>
            <w:pPr>
              <w:pStyle w:val="af2"/>
              <w:spacing w:before="0" w:after="0"/>
              <w:ind w:firstLine="0" w:firstLineChars="0" w:left="0" w:right="0" w:hanging="0"/>
              <w:jc w:val="left"/>
              <w:keepNext/>
              <w:keepLines/>
              <w:snapToGrid w:val="0"/>
            </w:pPr>
            <w:r/>
          </w:p>
        </w:tc>
        <w:tc>
          <w:tcPr>
            <w:tcW w:type="dxa" w:w="1020"/>
            <w:tcMar>
              <w:left w:w="35" w:type="dxa"/>
              <w:right w:w="35" w:type="dxa"/>
            </w:tcMar>
          </w:tcPr>
          <w:p>
            <w:pPr>
              <w:pStyle w:val="af2"/>
              <w:spacing w:before="0" w:after="0"/>
              <w:ind w:firstLine="0" w:firstLineChars="0" w:left="0" w:right="0" w:hanging="0"/>
              <w:jc w:val="left"/>
              <w:keepNext/>
              <w:keepLines/>
              <w:snapToGrid w:val="0"/>
            </w:pPr>
            <w:r>
              <w:t>証拠付き終了</w:t>
            </w:r>
          </w:p>
        </w:tc>
        <w:tc>
          <w:tcPr>
            <w:tcW w:type="dxa" w:w="737"/>
            <w:tcMar>
              <w:left w:w="35" w:type="dxa"/>
              <w:right w:w="35" w:type="dxa"/>
            </w:tcMar>
            <w:noWrap/>
          </w:tcPr>
          <w:p>
            <w:pPr>
              <w:pStyle w:val="af2"/>
              <w:spacing w:before="0" w:after="0"/>
              <w:ind w:firstLine="0" w:firstLineChars="0" w:left="0" w:right="0" w:hanging="0"/>
              <w:jc w:val="right"/>
              <w:keepNext/>
              <w:keepLines/>
              <w:snapToGrid w:val="0"/>
            </w:pPr>
            <w:r>
              <w:t>91,116</w:t>
            </w:r>
          </w:p>
        </w:tc>
        <w:tc>
          <w:tcPr>
            <w:tcW w:type="dxa" w:w="624"/>
            <w:tcMar>
              <w:left w:w="35" w:type="dxa"/>
              <w:right w:w="35" w:type="dxa"/>
            </w:tcMar>
            <w:noWrap/>
          </w:tcPr>
          <w:p>
            <w:pPr>
              <w:pStyle w:val="af2"/>
              <w:spacing w:before="0" w:after="0"/>
              <w:ind w:firstLine="0" w:firstLineChars="0" w:left="0" w:right="0" w:hanging="0"/>
              <w:jc w:val="right"/>
              <w:keepNext/>
              <w:keepLines/>
              <w:snapToGrid w:val="0"/>
            </w:pPr>
            <w:r>
              <w:t>13</w:t>
            </w:r>
          </w:p>
        </w:tc>
        <w:tc>
          <w:tcPr>
            <w:tcW w:type="dxa" w:w="624"/>
            <w:tcMar>
              <w:left w:w="35" w:type="dxa"/>
              <w:right w:w="35" w:type="dxa"/>
            </w:tcMar>
            <w:noWrap/>
          </w:tcPr>
          <w:p>
            <w:pPr>
              <w:pStyle w:val="af2"/>
              <w:spacing w:before="0" w:after="0"/>
              <w:ind w:firstLine="0" w:firstLineChars="0" w:left="0" w:right="0" w:hanging="0"/>
              <w:jc w:val="right"/>
              <w:keepNext/>
              <w:keepLines/>
              <w:snapToGrid w:val="0"/>
            </w:pPr>
            <w:r>
              <w:t>100</w:t>
            </w:r>
          </w:p>
        </w:tc>
      </w:tr>
      <w:tr>
        <w:trPr>
          <w:cantSplit/>
        </w:trPr>
        <w:tc>
          <w:tcPr>
            <w:tcW w:type="dxa" w:w="1020"/>
            <w:tcMar>
              <w:left w:w="35" w:type="dxa"/>
              <w:right w:w="35" w:type="dxa"/>
            </w:tcMar>
          </w:tcPr>
          <w:p>
            <w:pPr>
              <w:pStyle w:val="af2"/>
              <w:spacing w:before="0" w:after="0"/>
              <w:ind w:firstLine="0" w:firstLineChars="0" w:left="0" w:right="0" w:hanging="0"/>
              <w:jc w:val="left"/>
              <w:keepNext/>
              <w:keepLines/>
              <w:snapToGrid w:val="0"/>
            </w:pPr>
            <w:r>
              <w:t>公開名アクセス</w:t>
            </w:r>
          </w:p>
        </w:tc>
        <w:tc>
          <w:tcPr>
            <w:tcW w:type="dxa" w:w="1020"/>
            <w:tcMar>
              <w:left w:w="35" w:type="dxa"/>
              <w:right w:w="35" w:type="dxa"/>
            </w:tcMar>
          </w:tcPr>
          <w:p>
            <w:pPr>
              <w:pStyle w:val="af2"/>
              <w:spacing w:before="0" w:after="0"/>
              <w:ind w:firstLine="0" w:firstLineChars="0" w:left="0" w:right="0" w:hanging="0"/>
              <w:jc w:val="left"/>
              <w:keepNext/>
              <w:keepLines/>
              <w:snapToGrid w:val="0"/>
            </w:pPr>
            <w:r>
              <w:t>通常継続</w:t>
            </w:r>
          </w:p>
        </w:tc>
        <w:tc>
          <w:tcPr>
            <w:tcW w:type="dxa" w:w="737"/>
            <w:tcMar>
              <w:left w:w="35" w:type="dxa"/>
              <w:right w:w="35" w:type="dxa"/>
            </w:tcMar>
            <w:noWrap/>
          </w:tcPr>
          <w:p>
            <w:pPr>
              <w:pStyle w:val="af2"/>
              <w:spacing w:before="0" w:after="0"/>
              <w:ind w:firstLine="0" w:firstLineChars="0" w:left="0" w:right="0" w:hanging="0"/>
              <w:jc w:val="right"/>
              <w:keepNext/>
              <w:keepLines/>
              <w:snapToGrid w:val="0"/>
            </w:pPr>
            <w:r>
              <w:t>151,664</w:t>
            </w:r>
          </w:p>
        </w:tc>
        <w:tc>
          <w:tcPr>
            <w:tcW w:type="dxa" w:w="624"/>
            <w:tcMar>
              <w:left w:w="35" w:type="dxa"/>
              <w:right w:w="35" w:type="dxa"/>
            </w:tcMar>
            <w:noWrap/>
          </w:tcPr>
          <w:p>
            <w:pPr>
              <w:pStyle w:val="af2"/>
              <w:spacing w:before="0" w:after="0"/>
              <w:ind w:firstLine="0" w:firstLineChars="0" w:left="0" w:right="0" w:hanging="0"/>
              <w:jc w:val="right"/>
              <w:keepNext/>
              <w:keepLines/>
              <w:snapToGrid w:val="0"/>
            </w:pPr>
            <w:r>
              <w:t>14</w:t>
            </w:r>
          </w:p>
        </w:tc>
        <w:tc>
          <w:tcPr>
            <w:tcW w:type="dxa" w:w="624"/>
            <w:tcMar>
              <w:left w:w="35" w:type="dxa"/>
              <w:right w:w="35" w:type="dxa"/>
            </w:tcMar>
            <w:noWrap/>
          </w:tcPr>
          <w:p>
            <w:pPr>
              <w:pStyle w:val="af2"/>
              <w:spacing w:before="0" w:after="0"/>
              <w:ind w:firstLine="0" w:firstLineChars="0" w:left="0" w:right="0" w:hanging="0"/>
              <w:jc w:val="right"/>
              <w:keepNext/>
              <w:keepLines/>
              <w:snapToGrid w:val="0"/>
            </w:pPr>
            <w:r>
              <w:t>103</w:t>
            </w:r>
          </w:p>
        </w:tc>
      </w:tr>
      <w:tr>
        <w:trPr>
          <w:cantSplit/>
        </w:trPr>
        <w:tc>
          <w:tcPr>
            <w:tcW w:type="dxa" w:w="1020"/>
            <w:tcMar>
              <w:left w:w="35" w:type="dxa"/>
              <w:right w:w="35" w:type="dxa"/>
            </w:tcMar>
          </w:tcPr>
          <w:p>
            <w:pPr>
              <w:pStyle w:val="af2"/>
              <w:spacing w:before="0" w:after="0"/>
              <w:ind w:firstLine="0" w:firstLineChars="0" w:left="0" w:right="0" w:hanging="0"/>
              <w:jc w:val="left"/>
              <w:keepNext w:val="0"/>
              <w:keepLines/>
              <w:snapToGrid w:val="0"/>
            </w:pPr>
            <w:r/>
          </w:p>
        </w:tc>
        <w:tc>
          <w:tcPr>
            <w:tcW w:type="dxa" w:w="1020"/>
            <w:tcMar>
              <w:left w:w="35" w:type="dxa"/>
              <w:right w:w="35" w:type="dxa"/>
            </w:tcMar>
          </w:tcPr>
          <w:p>
            <w:pPr>
              <w:pStyle w:val="af2"/>
              <w:spacing w:before="0" w:after="0"/>
              <w:ind w:firstLine="0" w:firstLineChars="0" w:left="0" w:right="0" w:hanging="0"/>
              <w:jc w:val="left"/>
              <w:keepNext w:val="0"/>
              <w:keepLines/>
              <w:snapToGrid w:val="0"/>
            </w:pPr>
            <w:r>
              <w:t>証拠付き終了</w:t>
            </w:r>
          </w:p>
        </w:tc>
        <w:tc>
          <w:tcPr>
            <w:tcW w:type="dxa" w:w="737"/>
            <w:tcMar>
              <w:left w:w="35" w:type="dxa"/>
              <w:right w:w="35" w:type="dxa"/>
            </w:tcMar>
            <w:noWrap/>
          </w:tcPr>
          <w:p>
            <w:pPr>
              <w:pStyle w:val="af2"/>
              <w:spacing w:before="0" w:after="0"/>
              <w:ind w:firstLine="0" w:firstLineChars="0" w:left="0" w:right="0" w:hanging="0"/>
              <w:jc w:val="right"/>
              <w:keepNext w:val="0"/>
              <w:keepLines/>
              <w:snapToGrid w:val="0"/>
            </w:pPr>
            <w:r>
              <w:t>112,233</w:t>
            </w:r>
          </w:p>
        </w:tc>
        <w:tc>
          <w:tcPr>
            <w:tcW w:type="dxa" w:w="624"/>
            <w:tcMar>
              <w:left w:w="35" w:type="dxa"/>
              <w:right w:w="35" w:type="dxa"/>
            </w:tcMar>
            <w:noWrap/>
          </w:tcPr>
          <w:p>
            <w:pPr>
              <w:pStyle w:val="af2"/>
              <w:spacing w:before="0" w:after="0"/>
              <w:ind w:firstLine="0" w:firstLineChars="0" w:left="0" w:right="0" w:hanging="0"/>
              <w:jc w:val="right"/>
              <w:keepNext w:val="0"/>
              <w:keepLines/>
              <w:snapToGrid w:val="0"/>
            </w:pPr>
            <w:r>
              <w:t>12</w:t>
            </w:r>
          </w:p>
        </w:tc>
        <w:tc>
          <w:tcPr>
            <w:tcW w:type="dxa" w:w="624"/>
            <w:tcMar>
              <w:left w:w="35" w:type="dxa"/>
              <w:right w:w="35" w:type="dxa"/>
            </w:tcMar>
            <w:noWrap/>
          </w:tcPr>
          <w:p>
            <w:pPr>
              <w:pStyle w:val="af2"/>
              <w:spacing w:before="0" w:after="0"/>
              <w:ind w:firstLine="0" w:firstLineChars="0" w:left="0" w:right="0" w:hanging="0"/>
              <w:jc w:val="right"/>
              <w:keepNext w:val="0"/>
              <w:keepLines/>
              <w:snapToGrid w:val="0"/>
            </w:pPr>
            <w:r>
              <w:t>99</w:t>
            </w:r>
          </w:p>
        </w:tc>
      </w:tr>
    </w:tbl>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2" w:space="443"/>
          <w:docGrid w:type="linesAndChars" w:linePitch="266"/>
        </w:sectPr>
      </w:pPr>
      <w:r/>
    </w:p>
    <w:p>
      <w:pPr>
        <w:pStyle w:val="aff2"/>
        <w:jc w:val="center"/>
      </w:pPr>
      <w:r/>
      <w:r>
        <w:drawing>
          <wp:inline xmlns:a="http://schemas.openxmlformats.org/drawingml/2006/main" xmlns:pic="http://schemas.openxmlformats.org/drawingml/2006/picture">
            <wp:extent cx="4680000" cy="2591465"/>
            <wp:docPr id="2" name="Picture 2"/>
            <wp:cNvGraphicFramePr>
              <a:graphicFrameLocks noChangeAspect="1"/>
            </wp:cNvGraphicFramePr>
            <a:graphic>
              <a:graphicData uri="http://schemas.openxmlformats.org/drawingml/2006/picture">
                <pic:pic>
                  <pic:nvPicPr>
                    <pic:cNvPr id="0" name="separate_studies.png"/>
                    <pic:cNvPicPr/>
                  </pic:nvPicPr>
                  <pic:blipFill>
                    <a:blip r:embed="rId17"/>
                    <a:stretch>
                      <a:fillRect/>
                    </a:stretch>
                  </pic:blipFill>
                  <pic:spPr>
                    <a:xfrm>
                      <a:off x="0" y="0"/>
                      <a:ext cx="4680000" cy="2591465"/>
                    </a:xfrm>
                    <a:prstGeom prst="rect"/>
                  </pic:spPr>
                </pic:pic>
              </a:graphicData>
            </a:graphic>
          </wp:inline>
        </w:drawing>
      </w:r>
    </w:p>
    <w:p>
      <w:pPr>
        <w:pStyle w:val="afd"/>
      </w:pPr>
      <w:r>
        <w:t>図 2　別々の実験における費用．（a）全4課題は各方式4/4成功，（b）同じ写真課題の全4観測は成功．二つの縦軸と集計範囲は異なる．</w:t>
      </w:r>
    </w:p>
    <w:p>
      <w:pPr>
        <w:pStyle w:val="afd"/>
      </w:pPr>
      <w:r>
        <w:t>Costs in separate studies. All conditions succeed; the axes and aggregation scopes differ.</w:t>
      </w:r>
    </w:p>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1" w:space="443"/>
          <w:docGrid w:type="linesAndChars" w:linePitch="266"/>
        </w:sectPr>
      </w:pPr>
      <w:r/>
    </w:p>
    <w:p>
      <w:pPr>
        <w:pStyle w:val="af0"/>
      </w:pPr>
      <w:r>
        <w:t>5．実験B：公開証拠に基づく終了</w:t>
      </w:r>
    </w:p>
    <w:p>
      <w:pPr>
        <w:pStyle w:val="afe"/>
      </w:pPr>
      <w:r>
        <w:t>5.1　条件</w:t>
      </w:r>
    </w:p>
    <w:p>
      <w:pPr>
        <w:pStyle w:val="a5"/>
      </w:pPr>
      <w:r>
        <w:rPr/>
        <w:t xml:space="preserve">同じ既知写真課題について，API文書取得を必須とするinterfaceと，公開API名からのアクセスを許すinterfaceの2条件を比較した．各interfaceで，既に閉鎖した通常継続を対照に，同じ初期状態・モデル・seed・案内・予算から新たに終了制御を各1回実行した．seedの基点は42であり，実験Aとは別の履歴・設定である．同じMiniMax-M3</w:t>
      </w:r>
      <w:r>
        <w:rPr/>
        <w:t xml:space="preserve"> IQ4_XSとllama.cpp </w:t>
      </w:r>
      <w:r>
        <w:rPr/>
        <w:t xml:space="preserve">b11669を用い，上限は80要求，450,000トークン，作業1,800秒，API160要求である．</w:t>
      </w:r>
    </w:p>
    <w:p>
      <w:pPr>
        <w:pStyle w:val="a5"/>
      </w:pPr>
      <w:r>
        <w:rPr/>
        <w:t xml:space="preserve">制御は既知1要求文型の手書き検査である．完全な元集合，移動前の日時，公開時計，対象全件の移動先，名前保持などの公開根拠を検査する．支持が揃った最初の生成境界で，通常の完了通知を1回だけ送る．未知作用や不確定な集合を完了扱いにせず，未来の応答・正解を利用しない．判定，保存，通知を含む実行時間と，通知APIを計上する．</w:t>
      </w:r>
    </w:p>
    <w:p>
      <w:pPr>
        <w:pStyle w:val="afe"/>
      </w:pPr>
      <w:r>
        <w:t>5.2　成功を保った局所的な削減</w:t>
      </w:r>
    </w:p>
    <w:p>
      <w:pPr>
        <w:pStyle w:val="a5"/>
      </w:pPr>
      <w:r>
        <w:rPr/>
        <w:t xml:space="preserve">表2と図2（b）に全4観測を示す．文書取得必須では130,439から91,116へ30.15%，公開名アクセスでは151,664から112,233へ26.00%減った．両対照・両制御とも公式成功，使用量不明0で，各条件2生成・4API要求が少なかった．完了通知は省かず，対象の移動後に続いていた4回の確認APIと，それに伴う生成を実行しなかった．</w:t>
      </w:r>
    </w:p>
    <w:p>
      <w:pPr>
        <w:pStyle w:val="a5"/>
      </w:pPr>
      <w:r>
        <w:rPr/>
        <w:t xml:space="preserve">実行した公開API等の前半記録は対照と一致し，最終13データベースのhashも全て一致した．ただし，要求・モデル応答全文のstrict</w:t>
      </w:r>
      <w:r>
        <w:rPr/>
        <w:t xml:space="preserve"> </w:t>
      </w:r>
      <w:r>
        <w:rPr/>
        <w:t xml:space="preserve">prefix一致は不成立であり，その事前基準を変更しない．手書きの既知要求文型による各1回の比較であって，平均因果効果や汎用の終了保証ではない．</w:t>
      </w:r>
    </w:p>
    <w:p>
      <w:pPr>
        <w:pStyle w:val="af0"/>
      </w:pPr>
      <w:r>
        <w:t>6．考察と限界</w:t>
      </w:r>
    </w:p>
    <w:p>
      <w:pPr>
        <w:pStyle w:val="a5"/>
      </w:pPr>
      <w:r>
        <w:rPr/>
        <w:t xml:space="preserve">後続の表示・状態更新方式では，通常対照への追加改善は確立していない．正例へ合算せず，未達・使用量不明を含む条件と不採用理由を公開記録・補足資料に残す．</w:t>
      </w:r>
    </w:p>
    <w:p>
      <w:pPr>
        <w:pStyle w:val="a5"/>
      </w:pPr>
      <w:r>
        <w:rPr/>
        <w:t xml:space="preserve">本稿は閉鎖済み開発実験から，正例と直接対照を事後に整理した評価である．既知課題，単一モデル量子化，少数のseedと反復，手書き完了規則に限定され，未見課題への独立確認ではない．12.07%と26–30%を同じ母集団の平均にせず，一般的な品質維持，統計的非劣性，新しい圧縮・終了原理の成立は主張しない．今後は具体的な候補と対照を固定して，適用範囲と失敗を含む全件を別に検証する必要がある．</w:t>
      </w:r>
    </w:p>
    <w:p>
      <w:pPr>
        <w:pStyle w:val="af0"/>
      </w:pPr>
      <w:r>
        <w:t>7．むすび</w:t>
      </w:r>
    </w:p>
    <w:p>
      <w:pPr>
        <w:pStyle w:val="a5"/>
      </w:pPr>
      <w:r>
        <w:rPr/>
        <w:t xml:space="preserve">履歴要約の呼出し配置と公開証拠による終了制御を，別々の既知条件で評価した．成功を保つ削減と通常対照より費用が大きい方式を示し，専用呼出し数だけでなく最終成功と全費用を合わせて調べる必要性を確認した．</w:t>
      </w:r>
    </w:p>
    <w:p>
      <w:pPr>
        <w:pStyle w:val="af1"/>
      </w:pPr>
      <w:r>
        <w:t>文　　　献</w:t>
      </w:r>
    </w:p>
    <w:p>
      <w:pPr>
        <w:pStyle w:val="af2"/>
      </w:pPr>
      <w:r/>
      <w:r>
        <w:tab/>
        <w:t>[1]</w:t>
        <w:tab/>
      </w:r>
      <w:r>
        <w:rPr/>
        <w:t xml:space="preserve">S. Yao, J. Zhao, D. Yu, N. Du, I. Shafran, K. Narasimhan, and Y. Cao,</w:t>
      </w:r>
      <w:r>
        <w:rPr/>
        <w:t xml:space="preserve"> </w:t>
      </w:r>
      <w:r>
        <w:rPr/>
        <w:t xml:space="preserve">“ReAct: Synergizing reasoning and acting in language models,”</w:t>
      </w:r>
      <w:r>
        <w:rPr/>
        <w:t xml:space="preserve"> </w:t>
      </w:r>
      <w:r>
        <w:rPr/>
        <w:t xml:space="preserve">Proc. ICLR, May 2023.</w:t>
      </w:r>
    </w:p>
    <w:p>
      <w:pPr>
        <w:pStyle w:val="af2"/>
      </w:pPr>
      <w:r/>
      <w:r>
        <w:tab/>
        <w:t>[2]</w:t>
        <w:tab/>
      </w:r>
      <w:r>
        <w:rPr/>
        <w:t xml:space="preserve">X. Wang, Y. Chen, L. Yuan, Y. Zhang, Y. Li, H. Peng, and H. Ji,</w:t>
      </w:r>
      <w:r>
        <w:rPr/>
        <w:t xml:space="preserve"> </w:t>
      </w:r>
      <w:r>
        <w:rPr/>
        <w:t xml:space="preserve">“Executable code actions elicit better LLM agents,”</w:t>
      </w:r>
      <w:r>
        <w:rPr/>
        <w:t xml:space="preserve"> </w:t>
      </w:r>
      <w:r>
        <w:rPr/>
        <w:t xml:space="preserve">Proc. ICML, PMLR, vol.235, pp.50208–50232, July 2024.</w:t>
      </w:r>
    </w:p>
    <w:p>
      <w:pPr>
        <w:pStyle w:val="af2"/>
      </w:pPr>
      <w:r/>
      <w:r>
        <w:tab/>
        <w:t>[3]</w:t>
        <w:tab/>
      </w:r>
      <w:r>
        <w:rPr/>
        <w:t xml:space="preserve">N. F. Liu, K. Lin, J. Hewitt, A. Paranjape, M. Bevilacqua, F. Petroni, and P. Liang,</w:t>
      </w:r>
      <w:r>
        <w:rPr/>
        <w:t xml:space="preserve"> </w:t>
      </w:r>
      <w:r>
        <w:rPr/>
        <w:t xml:space="preserve">“Lost in the middle: How language models use long contexts,”</w:t>
      </w:r>
      <w:r>
        <w:rPr/>
        <w:t xml:space="preserve"> </w:t>
      </w:r>
      <w:r>
        <w:rPr/>
        <w:t xml:space="preserve">Trans. ACL, vol.12, pp.157–173, 2024.</w:t>
      </w:r>
      <w:r>
        <w:rPr/>
        <w:t xml:space="preserve"> </w:t>
      </w:r>
      <w:r>
        <w:rPr/>
        <w:t xml:space="preserve">doi: 10.1162/tacl_a_00638.</w:t>
      </w:r>
    </w:p>
    <w:p>
      <w:pPr>
        <w:pStyle w:val="af2"/>
      </w:pPr>
      <w:r/>
      <w:r>
        <w:tab/>
        <w:t>[4]</w:t>
        <w:tab/>
      </w:r>
      <w:r>
        <w:rPr/>
        <w:t xml:space="preserve">H. Jiang, Q. Wu, C.-Y. Lin, Y. Yang, and L. Qiu,</w:t>
      </w:r>
      <w:r>
        <w:rPr/>
        <w:t xml:space="preserve"> </w:t>
      </w:r>
      <w:r>
        <w:rPr/>
        <w:t xml:space="preserve">“LLMLingua: Compressing prompts for accelerated inference of large language models,”</w:t>
      </w:r>
      <w:r>
        <w:rPr/>
        <w:t xml:space="preserve"> </w:t>
      </w:r>
      <w:r>
        <w:rPr/>
        <w:t xml:space="preserve">Proc. EMNLP, pp.13358–13376, Dec. 2023.</w:t>
      </w:r>
      <w:r>
        <w:rPr/>
        <w:t xml:space="preserve"> </w:t>
      </w:r>
      <w:r>
        <w:rPr/>
        <w:t xml:space="preserve">doi: 10.18653/v1/2023.emnlp-main.825.</w:t>
      </w:r>
    </w:p>
    <w:p>
      <w:pPr>
        <w:pStyle w:val="af2"/>
      </w:pPr>
      <w:r/>
      <w:r>
        <w:tab/>
        <w:t>[5]</w:t>
        <w:tab/>
      </w:r>
      <w:r>
        <w:rPr/>
        <w:t xml:space="preserve">Z. Pan, Q. Wu, H. Jiang, M. Xia, X. Luo, J. Zhang, Q. Lin, V. Rühle,</w:t>
      </w:r>
      <w:r>
        <w:rPr/>
        <w:t xml:space="preserve"> </w:t>
      </w:r>
      <w:r>
        <w:rPr/>
        <w:t xml:space="preserve">Y. Yang, C.-Y. Lin, H. V. Zhao, L. Qiu, and D. Zhang,</w:t>
      </w:r>
      <w:r>
        <w:rPr/>
        <w:t xml:space="preserve"> </w:t>
      </w:r>
      <w:r>
        <w:rPr/>
        <w:t xml:space="preserve">“LLMLingua-2: Data distillation for efficient and faithful task-agnostic prompt compression,”</w:t>
      </w:r>
      <w:r>
        <w:rPr/>
        <w:t xml:space="preserve"> </w:t>
      </w:r>
      <w:r>
        <w:rPr/>
        <w:t xml:space="preserve">Findings of ACL: ACL 2024, pp.963–981, Aug. 2024.</w:t>
      </w:r>
      <w:r>
        <w:rPr/>
        <w:t xml:space="preserve"> </w:t>
      </w:r>
      <w:r>
        <w:rPr/>
        <w:t xml:space="preserve">doi: 10.18653/v1/2024.findings-acl.57.</w:t>
      </w:r>
    </w:p>
    <w:p>
      <w:pPr>
        <w:pStyle w:val="af2"/>
      </w:pPr>
      <w:r/>
      <w:r>
        <w:tab/>
        <w:t>[6]</w:t>
        <w:tab/>
      </w:r>
      <w:r>
        <w:rPr/>
        <w:t xml:space="preserve">H. Jiang, Q. Wu, X. Luo, D. Li, C.-Y. Lin, Y. Yang, and L. Qiu,</w:t>
      </w:r>
      <w:r>
        <w:rPr/>
        <w:t xml:space="preserve"> </w:t>
      </w:r>
      <w:r>
        <w:rPr/>
        <w:t xml:space="preserve">“LongLLMLingua: Accelerating and enhancing LLMs in long context scenarios via prompt compression,”</w:t>
      </w:r>
      <w:r>
        <w:rPr/>
        <w:t xml:space="preserve"> </w:t>
      </w:r>
      <w:r>
        <w:rPr/>
        <w:t xml:space="preserve">Proc. ACL, vol.1, pp.1658–1677, Aug. 2024.</w:t>
      </w:r>
      <w:r>
        <w:rPr/>
        <w:t xml:space="preserve"> </w:t>
      </w:r>
      <w:r>
        <w:rPr/>
        <w:t xml:space="preserve">doi: 10.18653/v1/2024.acl-long.91.</w:t>
      </w:r>
    </w:p>
    <w:p>
      <w:pPr>
        <w:pStyle w:val="af2"/>
      </w:pPr>
      <w:r/>
      <w:r>
        <w:tab/>
        <w:t>[7]</w:t>
        <w:tab/>
      </w:r>
      <w:r>
        <w:rPr/>
        <w:t xml:space="preserve">M. Kang, W.-N. Chen, D. Han, H. A. Inan, L. Wutschitz, Y. Chen,</w:t>
      </w:r>
      <w:r>
        <w:rPr/>
        <w:t xml:space="preserve"> </w:t>
      </w:r>
      <w:r>
        <w:rPr/>
        <w:t xml:space="preserve">R. Sim, and S. Rajmohan,</w:t>
      </w:r>
      <w:r>
        <w:rPr/>
        <w:t xml:space="preserve"> </w:t>
      </w:r>
      <w:r>
        <w:rPr/>
        <w:t xml:space="preserve">“ACON: Optimizing context compression for long-horizon LLM agents,”</w:t>
      </w:r>
      <w:r>
        <w:rPr/>
        <w:t xml:space="preserve"> </w:t>
      </w:r>
      <w:r>
        <w:rPr/>
        <w:t xml:space="preserve">Proc. ICML, PMLR, vol.306, pp.55321–55375, July 2026.</w:t>
      </w:r>
    </w:p>
    <w:p>
      <w:pPr>
        <w:pStyle w:val="af2"/>
      </w:pPr>
      <w:r/>
      <w:r>
        <w:tab/>
        <w:t>[8]</w:t>
        <w:tab/>
      </w:r>
      <w:r>
        <w:rPr/>
        <w:t xml:space="preserve">B. Xu, Z. Xue, D. Chen, C. Fu, C. Wu, C. Huang, C. Jiang, J. Fang,</w:t>
      </w:r>
      <w:r>
        <w:rPr/>
        <w:t xml:space="preserve"> </w:t>
      </w:r>
      <w:r>
        <w:rPr/>
        <w:t xml:space="preserve">X. Deng, Y. Chen, Y. Yao, X. Wang, J. Shang, H. Chen, and N. Zhang,</w:t>
      </w:r>
      <w:r>
        <w:rPr/>
        <w:t xml:space="preserve"> </w:t>
      </w:r>
      <w:r>
        <w:rPr/>
        <w:t xml:space="preserve">“TokenPilot: Cache-efficient context management for LLM agents,”</w:t>
      </w:r>
      <w:r>
        <w:rPr/>
        <w:t xml:space="preserve"> </w:t>
      </w:r>
      <w:r>
        <w:rPr/>
        <w:t xml:space="preserve">Findings of ACL: EMNLP 2026, pp.19034–19049, Oct. 2026.</w:t>
      </w:r>
    </w:p>
    <w:p>
      <w:pPr>
        <w:pStyle w:val="af2"/>
      </w:pPr>
      <w:r/>
      <w:r>
        <w:tab/>
        <w:t>[9]</w:t>
        <w:tab/>
      </w:r>
      <w:r>
        <w:rPr/>
        <w:t xml:space="preserve">J. S. Park, J. O’Brien, C. J. Cai, M. R. Morris, P. Liang, and M. S. Bernstein,</w:t>
      </w:r>
      <w:r>
        <w:rPr/>
        <w:t xml:space="preserve"> </w:t>
      </w:r>
      <w:r>
        <w:rPr/>
        <w:t xml:space="preserve">“Generative agents: Interactive simulacra of human behavior,”</w:t>
      </w:r>
      <w:r>
        <w:rPr/>
        <w:t xml:space="preserve"> </w:t>
      </w:r>
      <w:r>
        <w:rPr/>
        <w:t xml:space="preserve">Proc. ACM UIST, article 2, pp.1–22, Oct. 2023.</w:t>
      </w:r>
      <w:r>
        <w:rPr/>
        <w:t xml:space="preserve"> </w:t>
      </w:r>
      <w:r>
        <w:rPr/>
        <w:t xml:space="preserve">doi: 10.1145/3586183.3606763.</w:t>
      </w:r>
    </w:p>
    <w:p>
      <w:pPr>
        <w:pStyle w:val="af2"/>
      </w:pPr>
      <w:r/>
      <w:r>
        <w:tab/>
        <w:t>[10]</w:t>
        <w:tab/>
      </w:r>
      <w:r>
        <w:rPr/>
        <w:t xml:space="preserve">N. Shinn, F. Cassano, A. Gopinath, K. Narasimhan, and S. Yao,</w:t>
      </w:r>
      <w:r>
        <w:rPr/>
        <w:t xml:space="preserve"> </w:t>
      </w:r>
      <w:r>
        <w:rPr/>
        <w:t xml:space="preserve">“Reflexion: Language agents with verbal reinforcement learning,”</w:t>
      </w:r>
      <w:r>
        <w:rPr/>
        <w:t xml:space="preserve"> </w:t>
      </w:r>
      <w:r>
        <w:rPr/>
        <w:t xml:space="preserve">Advances in Neural Information Processing Systems, vol.36, pp.8634–8652, 2023.</w:t>
      </w:r>
      <w:r>
        <w:rPr/>
        <w:t xml:space="preserve"> </w:t>
      </w:r>
      <w:r>
        <w:rPr/>
        <w:t xml:space="preserve">doi: 10.52202/075280-0377.</w:t>
      </w:r>
    </w:p>
    <w:p>
      <w:pPr>
        <w:pStyle w:val="af2"/>
      </w:pPr>
      <w:r/>
      <w:r>
        <w:tab/>
        <w:t>[11]</w:t>
        <w:tab/>
      </w:r>
      <w:r>
        <w:rPr/>
        <w:t xml:space="preserve">Q. Lu, L. Ding, S. Cao, X. Liu, K. Zhang, J. Zhang, and D. Tao,</w:t>
      </w:r>
      <w:r>
        <w:rPr/>
        <w:t xml:space="preserve"> </w:t>
      </w:r>
      <w:r>
        <w:rPr/>
        <w:t xml:space="preserve">“Runaway is ashamed, but helpful: On the early-exit behavior of large language model-based agents in embodied environments,”</w:t>
      </w:r>
      <w:r>
        <w:rPr/>
        <w:t xml:space="preserve"> </w:t>
      </w:r>
      <w:r>
        <w:rPr/>
        <w:t xml:space="preserve">Findings of ACL: EMNLP 2025, pp.24014–24027, Nov. 2025.</w:t>
      </w:r>
      <w:r>
        <w:rPr/>
        <w:t xml:space="preserve"> </w:t>
      </w:r>
      <w:r>
        <w:rPr/>
        <w:t xml:space="preserve">doi: 10.18653/v1/2025.findings-emnlp.1304.</w:t>
      </w:r>
    </w:p>
    <w:p>
      <w:pPr>
        <w:pStyle w:val="af2"/>
      </w:pPr>
      <w:r/>
      <w:r>
        <w:tab/>
        <w:t>[12]</w:t>
        <w:tab/>
      </w:r>
      <w:r>
        <w:rPr/>
        <w:t xml:space="preserve">H. Trivedi, T. Khot, M. Hartmann, R. Manku, V. Dong, E. Li, S. Gupta,</w:t>
      </w:r>
      <w:r>
        <w:rPr/>
        <w:t xml:space="preserve"> </w:t>
      </w:r>
      <w:r>
        <w:rPr/>
        <w:t xml:space="preserve">A. Sabharwal, and N. Balasubramanian,</w:t>
      </w:r>
      <w:r>
        <w:rPr/>
        <w:t xml:space="preserve"> </w:t>
      </w:r>
      <w:r>
        <w:rPr/>
        <w:t xml:space="preserve">“AppWorld: A controllable world of apps and people for benchmarking interactive coding agents,”</w:t>
      </w:r>
      <w:r>
        <w:rPr/>
        <w:t xml:space="preserve"> </w:t>
      </w:r>
      <w:r>
        <w:rPr/>
        <w:t xml:space="preserve">Proc. ACL, vol.1, pp.16022–16076, Aug. 2024.</w:t>
      </w:r>
      <w:r>
        <w:rPr/>
        <w:t xml:space="preserve"> </w:t>
      </w:r>
      <w:r>
        <w:rPr/>
        <w:t xml:space="preserve">doi: 10.18653/v1/2024.acl-long.850.</w:t>
      </w:r>
    </w:p>
    <w:p>
      <w:pPr>
        <w:pageBreakBefore/>
      </w:pPr>
      <w:r>
        <w:t>Abstract</w:t>
      </w:r>
    </w:p>
    <w:p>
      <w:pPr/>
      <w:r>
        <w:t>We separately evaluate controls that repeatedly summarize interaction history and judge completion from execution records. Counting all model calls, including summarization, we show that these controls can reduce token consumption from repeated history input or unnecessary post-completion generation while retaining success on known tasks.</w:t>
      </w:r>
    </w:p>
    <w:p>
      <w:pPr/>
      <w:r>
        <w:t>Key words: LLM agents, harness, history summarization, termination control, cost evaluation</w:t>
      </w:r>
    </w:p>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2" w:space="443"/>
      <w:docGrid w:type="linesAndChars" w:linePitch="26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46D4" w:rsidRDefault="00D646D4">
      <w:r>
        <w:separator/>
      </w:r>
    </w:p>
  </w:endnote>
  <w:endnote w:type="continuationSeparator" w:id="0">
    <w:p w:rsidR="00D646D4" w:rsidRDefault="00D64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a"/>
    </w:pPr>
    <w:r w:rsidRPr="004F3C80">
      <w:fldChar w:fldCharType="begin"/>
    </w:r>
    <w:r w:rsidRPr="004F3C80">
      <w:instrText xml:space="preserve"> PAGE </w:instrText>
    </w:r>
    <w:r w:rsidRPr="004F3C80">
      <w:fldChar w:fldCharType="separate"/>
    </w:r>
    <w:r w:rsidR="00CE4E2E">
      <w:rPr>
        <w:noProof/>
      </w:rPr>
      <w:t>4</w:t>
    </w:r>
    <w:r w:rsidRPr="004F3C80">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b"/>
      <w:ind w:right="170"/>
    </w:pPr>
    <w:r w:rsidRPr="004F3C80">
      <w:fldChar w:fldCharType="begin"/>
    </w:r>
    <w:r w:rsidRPr="004F3C80">
      <w:instrText xml:space="preserve"> PAGE </w:instrText>
    </w:r>
    <w:r w:rsidRPr="004F3C80">
      <w:fldChar w:fldCharType="separate"/>
    </w:r>
    <w:r w:rsidR="00CE4E2E">
      <w:rPr>
        <w:noProof/>
      </w:rPr>
      <w:t>5</w:t>
    </w:r>
    <w:r w:rsidRPr="004F3C80">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b"/>
      <w:ind w:right="170"/>
    </w:pPr>
    <w:r>
      <w:rPr>
        <w:rFonts w:hint="eastAsia"/>
        <w:lang w:eastAsia="zh-TW"/>
      </w:rPr>
      <w:t xml:space="preserve">電子情報通信学会論文誌　</w:t>
    </w:r>
    <w:r w:rsidR="00BD7DCC">
      <w:rPr>
        <w:rFonts w:hint="eastAsia"/>
      </w:rPr>
      <w:t>D</w:t>
    </w:r>
    <w:r>
      <w:rPr>
        <w:rFonts w:hint="eastAsia"/>
        <w:lang w:eastAsia="zh-TW"/>
      </w:rPr>
      <w:t xml:space="preserve">　</w:t>
    </w:r>
    <w:r>
      <w:rPr>
        <w:rFonts w:hint="eastAsia"/>
        <w:lang w:eastAsia="zh-TW"/>
      </w:rPr>
      <w:t xml:space="preserve">Vol. </w:t>
    </w:r>
    <w:r w:rsidR="00915B60">
      <w:rPr>
        <w:rFonts w:hint="eastAsia"/>
      </w:rPr>
      <w:t>J</w:t>
    </w:r>
    <w:r>
      <w:rPr>
        <w:rFonts w:hint="eastAsia"/>
      </w:rPr>
      <w:t>XXX-</w:t>
    </w:r>
    <w:r w:rsidR="00BD7DCC">
      <w:rPr>
        <w:rFonts w:hint="eastAsia"/>
      </w:rPr>
      <w:t>D</w:t>
    </w:r>
    <w:r>
      <w:rPr>
        <w:rFonts w:hint="eastAsia"/>
      </w:rPr>
      <w:t xml:space="preserve">　</w:t>
    </w:r>
    <w:r>
      <w:rPr>
        <w:rFonts w:hint="eastAsia"/>
      </w:rPr>
      <w:t>No. X</w:t>
    </w:r>
    <w:r>
      <w:rPr>
        <w:rFonts w:hint="eastAsia"/>
      </w:rPr>
      <w:t xml:space="preserve">　</w:t>
    </w:r>
    <w:r>
      <w:rPr>
        <w:rFonts w:hint="eastAsia"/>
      </w:rPr>
      <w:t>pp. XXX-XXX</w:t>
    </w:r>
    <w:r>
      <w:rPr>
        <w:rFonts w:hint="eastAsia"/>
      </w:rPr>
      <w:t xml:space="preserve">　</w:t>
    </w:r>
    <w:r w:rsidR="00915B60">
      <w:fldChar w:fldCharType="begin"/>
    </w:r>
    <w:r w:rsidR="00915B60">
      <w:instrText xml:space="preserve"> </w:instrText>
    </w:r>
    <w:r w:rsidR="00915B60">
      <w:rPr>
        <w:rFonts w:hint="eastAsia"/>
      </w:rPr>
      <w:instrText>eq \o\ac(</w:instrText>
    </w:r>
    <w:r w:rsidR="00915B60">
      <w:rPr>
        <w:rFonts w:hint="eastAsia"/>
      </w:rPr>
      <w:instrText>○</w:instrText>
    </w:r>
    <w:r w:rsidR="00915B60">
      <w:rPr>
        <w:rFonts w:hint="eastAsia"/>
      </w:rPr>
      <w:instrText>,</w:instrText>
    </w:r>
    <w:r w:rsidR="00915B60" w:rsidRPr="00915B60">
      <w:rPr>
        <w:rFonts w:hint="eastAsia"/>
        <w:position w:val="2"/>
        <w:sz w:val="11"/>
      </w:rPr>
      <w:instrText>C</w:instrText>
    </w:r>
    <w:r w:rsidR="00915B60">
      <w:rPr>
        <w:rFonts w:hint="eastAsia"/>
      </w:rPr>
      <w:instrText>)</w:instrText>
    </w:r>
    <w:r w:rsidR="00915B60">
      <w:fldChar w:fldCharType="end"/>
    </w:r>
    <w:r>
      <w:rPr>
        <w:rFonts w:ascii="ＭＳ ゴシック" w:hAnsi="ＭＳ ゴシック" w:hint="eastAsia"/>
      </w:rPr>
      <w:t xml:space="preserve">　</w:t>
    </w:r>
    <w:r w:rsidR="00915B60">
      <w:rPr>
        <w:rFonts w:ascii="ＭＳ ゴシック" w:hAnsi="ＭＳ ゴシック" w:hint="eastAsia"/>
      </w:rPr>
      <w:t xml:space="preserve">(社) </w:t>
    </w:r>
    <w:r>
      <w:rPr>
        <w:rFonts w:ascii="ＭＳ ゴシック" w:hAnsi="ＭＳ ゴシック" w:hint="eastAsia"/>
      </w:rPr>
      <w:t xml:space="preserve">電子情報通信学会XXXX　　　　</w:t>
    </w:r>
    <w:r w:rsidRPr="004F3C80">
      <w:fldChar w:fldCharType="begin"/>
    </w:r>
    <w:r w:rsidRPr="004F3C80">
      <w:instrText xml:space="preserve"> PAGE </w:instrText>
    </w:r>
    <w:r w:rsidRPr="004F3C80">
      <w:fldChar w:fldCharType="separate"/>
    </w:r>
    <w:r w:rsidR="00CE4E2E">
      <w:rPr>
        <w:noProof/>
      </w:rPr>
      <w:t>1</w:t>
    </w:r>
    <w:r w:rsidRPr="004F3C80">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46D4" w:rsidRDefault="00D646D4">
      <w:r>
        <w:separator/>
      </w:r>
    </w:p>
  </w:footnote>
  <w:footnote w:type="continuationSeparator" w:id="0">
    <w:p w:rsidR="00D646D4" w:rsidRDefault="00D646D4">
      <w:r>
        <w:continuationSeparator/>
      </w:r>
    </w:p>
  </w:footnote>
  <w:footnote w:id="20">
    <w:p>
      <w:pPr>
        <w:pStyle w:val="af2"/>
      </w:pPr>
      <w:r>
        <w:footnoteRef/>
      </w:r>
      <w:r>
        <w:t xml:space="preserve"> https://github.com/sophiria1225/AI-</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Default="00A50C1A" w:rsidP="00A52CDC">
    <w:pPr>
      <w:pStyle w:val="a8"/>
      <w:rPr>
        <w:lang w:eastAsia="zh-TW"/>
      </w:rPr>
    </w:pPr>
    <w:r>
      <w:rPr>
        <w:noProof/>
      </w:rPr>
      <mc:AlternateContent>
        <mc:Choice Requires="wps">
          <w:drawing>
            <wp:anchor distT="0" distB="0" distL="114300" distR="114300" simplePos="0" relativeHeight="251658752" behindDoc="0" locked="0" layoutInCell="0" allowOverlap="1">
              <wp:simplePos x="0" y="0"/>
              <wp:positionH relativeFrom="page">
                <wp:align>center</wp:align>
              </wp:positionH>
              <wp:positionV relativeFrom="page">
                <wp:posOffset>727075</wp:posOffset>
              </wp:positionV>
              <wp:extent cx="5471795" cy="0"/>
              <wp:effectExtent l="7620" t="6350" r="6985" b="1270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19282" id="Line 17" o:spid="_x0000_s1026" style="position:absolute;left:0;text-align:left;z-index:25165875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k/dEQIAACkEAAAOAAAAZHJzL2Uyb0RvYy54bWysU82O2yAQvlfqOyDuie2s82fFWVV20su2&#10;jbTbByCAY1QMCEicqOq7dyBxtLu9VFV9wDPMzDff/LB6PHcSnbh1QqsSZ+MUI66oZkIdSvz9ZTta&#10;YOQ8UYxIrXiJL9zhx/XHD6veFHyiWy0ZtwhAlCt6U+LWe1MkiaMt74gba8MVGBttO+JBtYeEWdID&#10;eieTSZrOkl5bZqym3Dm4ra9GvI74TcOp/9Y0jnskSwzcfDxtPPfhTNYrUhwsMa2gNxrkH1h0RChI&#10;eoeqiSfoaMUfUJ2gVjvd+DHVXaKbRlAea4BqsvRdNc8tMTzWAs1x5t4m9/9g6dfTziLBSvyAkSId&#10;jOhJKI6yeWhNb1wBHpXa2VAcPatn86TpD4eUrlqiDjxSfLkYiMtCRPImJCjOQIJ9/0Uz8CFHr2Of&#10;zo3tAiR0AJ3jOC73cfCzRxQup/k8my+nGNHBlpBiCDTW+c9cdygIJZZAOgKT05PzgQgpBpeQR+mt&#10;kDJOWyrUl3iZQonB4rQULBijYg/7Slp0ImFf4hereudm9VGxCNZywjY32RMhrzIklyrgQSlA5yZd&#10;F+LnMl1uFptFPsons80oT+t69Glb5aPZNptP64e6qursV6CW5UUrGOMqsBuWM8v/bvi3Z3Jdq/t6&#10;3tuQvEWP/QKywz+SjrMM47suwl6zy84OM4Z9jM63txMW/rUO8usXvv4NAAD//wMAUEsDBBQABgAI&#10;AAAAIQBh15193QAAAAgBAAAPAAAAZHJzL2Rvd25yZXYueG1sTI9BS8NAEIXvBf/DMoK3dpNSaxuz&#10;KbUgCCLS2ou3bXZMgtnZsLtpYn+9Iwh6nPceb76Xb0bbijP60DhSkM4SEEilMw1VCo5vj9MViBA1&#10;Gd06QgVfGGBTXE1ynRk30B7Ph1gJLqGQaQV1jF0mZShrtDrMXIfE3ofzVkc+fSWN1wOX21bOk2Qp&#10;rW6IP9S6w12N5eehtwr2F/lsF0/vLw/HznszvK4v/W6t1M31uL0HEXGMf2H4wWd0KJjp5HoyQbQK&#10;eEhkNV3cgmB7tUzvQJx+FVnk8v+A4hsAAP//AwBQSwECLQAUAAYACAAAACEAtoM4kv4AAADhAQAA&#10;EwAAAAAAAAAAAAAAAAAAAAAAW0NvbnRlbnRfVHlwZXNdLnhtbFBLAQItABQABgAIAAAAIQA4/SH/&#10;1gAAAJQBAAALAAAAAAAAAAAAAAAAAC8BAABfcmVscy8ucmVsc1BLAQItABQABgAIAAAAIQCWpk/d&#10;EQIAACkEAAAOAAAAAAAAAAAAAAAAAC4CAABkcnMvZTJvRG9jLnhtbFBLAQItABQABgAIAAAAIQBh&#10;15193QAAAAgBAAAPAAAAAAAAAAAAAAAAAGsEAABkcnMvZG93bnJldi54bWxQSwUGAAAAAAQABADz&#10;AAAAdQUAAAAA&#10;" o:allowincell="f" strokeweight=".71pt">
              <w10:wrap anchorx="page" anchory="page"/>
            </v:line>
          </w:pict>
        </mc:Fallback>
      </mc:AlternateContent>
    </w:r>
    <w:r w:rsidR="00AC6250">
      <w:rPr>
        <w:rFonts w:hint="eastAsia"/>
        <w:lang w:eastAsia="zh-TW"/>
      </w:rPr>
      <w:t>電子情報通信学会論文誌</w:t>
    </w:r>
    <w:r w:rsidR="005D31A0">
      <w:rPr>
        <w:rFonts w:hint="eastAsia"/>
        <w:lang w:eastAsia="zh-TW"/>
      </w:rPr>
      <w:t xml:space="preserve">　</w:t>
    </w:r>
    <w:r w:rsidR="00AC6250">
      <w:rPr>
        <w:rFonts w:hint="eastAsia"/>
        <w:lang w:eastAsia="zh-TW"/>
      </w:rPr>
      <w:t>XXXX/XX</w:t>
    </w:r>
    <w:r w:rsidR="005D31A0">
      <w:rPr>
        <w:rFonts w:hint="eastAsia"/>
        <w:lang w:eastAsia="zh-TW"/>
      </w:rPr>
      <w:t xml:space="preserve">　</w:t>
    </w:r>
    <w:r w:rsidR="00AC6250">
      <w:rPr>
        <w:rFonts w:hint="eastAsia"/>
        <w:lang w:eastAsia="zh-TW"/>
      </w:rPr>
      <w:t xml:space="preserve">Vol. </w:t>
    </w:r>
    <w:r w:rsidR="005D31A0">
      <w:rPr>
        <w:rFonts w:hint="eastAsia"/>
        <w:lang w:eastAsia="zh-TW"/>
      </w:rPr>
      <w:t>J</w:t>
    </w:r>
    <w:r w:rsidR="00AC6250">
      <w:rPr>
        <w:rFonts w:hint="eastAsia"/>
        <w:lang w:eastAsia="zh-TW"/>
      </w:rPr>
      <w:t>XX-</w:t>
    </w:r>
    <w:r w:rsidR="00BD7DCC">
      <w:rPr>
        <w:rFonts w:hint="eastAsia"/>
      </w:rPr>
      <w:t>D</w:t>
    </w:r>
    <w:r w:rsidR="005D31A0">
      <w:rPr>
        <w:rFonts w:hint="eastAsia"/>
        <w:lang w:eastAsia="zh-TW"/>
      </w:rPr>
      <w:t xml:space="preserve">　</w:t>
    </w:r>
    <w:r w:rsidR="00AC6250">
      <w:rPr>
        <w:rFonts w:hint="eastAsia"/>
        <w:lang w:eastAsia="zh-TW"/>
      </w:rPr>
      <w:t>No. 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A52CDC" w:rsidRDefault="00A50C1A" w:rsidP="00A52CDC">
    <w:pPr>
      <w:pStyle w:val="a9"/>
      <w:rPr>
        <w:noProof/>
      </w:rPr>
    </w:pPr>
    <w:r>
      <w:rPr>
        <w:rFonts w:hint="eastAsia"/>
        <w:noProof/>
      </w:rPr>
      <mc:AlternateContent>
        <mc:Choice Requires="wps">
          <w:drawing>
            <wp:anchor distT="0" distB="0" distL="114300" distR="114300" simplePos="0" relativeHeight="251657728" behindDoc="0" locked="0" layoutInCell="0" allowOverlap="1">
              <wp:simplePos x="0" y="0"/>
              <wp:positionH relativeFrom="page">
                <wp:align>center</wp:align>
              </wp:positionH>
              <wp:positionV relativeFrom="page">
                <wp:posOffset>727075</wp:posOffset>
              </wp:positionV>
              <wp:extent cx="5471795" cy="0"/>
              <wp:effectExtent l="6350" t="6350" r="8255" b="1270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9766D" id="Line 14" o:spid="_x0000_s1026" style="position:absolute;left:0;text-align:lef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8XE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EI0U6&#10;kOhZKI6yPLSmN66AiErtbCiOntWLedb0u0NKVy1RBx4pvl4M5GUhI3mTEjbOwAX7/rNmEEOOXsc+&#10;nRvbBUjoADpHOS53OfjZIwqH03yezZdTjOjgS0gxJBrr/CeuOxSMEksgHYHJ6dn5QIQUQ0i4R+mt&#10;kDKqLRXqS7xMs3lMcFoKFpwhzNnDvpIWnUiYl/jFqsDzGGb1UbEI1nLCNjfbEyGvNlwuVcCDUoDO&#10;zboOxI9lutwsNot8lE9mm1Ge1vXo47bKR7NtNp/WH+qqqrOfgVqWF61gjKvAbhjOLP878W/P5DpW&#10;9/G8tyF5ix77BWSHfyQdtQzyXQdhr9llZweNYR5j8O3thIF/3IP9+ML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ATn&#10;xcQTAgAAKQQAAA4AAAAAAAAAAAAAAAAALgIAAGRycy9lMm9Eb2MueG1sUEsBAi0AFAAGAAgAAAAh&#10;AGHXnX3dAAAACAEAAA8AAAAAAAAAAAAAAAAAbQQAAGRycy9kb3ducmV2LnhtbFBLBQYAAAAABAAE&#10;APMAAAB3BQAAAAA=&#10;" o:allowincell="f" strokeweight=".71pt">
              <w10:wrap anchorx="page" anchory="page"/>
            </v:line>
          </w:pict>
        </mc:Fallback>
      </mc:AlternateContent>
    </w:r>
    <w:r w:rsidR="00915B60">
      <w:rPr>
        <w:rFonts w:hint="eastAsia"/>
        <w:noProof/>
      </w:rPr>
      <w:t>研究速報</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305552" w:rsidRDefault="00A50C1A" w:rsidP="003A4365">
    <w:pPr>
      <w:pStyle w:val="af5"/>
      <w:rPr>
        <w:rStyle w:val="ae"/>
      </w:rPr>
    </w:pPr>
    <w:r w:rsidRPr="00305552">
      <w:rPr>
        <w:rStyle w:val="ae"/>
        <w:noProof/>
      </w:rPr>
      <mc:AlternateContent>
        <mc:Choice Requires="wps">
          <w:drawing>
            <wp:anchor distT="0" distB="0" distL="114300" distR="114300" simplePos="0" relativeHeight="251656704" behindDoc="1" locked="0" layoutInCell="1" allowOverlap="1">
              <wp:simplePos x="0" y="0"/>
              <wp:positionH relativeFrom="page">
                <wp:align>center</wp:align>
              </wp:positionH>
              <wp:positionV relativeFrom="page">
                <wp:posOffset>727075</wp:posOffset>
              </wp:positionV>
              <wp:extent cx="5471795" cy="0"/>
              <wp:effectExtent l="6350" t="6350" r="8255"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58C32" id="Line 13" o:spid="_x0000_s1026" style="position:absolute;left:0;text-align:left;z-index:-2516597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HN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ZQ9hdZ0xhUQsVI7G4qjZ/Vqtpp+d0jpVUPUgUeKbxcDeVnISN6lhI0zcMG++6IZxJCj17FP&#10;59q2ARI6gM5RjstdDn72iMLhOJ9m0/kYI9r7ElL0icY6/5nrFgWjxBJIR2By2jofiJCiDwn3KL0R&#10;Uka1pUJdiedpNo0JTkvBgjOEOXvYr6RFJxLmJX6xKvA8hll9VCyCNZyw9c32RMirDZdLFfCgFKBz&#10;s64D8WOeztez9Swf5KPJepCnVTX4tFnlg8kmm46rp2q1qrKfgVqWF41gjKvArh/OLP878W/P5DpW&#10;9/G8tyF5jx77BWT7fyQdtQzyXQdhr9llZ3uNYR5j8O3thIF/3IP9+MK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Etb&#10;kc0TAgAAKQQAAA4AAAAAAAAAAAAAAAAALgIAAGRycy9lMm9Eb2MueG1sUEsBAi0AFAAGAAgAAAAh&#10;AGHXnX3dAAAACAEAAA8AAAAAAAAAAAAAAAAAbQQAAGRycy9kb3ducmV2LnhtbFBLBQYAAAAABAAE&#10;APMAAAB3BQAAAAA=&#10;" strokeweight=".71pt">
              <w10:wrap anchorx="page" anchory="page"/>
            </v:line>
          </w:pict>
        </mc:Fallback>
      </mc:AlternateContent>
    </w:r>
    <w:r w:rsidR="00915B60">
      <w:rPr>
        <w:rStyle w:val="ae"/>
        <w:rFonts w:hint="eastAsia"/>
      </w:rPr>
      <w:t>研究速報</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activeWritingStyle w:appName="MSWord" w:lang="ja-JP" w:vendorID="64" w:dllVersion="131078" w:nlCheck="1" w:checkStyle="1"/>
  <w:activeWritingStyle w:appName="MSWord" w:lang="en-US" w:vendorID="64" w:dllVersion="131078" w:nlCheck="1" w:checkStyle="1"/>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evenAndOddHeaders/>
  <w:drawingGridHorizontalSpacing w:val="85"/>
  <w:drawingGridVerticalSpacing w:val="133"/>
  <w:displayHorizontalDrawingGridEvery w:val="0"/>
  <w:displayVerticalDrawingGridEvery w:val="2"/>
  <w:characterSpacingControl w:val="doNotCompress"/>
  <w:strictFirstAndLastChars/>
  <w:hdrShapeDefaults>
    <o:shapedefaults v:ext="edit" spidmax="1433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DCC"/>
    <w:rsid w:val="000168DB"/>
    <w:rsid w:val="00027540"/>
    <w:rsid w:val="00035B44"/>
    <w:rsid w:val="0009188A"/>
    <w:rsid w:val="000C183D"/>
    <w:rsid w:val="000E051F"/>
    <w:rsid w:val="000E1112"/>
    <w:rsid w:val="00114743"/>
    <w:rsid w:val="00117AB2"/>
    <w:rsid w:val="001209A2"/>
    <w:rsid w:val="001609F8"/>
    <w:rsid w:val="0017278B"/>
    <w:rsid w:val="001768CC"/>
    <w:rsid w:val="0018299A"/>
    <w:rsid w:val="0018404D"/>
    <w:rsid w:val="001A322D"/>
    <w:rsid w:val="001B2B7D"/>
    <w:rsid w:val="001C2503"/>
    <w:rsid w:val="001F10F5"/>
    <w:rsid w:val="00202718"/>
    <w:rsid w:val="002044B6"/>
    <w:rsid w:val="0025455D"/>
    <w:rsid w:val="002560AB"/>
    <w:rsid w:val="0027748C"/>
    <w:rsid w:val="002B532D"/>
    <w:rsid w:val="002C5E5A"/>
    <w:rsid w:val="002E418E"/>
    <w:rsid w:val="002F1132"/>
    <w:rsid w:val="00305552"/>
    <w:rsid w:val="003440CC"/>
    <w:rsid w:val="00390741"/>
    <w:rsid w:val="003A4365"/>
    <w:rsid w:val="003F6FA9"/>
    <w:rsid w:val="00426D8F"/>
    <w:rsid w:val="00461554"/>
    <w:rsid w:val="004B1171"/>
    <w:rsid w:val="004B3531"/>
    <w:rsid w:val="004E34AE"/>
    <w:rsid w:val="004F02EF"/>
    <w:rsid w:val="004F3C80"/>
    <w:rsid w:val="00516FF4"/>
    <w:rsid w:val="005478FF"/>
    <w:rsid w:val="005B4850"/>
    <w:rsid w:val="005B71D0"/>
    <w:rsid w:val="005B7B02"/>
    <w:rsid w:val="005C2311"/>
    <w:rsid w:val="005D31A0"/>
    <w:rsid w:val="005D63BE"/>
    <w:rsid w:val="005F79A6"/>
    <w:rsid w:val="0063301D"/>
    <w:rsid w:val="00651539"/>
    <w:rsid w:val="006627F7"/>
    <w:rsid w:val="00695796"/>
    <w:rsid w:val="006A2529"/>
    <w:rsid w:val="006B1A14"/>
    <w:rsid w:val="006D17FD"/>
    <w:rsid w:val="006D2AAF"/>
    <w:rsid w:val="006D6FEA"/>
    <w:rsid w:val="006E231F"/>
    <w:rsid w:val="006F052B"/>
    <w:rsid w:val="006F0D30"/>
    <w:rsid w:val="007425A9"/>
    <w:rsid w:val="00746004"/>
    <w:rsid w:val="00753A69"/>
    <w:rsid w:val="00782978"/>
    <w:rsid w:val="0079510B"/>
    <w:rsid w:val="007C21BF"/>
    <w:rsid w:val="007C575D"/>
    <w:rsid w:val="007D57C8"/>
    <w:rsid w:val="007D68EA"/>
    <w:rsid w:val="007F2AE6"/>
    <w:rsid w:val="00816A93"/>
    <w:rsid w:val="008335A0"/>
    <w:rsid w:val="008510FA"/>
    <w:rsid w:val="00853BE4"/>
    <w:rsid w:val="0086448B"/>
    <w:rsid w:val="008B1857"/>
    <w:rsid w:val="008E59EC"/>
    <w:rsid w:val="00915B60"/>
    <w:rsid w:val="009319FC"/>
    <w:rsid w:val="00931A4D"/>
    <w:rsid w:val="009854F3"/>
    <w:rsid w:val="0098742F"/>
    <w:rsid w:val="00987B42"/>
    <w:rsid w:val="00996B55"/>
    <w:rsid w:val="009B585D"/>
    <w:rsid w:val="009C24BA"/>
    <w:rsid w:val="009C2B65"/>
    <w:rsid w:val="009C77E4"/>
    <w:rsid w:val="00A01B74"/>
    <w:rsid w:val="00A01F96"/>
    <w:rsid w:val="00A50C1A"/>
    <w:rsid w:val="00A52CDC"/>
    <w:rsid w:val="00A53BBC"/>
    <w:rsid w:val="00A778A0"/>
    <w:rsid w:val="00AA40F4"/>
    <w:rsid w:val="00AC6250"/>
    <w:rsid w:val="00AD3F56"/>
    <w:rsid w:val="00B22AA0"/>
    <w:rsid w:val="00B243B9"/>
    <w:rsid w:val="00B439A7"/>
    <w:rsid w:val="00B7001D"/>
    <w:rsid w:val="00B951EA"/>
    <w:rsid w:val="00BC191D"/>
    <w:rsid w:val="00BD34B3"/>
    <w:rsid w:val="00BD7DCC"/>
    <w:rsid w:val="00C02BCB"/>
    <w:rsid w:val="00C0497D"/>
    <w:rsid w:val="00C13778"/>
    <w:rsid w:val="00C36DEA"/>
    <w:rsid w:val="00C459F9"/>
    <w:rsid w:val="00C65C9A"/>
    <w:rsid w:val="00C72D2C"/>
    <w:rsid w:val="00C8212E"/>
    <w:rsid w:val="00CE4E2E"/>
    <w:rsid w:val="00CF36C6"/>
    <w:rsid w:val="00D1744E"/>
    <w:rsid w:val="00D3012C"/>
    <w:rsid w:val="00D42C59"/>
    <w:rsid w:val="00D646D4"/>
    <w:rsid w:val="00D74C5B"/>
    <w:rsid w:val="00D80664"/>
    <w:rsid w:val="00D85328"/>
    <w:rsid w:val="00DC16A7"/>
    <w:rsid w:val="00E17F4C"/>
    <w:rsid w:val="00E24A2D"/>
    <w:rsid w:val="00EB44F6"/>
    <w:rsid w:val="00EC728F"/>
    <w:rsid w:val="00EF43D6"/>
    <w:rsid w:val="00F10043"/>
    <w:rsid w:val="00F3476B"/>
    <w:rsid w:val="00F47937"/>
    <w:rsid w:val="00F578A4"/>
    <w:rsid w:val="00F93419"/>
    <w:rsid w:val="00FB567C"/>
    <w:rsid w:val="00FC19DC"/>
    <w:rsid w:val="00FF41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v:textbox inset="5.85pt,.7pt,5.85pt,.7pt"/>
    </o:shapedefaults>
    <o:shapelayout v:ext="edit">
      <o:idmap v:ext="edit" data="1"/>
    </o:shapelayout>
  </w:shapeDefaults>
  <w:decimalSymbol w:val="."/>
  <w:listSeparator w:val=","/>
  <w15:chartTrackingRefBased/>
  <w15:docId w15:val="{ACDB7C70-B653-4343-A8FF-3D44A0513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1171"/>
    <w:pPr>
      <w:widowControl w:val="0"/>
      <w:jc w:val="both"/>
    </w:pPr>
    <w:rPr>
      <w:rFonts w:ascii="Times New Roman" w:hAnsi="Times New Roman"/>
      <w:kern w:val="2"/>
      <w:sz w:val="17"/>
      <w:szCs w:val="1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共通_一段組み"/>
    <w:basedOn w:val="a"/>
    <w:link w:val="a4"/>
    <w:rsid w:val="00E17F4C"/>
    <w:pPr>
      <w:ind w:left="794"/>
    </w:pPr>
  </w:style>
  <w:style w:type="character" w:customStyle="1" w:styleId="a4">
    <w:name w:val="共通_一段組み (文字) (文字)"/>
    <w:basedOn w:val="a0"/>
    <w:link w:val="a3"/>
    <w:rsid w:val="00461554"/>
    <w:rPr>
      <w:rFonts w:eastAsia="ＭＳ 明朝"/>
      <w:color w:val="0000FF"/>
      <w:kern w:val="2"/>
      <w:sz w:val="17"/>
      <w:szCs w:val="17"/>
      <w:lang w:val="en-US" w:eastAsia="ja-JP" w:bidi="ar-SA"/>
    </w:rPr>
  </w:style>
  <w:style w:type="paragraph" w:customStyle="1" w:styleId="a5">
    <w:name w:val="共通_本文"/>
    <w:basedOn w:val="a"/>
    <w:rsid w:val="0018299A"/>
    <w:pPr>
      <w:ind w:firstLineChars="100" w:firstLine="170"/>
    </w:pPr>
  </w:style>
  <w:style w:type="paragraph" w:styleId="a6">
    <w:name w:val="header"/>
    <w:basedOn w:val="a"/>
    <w:rsid w:val="005B4850"/>
    <w:pPr>
      <w:tabs>
        <w:tab w:val="center" w:pos="4252"/>
        <w:tab w:val="right" w:pos="8504"/>
      </w:tabs>
      <w:snapToGrid w:val="0"/>
    </w:pPr>
  </w:style>
  <w:style w:type="paragraph" w:styleId="a7">
    <w:name w:val="footer"/>
    <w:basedOn w:val="a"/>
    <w:rsid w:val="005B4850"/>
    <w:pPr>
      <w:tabs>
        <w:tab w:val="center" w:pos="4252"/>
        <w:tab w:val="right" w:pos="8504"/>
      </w:tabs>
      <w:snapToGrid w:val="0"/>
    </w:pPr>
  </w:style>
  <w:style w:type="paragraph" w:customStyle="1" w:styleId="a8">
    <w:name w:val="共通_柱（偶数頁）"/>
    <w:basedOn w:val="a"/>
    <w:rsid w:val="00A52CDC"/>
    <w:pPr>
      <w:jc w:val="right"/>
    </w:pPr>
    <w:rPr>
      <w:sz w:val="16"/>
      <w:szCs w:val="16"/>
    </w:rPr>
  </w:style>
  <w:style w:type="paragraph" w:customStyle="1" w:styleId="a9">
    <w:name w:val="共通_柱（奇数頁）"/>
    <w:basedOn w:val="a"/>
    <w:rsid w:val="00A52CDC"/>
    <w:rPr>
      <w:sz w:val="16"/>
      <w:szCs w:val="16"/>
    </w:rPr>
  </w:style>
  <w:style w:type="paragraph" w:customStyle="1" w:styleId="aa">
    <w:name w:val="共通_ノンブル（偶数頁）"/>
    <w:basedOn w:val="a"/>
    <w:rsid w:val="004F3C80"/>
    <w:pPr>
      <w:ind w:leftChars="100" w:left="170"/>
    </w:pPr>
    <w:rPr>
      <w:rFonts w:ascii="Arial" w:eastAsia="ＭＳ ゴシック" w:hAnsi="Arial"/>
      <w:sz w:val="16"/>
      <w:szCs w:val="16"/>
    </w:rPr>
  </w:style>
  <w:style w:type="paragraph" w:customStyle="1" w:styleId="ab">
    <w:name w:val="共通_ノンブル（奇数頁）"/>
    <w:basedOn w:val="a"/>
    <w:rsid w:val="004F3C80"/>
    <w:pPr>
      <w:ind w:rightChars="100" w:right="100"/>
      <w:jc w:val="right"/>
    </w:pPr>
    <w:rPr>
      <w:rFonts w:ascii="Arial" w:eastAsia="ＭＳ ゴシック" w:hAnsi="Arial"/>
      <w:sz w:val="16"/>
      <w:szCs w:val="16"/>
    </w:rPr>
  </w:style>
  <w:style w:type="character" w:styleId="ac">
    <w:name w:val="page number"/>
    <w:basedOn w:val="a0"/>
    <w:rsid w:val="004F3C80"/>
  </w:style>
  <w:style w:type="character" w:customStyle="1" w:styleId="ad">
    <w:name w:val="色"/>
    <w:rsid w:val="004B1171"/>
    <w:rPr>
      <w:color w:val="auto"/>
    </w:rPr>
  </w:style>
  <w:style w:type="character" w:customStyle="1" w:styleId="ae">
    <w:name w:val="背景色_白"/>
    <w:basedOn w:val="ad"/>
    <w:rsid w:val="00305552"/>
    <w:rPr>
      <w:color w:val="auto"/>
      <w:bdr w:val="none" w:sz="0" w:space="0" w:color="auto"/>
      <w:shd w:val="clear" w:color="auto" w:fill="FFFFFF"/>
    </w:rPr>
  </w:style>
  <w:style w:type="character" w:customStyle="1" w:styleId="af">
    <w:name w:val="ゴシック"/>
    <w:basedOn w:val="ad"/>
    <w:rsid w:val="00027540"/>
    <w:rPr>
      <w:rFonts w:ascii="Arial" w:eastAsia="ＭＳ ゴシック" w:hAnsi="Arial"/>
      <w:color w:val="auto"/>
    </w:rPr>
  </w:style>
  <w:style w:type="paragraph" w:customStyle="1" w:styleId="af0">
    <w:name w:val="共通_節見出し"/>
    <w:basedOn w:val="a"/>
    <w:next w:val="a5"/>
    <w:rsid w:val="00915B60"/>
    <w:pPr>
      <w:keepNext/>
      <w:ind w:leftChars="100" w:left="170"/>
    </w:pPr>
    <w:rPr>
      <w:rFonts w:ascii="Arial" w:eastAsia="ＭＳ ゴシック" w:hAnsi="Arial"/>
    </w:rPr>
  </w:style>
  <w:style w:type="paragraph" w:customStyle="1" w:styleId="af1">
    <w:name w:val="共通_文献見出し"/>
    <w:basedOn w:val="a"/>
    <w:rsid w:val="004F02EF"/>
    <w:pPr>
      <w:keepNext/>
      <w:jc w:val="center"/>
    </w:pPr>
    <w:rPr>
      <w:rFonts w:ascii="Arial" w:eastAsia="ＭＳ ゴシック" w:hAnsi="Arial"/>
    </w:rPr>
  </w:style>
  <w:style w:type="paragraph" w:customStyle="1" w:styleId="af2">
    <w:name w:val="共通_文献"/>
    <w:basedOn w:val="a"/>
    <w:rsid w:val="00816A93"/>
    <w:pPr>
      <w:tabs>
        <w:tab w:val="right" w:pos="280"/>
        <w:tab w:val="left" w:pos="420"/>
      </w:tabs>
      <w:spacing w:line="216" w:lineRule="exact"/>
      <w:ind w:left="420" w:hanging="420"/>
    </w:pPr>
    <w:rPr>
      <w:sz w:val="14"/>
      <w:szCs w:val="14"/>
    </w:rPr>
  </w:style>
  <w:style w:type="paragraph" w:customStyle="1" w:styleId="af3">
    <w:name w:val="共通_著者紹介名前"/>
    <w:basedOn w:val="a"/>
    <w:rsid w:val="00BD34B3"/>
    <w:pPr>
      <w:keepNext/>
      <w:spacing w:after="94" w:line="170" w:lineRule="exact"/>
    </w:pPr>
    <w:rPr>
      <w:rFonts w:ascii="Arial" w:eastAsia="ＭＳ ゴシック" w:hAnsi="Arial"/>
    </w:rPr>
  </w:style>
  <w:style w:type="paragraph" w:customStyle="1" w:styleId="af4">
    <w:name w:val="共通_著者紹介"/>
    <w:basedOn w:val="af2"/>
    <w:rsid w:val="00F578A4"/>
    <w:pPr>
      <w:ind w:left="0" w:firstLineChars="100" w:firstLine="140"/>
    </w:pPr>
  </w:style>
  <w:style w:type="paragraph" w:customStyle="1" w:styleId="af5">
    <w:name w:val="研究速報_原稿種"/>
    <w:basedOn w:val="a"/>
    <w:rsid w:val="00915B60"/>
    <w:pPr>
      <w:spacing w:line="520" w:lineRule="exact"/>
    </w:pPr>
    <w:rPr>
      <w:b/>
      <w:w w:val="133"/>
      <w:sz w:val="22"/>
      <w:szCs w:val="22"/>
    </w:rPr>
  </w:style>
  <w:style w:type="paragraph" w:customStyle="1" w:styleId="af6">
    <w:name w:val="研究速報_タイトル（和）"/>
    <w:basedOn w:val="a"/>
    <w:rsid w:val="008335A0"/>
    <w:rPr>
      <w:rFonts w:ascii="Arial" w:eastAsia="ＭＳ ゴシック" w:hAnsi="Arial"/>
    </w:rPr>
  </w:style>
  <w:style w:type="paragraph" w:customStyle="1" w:styleId="af7">
    <w:name w:val="研究速報_著者名（和）"/>
    <w:basedOn w:val="a"/>
    <w:rsid w:val="008335A0"/>
    <w:rPr>
      <w:sz w:val="16"/>
      <w:szCs w:val="16"/>
    </w:rPr>
  </w:style>
  <w:style w:type="paragraph" w:customStyle="1" w:styleId="af8">
    <w:name w:val="研究速報_タイトル（英）"/>
    <w:basedOn w:val="a"/>
    <w:rsid w:val="0086448B"/>
    <w:pPr>
      <w:spacing w:before="40" w:line="180" w:lineRule="exact"/>
    </w:pPr>
    <w:rPr>
      <w:sz w:val="12"/>
      <w:szCs w:val="12"/>
    </w:rPr>
  </w:style>
  <w:style w:type="paragraph" w:customStyle="1" w:styleId="af9">
    <w:name w:val="研究速報_著者名（英）"/>
    <w:basedOn w:val="a"/>
    <w:rsid w:val="0086448B"/>
    <w:pPr>
      <w:pBdr>
        <w:bottom w:val="single" w:sz="2" w:space="1" w:color="auto"/>
      </w:pBdr>
      <w:spacing w:before="40" w:line="180" w:lineRule="exact"/>
    </w:pPr>
    <w:rPr>
      <w:sz w:val="12"/>
      <w:szCs w:val="12"/>
    </w:rPr>
  </w:style>
  <w:style w:type="paragraph" w:customStyle="1" w:styleId="afa">
    <w:name w:val="研究速報_所属"/>
    <w:basedOn w:val="a"/>
    <w:rsid w:val="00987B42"/>
    <w:pPr>
      <w:tabs>
        <w:tab w:val="right" w:pos="180"/>
      </w:tabs>
      <w:spacing w:line="180" w:lineRule="exact"/>
      <w:ind w:left="240" w:hanging="240"/>
    </w:pPr>
    <w:rPr>
      <w:sz w:val="12"/>
      <w:szCs w:val="12"/>
    </w:rPr>
  </w:style>
  <w:style w:type="paragraph" w:customStyle="1" w:styleId="afb">
    <w:name w:val="研究速報_見出し"/>
    <w:basedOn w:val="a"/>
    <w:rsid w:val="005F79A6"/>
    <w:pPr>
      <w:keepNext/>
      <w:ind w:leftChars="100" w:left="170"/>
    </w:pPr>
    <w:rPr>
      <w:rFonts w:ascii="Arial" w:eastAsia="ＭＳ ゴシック" w:hAnsi="Arial"/>
    </w:rPr>
  </w:style>
  <w:style w:type="paragraph" w:customStyle="1" w:styleId="afc">
    <w:name w:val="共通_終わり"/>
    <w:basedOn w:val="a"/>
    <w:rsid w:val="00C65C9A"/>
    <w:pPr>
      <w:spacing w:line="20" w:lineRule="exact"/>
    </w:pPr>
    <w:rPr>
      <w:sz w:val="2"/>
      <w:szCs w:val="2"/>
    </w:rPr>
  </w:style>
  <w:style w:type="paragraph" w:customStyle="1" w:styleId="afd">
    <w:name w:val="共通_キャプション"/>
    <w:basedOn w:val="a"/>
    <w:rsid w:val="00FB567C"/>
    <w:pPr>
      <w:spacing w:line="184" w:lineRule="exact"/>
      <w:jc w:val="center"/>
    </w:pPr>
    <w:rPr>
      <w:sz w:val="14"/>
      <w:szCs w:val="14"/>
    </w:rPr>
  </w:style>
  <w:style w:type="paragraph" w:customStyle="1" w:styleId="afe">
    <w:name w:val="共通_項見出し"/>
    <w:basedOn w:val="a"/>
    <w:next w:val="a5"/>
    <w:rsid w:val="00F3476B"/>
    <w:pPr>
      <w:keepNext/>
      <w:ind w:leftChars="100" w:left="170"/>
    </w:pPr>
    <w:rPr>
      <w:rFonts w:ascii="Arial" w:eastAsia="ＭＳ ゴシック" w:hAnsi="Arial"/>
    </w:rPr>
  </w:style>
  <w:style w:type="paragraph" w:customStyle="1" w:styleId="aff">
    <w:name w:val="共通_綱見出し"/>
    <w:basedOn w:val="a"/>
    <w:next w:val="a5"/>
    <w:rsid w:val="007D68EA"/>
    <w:pPr>
      <w:keepNext/>
      <w:ind w:leftChars="100" w:left="170"/>
    </w:pPr>
    <w:rPr>
      <w:lang w:eastAsia="zh-CN"/>
    </w:rPr>
  </w:style>
  <w:style w:type="character" w:customStyle="1" w:styleId="2">
    <w:name w:val="共通_2倍"/>
    <w:basedOn w:val="a0"/>
    <w:rsid w:val="0009188A"/>
    <w:rPr>
      <w:w w:val="200"/>
    </w:rPr>
  </w:style>
  <w:style w:type="character" w:customStyle="1" w:styleId="aff0">
    <w:name w:val="共通_上付き"/>
    <w:basedOn w:val="a0"/>
    <w:rsid w:val="0009188A"/>
    <w:rPr>
      <w:vertAlign w:val="superscript"/>
    </w:rPr>
  </w:style>
  <w:style w:type="paragraph" w:customStyle="1" w:styleId="65pt0mm26025pt">
    <w:name w:val="スタイル 6.5 pt 左 :  0 mm ぶら下げインデント :  2.6 字 上揃え: (細線  0.25 pt 線幅..."/>
    <w:basedOn w:val="a"/>
    <w:rsid w:val="006627F7"/>
    <w:pPr>
      <w:pBdr>
        <w:top w:val="single" w:sz="2" w:space="2" w:color="000000"/>
      </w:pBdr>
      <w:shd w:val="solid" w:color="FFFFFF" w:fill="FFFFFF"/>
      <w:tabs>
        <w:tab w:val="right" w:pos="227"/>
      </w:tabs>
      <w:spacing w:line="176" w:lineRule="exact"/>
      <w:ind w:left="260" w:hanging="260"/>
    </w:pPr>
    <w:rPr>
      <w:rFonts w:cs="ＭＳ 明朝"/>
      <w:sz w:val="13"/>
      <w:szCs w:val="20"/>
    </w:rPr>
  </w:style>
  <w:style w:type="paragraph" w:customStyle="1" w:styleId="aff1">
    <w:name w:val="共通_付録見出し"/>
    <w:basedOn w:val="a"/>
    <w:rsid w:val="006D2AAF"/>
    <w:pPr>
      <w:spacing w:beforeLines="50" w:before="133" w:afterLines="50" w:after="133"/>
      <w:jc w:val="center"/>
    </w:pPr>
    <w:rPr>
      <w:rFonts w:ascii="Arial" w:eastAsia="ＭＳ ゴシック" w:hAnsi="Arial"/>
      <w:sz w:val="20"/>
      <w:szCs w:val="20"/>
      <w:lang w:eastAsia="zh-TW"/>
    </w:rPr>
  </w:style>
  <w:style w:type="paragraph" w:customStyle="1" w:styleId="aff2">
    <w:name w:val="共通_図"/>
    <w:basedOn w:val="a"/>
    <w:rsid w:val="00915B60"/>
    <w:pPr>
      <w:keepNext/>
      <w:spacing w:beforeLines="100" w:before="266"/>
      <w:jc w:val="center"/>
    </w:pPr>
    <w:rPr>
      <w:rFonts w:ascii="ＭＳ 明朝" w:hAnsi="ＭＳ 明朝"/>
      <w:sz w:val="20"/>
      <w:szCs w:val="20"/>
    </w:rPr>
  </w:style>
  <w:style w:type="table" w:styleId="aff3">
    <w:name w:val="Table Grid"/>
    <w:basedOn w:val="a1"/>
    <w:rsid w:val="00D74C5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2950</Words>
  <Characters>1375</Characters>
  <Application>Microsoft Office Word</Application>
  <DocSecurity>0</DocSecurity>
  <Lines>11</Lines>
  <Paragraphs>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IEICE_JP_Template</vt:lpstr>
      <vt:lpstr>IEICE_JP_Template</vt:lpstr>
    </vt:vector>
  </TitlesOfParts>
  <Company>Jat Co.,Ltd.</Company>
  <LinksUpToDate>false</LinksUpToDate>
  <CharactersWithSpaces>4317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LLMエージェントの履歴要約と終了制御による実行費用の評価</dc:title>
  <dc:subject>IEICE Japanese D letter; official template based editable manuscript</dc:subject>
  <dc:creator>著者未設定</dc:creator>
  <cp:keywords/>
  <dc:description/>
  <cp:lastModifiedBy/>
  <cp:revision>3</cp:revision>
  <dcterms:created xsi:type="dcterms:W3CDTF">2026-10-28T21:10:00Z</dcterms:created>
  <dcterms:modified xsi:type="dcterms:W3CDTF">2026-10-28T21:10:00Z</dcterms:modified>
</cp:coreProperties>
</file>