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1001E4" w14:textId="24862D4F" w:rsidR="00257528" w:rsidRDefault="00262EF8" w:rsidP="00262EF8">
      <w:pPr>
        <w:spacing w:line="276" w:lineRule="auto"/>
      </w:pPr>
      <w:r>
        <w:t>Project Part 3: PLS Regression Results Report</w:t>
      </w:r>
    </w:p>
    <w:p w14:paraId="664F41B5" w14:textId="653CDEA6" w:rsidR="00262EF8" w:rsidRDefault="00262EF8" w:rsidP="00262EF8">
      <w:pPr>
        <w:spacing w:line="276" w:lineRule="auto"/>
      </w:pPr>
      <w:r w:rsidRPr="00262EF8">
        <w:rPr>
          <w:b/>
          <w:bCs/>
        </w:rPr>
        <w:t>Students:</w:t>
      </w:r>
      <w:r>
        <w:t xml:space="preserve"> Bahadır Bagci, Hassan Majeed, Zoheb Rahman</w:t>
      </w:r>
    </w:p>
    <w:p w14:paraId="220211F7" w14:textId="77777777" w:rsidR="00262EF8" w:rsidRDefault="00262EF8" w:rsidP="00262EF8">
      <w:pPr>
        <w:spacing w:line="276" w:lineRule="auto"/>
      </w:pPr>
      <w:r w:rsidRPr="00262EF8">
        <w:rPr>
          <w:b/>
          <w:bCs/>
        </w:rPr>
        <w:t>Team Name:</w:t>
      </w:r>
      <w:r>
        <w:rPr>
          <w:b/>
          <w:bCs/>
        </w:rPr>
        <w:t xml:space="preserve"> </w:t>
      </w:r>
      <w:r>
        <w:t>Spectral Data Soft Sensor (B)</w:t>
      </w:r>
    </w:p>
    <w:p w14:paraId="47E4DDA2" w14:textId="77777777" w:rsidR="00262EF8" w:rsidRDefault="00262EF8" w:rsidP="00262EF8">
      <w:pPr>
        <w:spacing w:line="276" w:lineRule="auto"/>
      </w:pPr>
    </w:p>
    <w:p w14:paraId="0BE6A080" w14:textId="77777777" w:rsidR="00262EF8" w:rsidRPr="00310ABA" w:rsidRDefault="00262EF8" w:rsidP="00262EF8">
      <w:pPr>
        <w:spacing w:line="276" w:lineRule="auto"/>
        <w:rPr>
          <w:b/>
          <w:bCs/>
        </w:rPr>
      </w:pPr>
      <w:r w:rsidRPr="00310ABA">
        <w:rPr>
          <w:b/>
          <w:bCs/>
        </w:rPr>
        <w:t>1. Introduction</w:t>
      </w:r>
    </w:p>
    <w:p w14:paraId="61EEF8DA" w14:textId="3A4E1B4C" w:rsidR="00262EF8" w:rsidRDefault="00262EF8" w:rsidP="00262EF8">
      <w:pPr>
        <w:spacing w:line="276" w:lineRule="auto"/>
      </w:pPr>
      <w:r w:rsidRPr="00262EF8">
        <w:rPr>
          <w:b/>
          <w:bCs/>
        </w:rPr>
        <w:t xml:space="preserve"> </w:t>
      </w:r>
      <w:r>
        <w:t xml:space="preserve">In the earlier submissions of report, we discussed about the data exploration techniques, Principal Component Analysis, data preprocessing steps including data filtering, data standardisation, data modelling steps. This submission will discuss about the results of the PLS regression run to predict five </w:t>
      </w:r>
      <w:r w:rsidR="00205969">
        <w:t>traits:</w:t>
      </w:r>
      <w:r>
        <w:t xml:space="preserve"> Leaf Mass per Area </w:t>
      </w:r>
      <m:oMath>
        <m:r>
          <w:rPr>
            <w:rFonts w:ascii="Cambria Math" w:hAnsi="Cambria Math"/>
          </w:rPr>
          <m:t>(g/</m:t>
        </m:r>
        <m:sSup>
          <m:sSupPr>
            <m:ctrlPr>
              <w:rPr>
                <w:rFonts w:ascii="Cambria Math" w:eastAsiaTheme="minorHAnsi" w:hAnsi="Cambria Math" w:cstheme="minorBidi"/>
                <w:i/>
                <w:kern w:val="2"/>
                <w:lang w:val="en-GB" w:eastAsia="en-US"/>
                <w14:ligatures w14:val="standardContextual"/>
              </w:rPr>
            </m:ctrlPr>
          </m:sSupPr>
          <m:e>
            <m:r>
              <w:rPr>
                <w:rFonts w:ascii="Cambria Math" w:hAnsi="Cambria Math"/>
              </w:rPr>
              <m:t>m</m:t>
            </m:r>
          </m:e>
          <m:sup>
            <m:r>
              <w:rPr>
                <w:rFonts w:ascii="Cambria Math" w:hAnsi="Cambria Math"/>
              </w:rPr>
              <m:t>2</m:t>
            </m:r>
          </m:sup>
        </m:sSup>
        <m:r>
          <w:rPr>
            <w:rFonts w:ascii="Cambria Math" w:hAnsi="Cambria Math"/>
          </w:rPr>
          <m:t>)</m:t>
        </m:r>
      </m:oMath>
      <w:r>
        <w:t>, Nitrogen Content</w:t>
      </w:r>
      <w:r w:rsidR="00205969">
        <w:t xml:space="preserve"> </w:t>
      </w:r>
      <m:oMath>
        <m:r>
          <w:rPr>
            <w:rFonts w:ascii="Cambria Math" w:hAnsi="Cambria Math"/>
          </w:rPr>
          <m:t>(</m:t>
        </m:r>
        <m:r>
          <w:rPr>
            <w:rFonts w:ascii="Cambria Math" w:hAnsi="Cambria Math"/>
          </w:rPr>
          <m:t>mg</m:t>
        </m:r>
        <m:r>
          <w:rPr>
            <w:rFonts w:ascii="Cambria Math" w:hAnsi="Cambria Math"/>
          </w:rPr>
          <m:t>/</m:t>
        </m:r>
        <m:sSup>
          <m:sSupPr>
            <m:ctrlPr>
              <w:rPr>
                <w:rFonts w:ascii="Cambria Math" w:eastAsiaTheme="minorHAnsi" w:hAnsi="Cambria Math" w:cstheme="minorBidi"/>
                <w:i/>
                <w:kern w:val="2"/>
                <w:lang w:val="en-GB" w:eastAsia="en-US"/>
                <w14:ligatures w14:val="standardContextual"/>
              </w:rPr>
            </m:ctrlPr>
          </m:sSupPr>
          <m:e>
            <m:r>
              <w:rPr>
                <w:rFonts w:ascii="Cambria Math" w:hAnsi="Cambria Math"/>
              </w:rPr>
              <m:t>c</m:t>
            </m:r>
            <m:r>
              <w:rPr>
                <w:rFonts w:ascii="Cambria Math" w:hAnsi="Cambria Math"/>
              </w:rPr>
              <m:t>m</m:t>
            </m:r>
          </m:e>
          <m:sup>
            <m:r>
              <w:rPr>
                <w:rFonts w:ascii="Cambria Math" w:hAnsi="Cambria Math"/>
              </w:rPr>
              <m:t>2</m:t>
            </m:r>
          </m:sup>
        </m:sSup>
        <m:r>
          <w:rPr>
            <w:rFonts w:ascii="Cambria Math" w:hAnsi="Cambria Math"/>
          </w:rPr>
          <m:t>)</m:t>
        </m:r>
      </m:oMath>
      <w:r>
        <w:t xml:space="preserve">, </w:t>
      </w:r>
      <w:r w:rsidR="00205969">
        <w:t xml:space="preserve">Carbon Content </w:t>
      </w:r>
      <m:oMath>
        <m:r>
          <w:rPr>
            <w:rFonts w:ascii="Cambria Math" w:hAnsi="Cambria Math"/>
          </w:rPr>
          <m:t>(</m:t>
        </m:r>
        <m:r>
          <w:rPr>
            <w:rFonts w:ascii="Cambria Math" w:hAnsi="Cambria Math"/>
          </w:rPr>
          <m:t>m</m:t>
        </m:r>
        <m:r>
          <w:rPr>
            <w:rFonts w:ascii="Cambria Math" w:hAnsi="Cambria Math"/>
          </w:rPr>
          <m:t>g/</m:t>
        </m:r>
        <m:r>
          <w:rPr>
            <w:rFonts w:ascii="Cambria Math" w:hAnsi="Cambria Math"/>
          </w:rPr>
          <m:t>c</m:t>
        </m:r>
        <m:sSup>
          <m:sSupPr>
            <m:ctrlPr>
              <w:rPr>
                <w:rFonts w:ascii="Cambria Math" w:eastAsiaTheme="minorHAnsi" w:hAnsi="Cambria Math" w:cstheme="minorBidi"/>
                <w:i/>
                <w:kern w:val="2"/>
                <w:lang w:val="en-GB" w:eastAsia="en-US"/>
                <w14:ligatures w14:val="standardContextual"/>
              </w:rPr>
            </m:ctrlPr>
          </m:sSupPr>
          <m:e>
            <m:r>
              <w:rPr>
                <w:rFonts w:ascii="Cambria Math" w:hAnsi="Cambria Math"/>
              </w:rPr>
              <m:t>m</m:t>
            </m:r>
          </m:e>
          <m:sup>
            <m:r>
              <w:rPr>
                <w:rFonts w:ascii="Cambria Math" w:hAnsi="Cambria Math"/>
              </w:rPr>
              <m:t>2</m:t>
            </m:r>
          </m:sup>
        </m:sSup>
        <m:r>
          <w:rPr>
            <w:rFonts w:ascii="Cambria Math" w:hAnsi="Cambria Math"/>
          </w:rPr>
          <m:t>)</m:t>
        </m:r>
      </m:oMath>
      <w:r w:rsidR="00205969">
        <w:rPr>
          <w:rFonts w:eastAsiaTheme="minorEastAsia"/>
        </w:rPr>
        <w:t xml:space="preserve">, Chlorophyll Content </w:t>
      </w:r>
      <m:oMath>
        <m:r>
          <w:rPr>
            <w:rFonts w:ascii="Cambria Math" w:hAnsi="Cambria Math"/>
          </w:rPr>
          <m:t>(</m:t>
        </m:r>
        <m:r>
          <w:rPr>
            <w:rFonts w:ascii="Cambria Math" w:hAnsi="Cambria Math"/>
          </w:rPr>
          <m:t>μ</m:t>
        </m:r>
        <m:r>
          <w:rPr>
            <w:rFonts w:ascii="Cambria Math" w:hAnsi="Cambria Math"/>
          </w:rPr>
          <m:t>g/</m:t>
        </m:r>
        <m:sSup>
          <m:sSupPr>
            <m:ctrlPr>
              <w:rPr>
                <w:rFonts w:ascii="Cambria Math" w:eastAsiaTheme="minorHAnsi" w:hAnsi="Cambria Math" w:cstheme="minorBidi"/>
                <w:i/>
                <w:kern w:val="2"/>
                <w:lang w:val="en-GB" w:eastAsia="en-US"/>
                <w14:ligatures w14:val="standardContextual"/>
              </w:rPr>
            </m:ctrlPr>
          </m:sSupPr>
          <m:e>
            <m:r>
              <w:rPr>
                <w:rFonts w:ascii="Cambria Math" w:hAnsi="Cambria Math"/>
              </w:rPr>
              <m:t>m</m:t>
            </m:r>
          </m:e>
          <m:sup>
            <m:r>
              <w:rPr>
                <w:rFonts w:ascii="Cambria Math" w:hAnsi="Cambria Math"/>
              </w:rPr>
              <m:t>2</m:t>
            </m:r>
          </m:sup>
        </m:sSup>
        <m:r>
          <w:rPr>
            <w:rFonts w:ascii="Cambria Math" w:hAnsi="Cambria Math"/>
          </w:rPr>
          <m:t>)</m:t>
        </m:r>
      </m:oMath>
      <w:r w:rsidR="00205969">
        <w:rPr>
          <w:rFonts w:eastAsiaTheme="minorEastAsia"/>
        </w:rPr>
        <w:t xml:space="preserve">, Equivalent Water Thickness </w:t>
      </w:r>
      <m:oMath>
        <m:r>
          <w:rPr>
            <w:rFonts w:ascii="Cambria Math" w:hAnsi="Cambria Math"/>
          </w:rPr>
          <m:t>(mg/</m:t>
        </m:r>
        <m:sSup>
          <m:sSupPr>
            <m:ctrlPr>
              <w:rPr>
                <w:rFonts w:ascii="Cambria Math" w:eastAsiaTheme="minorHAnsi" w:hAnsi="Cambria Math" w:cstheme="minorBidi"/>
                <w:i/>
                <w:kern w:val="2"/>
                <w:lang w:val="en-GB" w:eastAsia="en-US"/>
                <w14:ligatures w14:val="standardContextual"/>
              </w:rPr>
            </m:ctrlPr>
          </m:sSupPr>
          <m:e>
            <m:r>
              <w:rPr>
                <w:rFonts w:ascii="Cambria Math" w:hAnsi="Cambria Math"/>
              </w:rPr>
              <m:t>cm</m:t>
            </m:r>
          </m:e>
          <m:sup>
            <m:r>
              <w:rPr>
                <w:rFonts w:ascii="Cambria Math" w:hAnsi="Cambria Math"/>
              </w:rPr>
              <m:t>2</m:t>
            </m:r>
          </m:sup>
        </m:sSup>
        <m:r>
          <w:rPr>
            <w:rFonts w:ascii="Cambria Math" w:hAnsi="Cambria Math"/>
          </w:rPr>
          <m:t>)</m:t>
        </m:r>
      </m:oMath>
      <w:r w:rsidR="00205969">
        <w:t>,</w:t>
      </w:r>
      <w:r w:rsidR="00205969">
        <w:t xml:space="preserve"> all of which were chosen based on number of lowest missing values.</w:t>
      </w:r>
    </w:p>
    <w:p w14:paraId="7CD6A7BC" w14:textId="77777777" w:rsidR="00205969" w:rsidRDefault="00205969" w:rsidP="00262EF8">
      <w:pPr>
        <w:spacing w:line="276" w:lineRule="auto"/>
      </w:pPr>
    </w:p>
    <w:p w14:paraId="03DA568C" w14:textId="53A3266B" w:rsidR="00205969" w:rsidRPr="00310ABA" w:rsidRDefault="00205969" w:rsidP="00262EF8">
      <w:pPr>
        <w:spacing w:line="276" w:lineRule="auto"/>
        <w:rPr>
          <w:b/>
          <w:bCs/>
        </w:rPr>
      </w:pPr>
      <w:r w:rsidRPr="00310ABA">
        <w:rPr>
          <w:b/>
          <w:bCs/>
        </w:rPr>
        <w:t>2. M</w:t>
      </w:r>
      <w:r w:rsidR="00310ABA" w:rsidRPr="00310ABA">
        <w:rPr>
          <w:b/>
          <w:bCs/>
        </w:rPr>
        <w:t>odelling and Results</w:t>
      </w:r>
    </w:p>
    <w:p w14:paraId="0F50714A" w14:textId="77777777" w:rsidR="009878C1" w:rsidRDefault="009878C1" w:rsidP="00262EF8">
      <w:pPr>
        <w:spacing w:line="276" w:lineRule="auto"/>
      </w:pPr>
    </w:p>
    <w:p w14:paraId="4FC4434B" w14:textId="2BBB3D20" w:rsidR="00484046" w:rsidRDefault="00484046" w:rsidP="00262EF8">
      <w:pPr>
        <w:spacing w:line="276" w:lineRule="auto"/>
      </w:pPr>
      <w:r>
        <w:t>2.1</w:t>
      </w:r>
      <w:r w:rsidR="0065396A">
        <w:t>.</w:t>
      </w:r>
      <w:r>
        <w:t xml:space="preserve"> Data Splitting</w:t>
      </w:r>
    </w:p>
    <w:p w14:paraId="3D287827" w14:textId="47BAFA85" w:rsidR="00484046" w:rsidRDefault="00484046" w:rsidP="00262EF8">
      <w:pPr>
        <w:spacing w:line="276" w:lineRule="auto"/>
      </w:pPr>
      <w:r>
        <w:t>The data</w:t>
      </w:r>
      <w:r w:rsidR="009878C1">
        <w:t xml:space="preserve"> was split using Stratified Sampling which </w:t>
      </w:r>
      <w:r w:rsidR="00CF65CA">
        <w:t>en</w:t>
      </w:r>
      <w:r w:rsidR="009878C1">
        <w:t>sure</w:t>
      </w:r>
      <w:r w:rsidR="00CF65CA">
        <w:t>s</w:t>
      </w:r>
      <w:r w:rsidR="009878C1">
        <w:t xml:space="preserve"> </w:t>
      </w:r>
      <w:r w:rsidR="003C7E3C">
        <w:t xml:space="preserve">that both the training and testing dataset contains the same distirbution </w:t>
      </w:r>
      <w:r w:rsidR="00093D9D">
        <w:t xml:space="preserve">as of mean trait value </w:t>
      </w:r>
      <w:sdt>
        <w:sdtPr>
          <w:id w:val="-1212036749"/>
          <w:citation/>
        </w:sdtPr>
        <w:sdtContent>
          <w:r>
            <w:fldChar w:fldCharType="begin"/>
          </w:r>
          <w:r w:rsidR="009878C1">
            <w:rPr>
              <w:lang w:val="en-US"/>
            </w:rPr>
            <w:instrText xml:space="preserve">CITATION KGR25 \l 1033 </w:instrText>
          </w:r>
          <w:r>
            <w:fldChar w:fldCharType="separate"/>
          </w:r>
          <w:r w:rsidR="00AF3E1E">
            <w:rPr>
              <w:noProof/>
              <w:lang w:val="en-US"/>
            </w:rPr>
            <w:t>(K. G. &amp; Khan, 2023)</w:t>
          </w:r>
          <w:r>
            <w:fldChar w:fldCharType="end"/>
          </w:r>
        </w:sdtContent>
      </w:sdt>
      <w:r w:rsidR="009878C1">
        <w:t>. Figure 1.</w:t>
      </w:r>
      <w:r w:rsidR="00093D9D">
        <w:t xml:space="preserve"> Shows that both training and testing samples follow the same distribution to ensure the model generalises well and there is no bias towards one particiular group.</w:t>
      </w:r>
      <w:r w:rsidR="009878C1">
        <w:t xml:space="preserve"> </w:t>
      </w:r>
    </w:p>
    <w:p w14:paraId="20EB5057" w14:textId="64D03D7D" w:rsidR="00205969" w:rsidRDefault="00205969" w:rsidP="00205969">
      <w:pPr>
        <w:jc w:val="center"/>
      </w:pPr>
      <w:r>
        <w:fldChar w:fldCharType="begin"/>
      </w:r>
      <w:r>
        <w:instrText xml:space="preserve"> INCLUDEPICTURE "/Users/hassanmajeed/Library/Group Containers/UBF8T346G9.Office/ConnectorClipboard/image17602522823850.png" \* MERGEFORMATINET </w:instrText>
      </w:r>
      <w:r>
        <w:fldChar w:fldCharType="separate"/>
      </w:r>
      <w:r>
        <w:rPr>
          <w:noProof/>
        </w:rPr>
        <w:drawing>
          <wp:inline distT="0" distB="0" distL="0" distR="0" wp14:anchorId="2DA1529E" wp14:editId="53D0D660">
            <wp:extent cx="4718551" cy="3539018"/>
            <wp:effectExtent l="0" t="0" r="6350" b="4445"/>
            <wp:docPr id="1038273661" name="Picture 1" descr="A graph of a sam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73661" name="Picture 1" descr="A graph of a sample&#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37592" cy="3553299"/>
                    </a:xfrm>
                    <a:prstGeom prst="rect">
                      <a:avLst/>
                    </a:prstGeom>
                    <a:noFill/>
                    <a:ln>
                      <a:noFill/>
                    </a:ln>
                  </pic:spPr>
                </pic:pic>
              </a:graphicData>
            </a:graphic>
          </wp:inline>
        </w:drawing>
      </w:r>
      <w:r>
        <w:fldChar w:fldCharType="end"/>
      </w:r>
    </w:p>
    <w:p w14:paraId="29164592" w14:textId="38ADDDD4" w:rsidR="009878C1" w:rsidRDefault="009878C1" w:rsidP="00205969">
      <w:pPr>
        <w:jc w:val="center"/>
      </w:pPr>
      <w:r>
        <w:t>Figure 1</w:t>
      </w:r>
    </w:p>
    <w:p w14:paraId="00229C89" w14:textId="5ECFF938" w:rsidR="008F3BAD" w:rsidRDefault="0065396A" w:rsidP="0065396A">
      <w:r>
        <w:t xml:space="preserve">2.2. </w:t>
      </w:r>
      <w:r w:rsidR="00310ABA">
        <w:t>Cross Validation</w:t>
      </w:r>
    </w:p>
    <w:p w14:paraId="5310959E" w14:textId="333E25A7" w:rsidR="008F3BAD" w:rsidRDefault="008F3BAD" w:rsidP="0065396A"/>
    <w:p w14:paraId="4AD50CB9" w14:textId="413FCE9F" w:rsidR="008F3BAD" w:rsidRDefault="008F3BAD" w:rsidP="0065396A">
      <w:r>
        <w:t xml:space="preserve">We tested against different cross validation folds to </w:t>
      </w:r>
      <w:r w:rsidR="00220304">
        <w:t>observe</w:t>
      </w:r>
      <w:r>
        <w:t xml:space="preserve"> if the results behave in similar manner or not</w:t>
      </w:r>
      <w:r w:rsidR="00220304">
        <w:t>.</w:t>
      </w:r>
      <w:r>
        <w:t xml:space="preserve"> </w:t>
      </w:r>
      <w:r w:rsidR="00220304">
        <w:t>I</w:t>
      </w:r>
      <w:r>
        <w:t xml:space="preserve">t can be </w:t>
      </w:r>
      <w:r w:rsidR="00BF6F42">
        <w:t>seen</w:t>
      </w:r>
      <w:r>
        <w:t xml:space="preserve"> from Figure 2. That for k=5, k=10, k=15 </w:t>
      </w:r>
      <w:r w:rsidR="00220304">
        <w:t xml:space="preserve">all of them point to similar outcome i.e. the model has an elbow point at around latent variable 10 after which the PRESS and </w:t>
      </w:r>
      <m:oMath>
        <m:sSup>
          <m:sSupPr>
            <m:ctrlPr>
              <w:rPr>
                <w:rFonts w:ascii="Cambria Math" w:hAnsi="Cambria Math"/>
                <w:i/>
              </w:rPr>
            </m:ctrlPr>
          </m:sSupPr>
          <m:e>
            <m:r>
              <w:rPr>
                <w:rFonts w:ascii="Cambria Math" w:hAnsi="Cambria Math"/>
              </w:rPr>
              <m:t>Q</m:t>
            </m:r>
          </m:e>
          <m:sup>
            <m:r>
              <w:rPr>
                <w:rFonts w:ascii="Cambria Math" w:hAnsi="Cambria Math"/>
              </w:rPr>
              <m:t>2</m:t>
            </m:r>
          </m:sup>
        </m:sSup>
      </m:oMath>
      <w:r w:rsidR="00220304">
        <w:t xml:space="preserve"> becomes stable. </w:t>
      </w:r>
    </w:p>
    <w:p w14:paraId="702F39F9" w14:textId="77777777" w:rsidR="008F3BAD" w:rsidRDefault="008F3BAD" w:rsidP="0065396A"/>
    <w:tbl>
      <w:tblPr>
        <w:tblStyle w:val="TableGrid"/>
        <w:tblW w:w="10811" w:type="dxa"/>
        <w:jc w:val="center"/>
        <w:tblLook w:val="04A0" w:firstRow="1" w:lastRow="0" w:firstColumn="1" w:lastColumn="0" w:noHBand="0" w:noVBand="1"/>
      </w:tblPr>
      <w:tblGrid>
        <w:gridCol w:w="5405"/>
        <w:gridCol w:w="5406"/>
      </w:tblGrid>
      <w:tr w:rsidR="008F3BAD" w14:paraId="28863B83" w14:textId="77777777" w:rsidTr="00F50A73">
        <w:trPr>
          <w:trHeight w:val="2670"/>
          <w:jc w:val="center"/>
        </w:trPr>
        <w:tc>
          <w:tcPr>
            <w:tcW w:w="5405" w:type="dxa"/>
          </w:tcPr>
          <w:p w14:paraId="55079F23" w14:textId="0CA41E83" w:rsidR="007159DA" w:rsidRDefault="005D6FBE" w:rsidP="0065396A">
            <w:r w:rsidRPr="007159DA">
              <w:lastRenderedPageBreak/>
              <w:drawing>
                <wp:inline distT="0" distB="0" distL="0" distR="0" wp14:anchorId="0F3342B6" wp14:editId="5290F0CE">
                  <wp:extent cx="2881145" cy="2975610"/>
                  <wp:effectExtent l="0" t="0" r="1905" b="0"/>
                  <wp:docPr id="2067186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86550" name=""/>
                          <pic:cNvPicPr/>
                        </pic:nvPicPr>
                        <pic:blipFill>
                          <a:blip r:embed="rId8"/>
                          <a:stretch>
                            <a:fillRect/>
                          </a:stretch>
                        </pic:blipFill>
                        <pic:spPr>
                          <a:xfrm>
                            <a:off x="0" y="0"/>
                            <a:ext cx="2898623" cy="2993661"/>
                          </a:xfrm>
                          <a:prstGeom prst="rect">
                            <a:avLst/>
                          </a:prstGeom>
                        </pic:spPr>
                      </pic:pic>
                    </a:graphicData>
                  </a:graphic>
                </wp:inline>
              </w:drawing>
            </w:r>
          </w:p>
        </w:tc>
        <w:tc>
          <w:tcPr>
            <w:tcW w:w="5406" w:type="dxa"/>
          </w:tcPr>
          <w:p w14:paraId="2070F57B" w14:textId="051E8668" w:rsidR="007159DA" w:rsidRDefault="005D6FBE" w:rsidP="0065396A">
            <w:r w:rsidRPr="005D6FBE">
              <w:drawing>
                <wp:inline distT="0" distB="0" distL="0" distR="0" wp14:anchorId="7F16F036" wp14:editId="5D87FCDE">
                  <wp:extent cx="2881423" cy="2930525"/>
                  <wp:effectExtent l="0" t="0" r="1905" b="3175"/>
                  <wp:docPr id="1548039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39384" name=""/>
                          <pic:cNvPicPr/>
                        </pic:nvPicPr>
                        <pic:blipFill>
                          <a:blip r:embed="rId9"/>
                          <a:stretch>
                            <a:fillRect/>
                          </a:stretch>
                        </pic:blipFill>
                        <pic:spPr>
                          <a:xfrm>
                            <a:off x="0" y="0"/>
                            <a:ext cx="2996913" cy="3047983"/>
                          </a:xfrm>
                          <a:prstGeom prst="rect">
                            <a:avLst/>
                          </a:prstGeom>
                        </pic:spPr>
                      </pic:pic>
                    </a:graphicData>
                  </a:graphic>
                </wp:inline>
              </w:drawing>
            </w:r>
          </w:p>
        </w:tc>
      </w:tr>
      <w:tr w:rsidR="008F3BAD" w14:paraId="02F0C54E" w14:textId="77777777" w:rsidTr="00F50A73">
        <w:trPr>
          <w:trHeight w:val="2708"/>
          <w:jc w:val="center"/>
        </w:trPr>
        <w:tc>
          <w:tcPr>
            <w:tcW w:w="5405" w:type="dxa"/>
          </w:tcPr>
          <w:p w14:paraId="40A5E389" w14:textId="4CA57DBA" w:rsidR="007159DA" w:rsidRDefault="005D6FBE" w:rsidP="0065396A">
            <w:r w:rsidRPr="005D6FBE">
              <w:drawing>
                <wp:inline distT="0" distB="0" distL="0" distR="0" wp14:anchorId="03D51F91" wp14:editId="1636A5F8">
                  <wp:extent cx="2881423" cy="2975896"/>
                  <wp:effectExtent l="0" t="0" r="1905" b="0"/>
                  <wp:docPr id="325202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02002" name=""/>
                          <pic:cNvPicPr/>
                        </pic:nvPicPr>
                        <pic:blipFill>
                          <a:blip r:embed="rId10"/>
                          <a:stretch>
                            <a:fillRect/>
                          </a:stretch>
                        </pic:blipFill>
                        <pic:spPr>
                          <a:xfrm>
                            <a:off x="0" y="0"/>
                            <a:ext cx="2970665" cy="3068064"/>
                          </a:xfrm>
                          <a:prstGeom prst="rect">
                            <a:avLst/>
                          </a:prstGeom>
                        </pic:spPr>
                      </pic:pic>
                    </a:graphicData>
                  </a:graphic>
                </wp:inline>
              </w:drawing>
            </w:r>
          </w:p>
        </w:tc>
        <w:tc>
          <w:tcPr>
            <w:tcW w:w="5406" w:type="dxa"/>
          </w:tcPr>
          <w:p w14:paraId="3716DB88" w14:textId="31DD8AC6" w:rsidR="007159DA" w:rsidRDefault="005D6FBE" w:rsidP="0065396A">
            <w:r w:rsidRPr="005D6FBE">
              <w:drawing>
                <wp:inline distT="0" distB="0" distL="0" distR="0" wp14:anchorId="1B219F3B" wp14:editId="5555E992">
                  <wp:extent cx="2880995" cy="3008332"/>
                  <wp:effectExtent l="0" t="0" r="1905" b="1905"/>
                  <wp:docPr id="1735223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23192" name=""/>
                          <pic:cNvPicPr/>
                        </pic:nvPicPr>
                        <pic:blipFill>
                          <a:blip r:embed="rId11"/>
                          <a:stretch>
                            <a:fillRect/>
                          </a:stretch>
                        </pic:blipFill>
                        <pic:spPr>
                          <a:xfrm>
                            <a:off x="0" y="0"/>
                            <a:ext cx="2947794" cy="3078084"/>
                          </a:xfrm>
                          <a:prstGeom prst="rect">
                            <a:avLst/>
                          </a:prstGeom>
                        </pic:spPr>
                      </pic:pic>
                    </a:graphicData>
                  </a:graphic>
                </wp:inline>
              </w:drawing>
            </w:r>
          </w:p>
        </w:tc>
      </w:tr>
      <w:tr w:rsidR="008F3BAD" w14:paraId="4F22D073" w14:textId="77777777" w:rsidTr="00F50A73">
        <w:trPr>
          <w:trHeight w:val="2602"/>
          <w:jc w:val="center"/>
        </w:trPr>
        <w:tc>
          <w:tcPr>
            <w:tcW w:w="5405" w:type="dxa"/>
          </w:tcPr>
          <w:p w14:paraId="69CDED18" w14:textId="77DC7670" w:rsidR="007159DA" w:rsidRDefault="008F3BAD" w:rsidP="0065396A">
            <w:r w:rsidRPr="008F3BAD">
              <w:drawing>
                <wp:inline distT="0" distB="0" distL="0" distR="0" wp14:anchorId="5FB8A038" wp14:editId="331B7C60">
                  <wp:extent cx="2796363" cy="2900398"/>
                  <wp:effectExtent l="0" t="0" r="0" b="0"/>
                  <wp:docPr id="384682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82615" name=""/>
                          <pic:cNvPicPr/>
                        </pic:nvPicPr>
                        <pic:blipFill>
                          <a:blip r:embed="rId12"/>
                          <a:stretch>
                            <a:fillRect/>
                          </a:stretch>
                        </pic:blipFill>
                        <pic:spPr>
                          <a:xfrm>
                            <a:off x="0" y="0"/>
                            <a:ext cx="2876110" cy="2983112"/>
                          </a:xfrm>
                          <a:prstGeom prst="rect">
                            <a:avLst/>
                          </a:prstGeom>
                        </pic:spPr>
                      </pic:pic>
                    </a:graphicData>
                  </a:graphic>
                </wp:inline>
              </w:drawing>
            </w:r>
          </w:p>
        </w:tc>
        <w:tc>
          <w:tcPr>
            <w:tcW w:w="5406" w:type="dxa"/>
          </w:tcPr>
          <w:p w14:paraId="1C0D8E8F" w14:textId="4D825825" w:rsidR="007159DA" w:rsidRDefault="008F3BAD" w:rsidP="0065396A">
            <w:r w:rsidRPr="008F3BAD">
              <w:drawing>
                <wp:inline distT="0" distB="0" distL="0" distR="0" wp14:anchorId="1C7C54AB" wp14:editId="33FAFC6A">
                  <wp:extent cx="2777293" cy="2900045"/>
                  <wp:effectExtent l="0" t="0" r="4445" b="0"/>
                  <wp:docPr id="1385156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56662" name=""/>
                          <pic:cNvPicPr/>
                        </pic:nvPicPr>
                        <pic:blipFill>
                          <a:blip r:embed="rId13"/>
                          <a:stretch>
                            <a:fillRect/>
                          </a:stretch>
                        </pic:blipFill>
                        <pic:spPr>
                          <a:xfrm>
                            <a:off x="0" y="0"/>
                            <a:ext cx="2797007" cy="2920630"/>
                          </a:xfrm>
                          <a:prstGeom prst="rect">
                            <a:avLst/>
                          </a:prstGeom>
                        </pic:spPr>
                      </pic:pic>
                    </a:graphicData>
                  </a:graphic>
                </wp:inline>
              </w:drawing>
            </w:r>
          </w:p>
        </w:tc>
      </w:tr>
    </w:tbl>
    <w:p w14:paraId="799830F6" w14:textId="0924CAA3" w:rsidR="007159DA" w:rsidRDefault="00220304" w:rsidP="00220304">
      <w:pPr>
        <w:jc w:val="center"/>
      </w:pPr>
      <w:r>
        <w:t>Figure 2.</w:t>
      </w:r>
    </w:p>
    <w:p w14:paraId="2849D11C" w14:textId="77777777" w:rsidR="00BF6F42" w:rsidRDefault="00BF6F42" w:rsidP="00BF6F42"/>
    <w:p w14:paraId="47FC64E7" w14:textId="688EE7D0" w:rsidR="00BF6F42" w:rsidRDefault="00F50A73" w:rsidP="00BF6F42">
      <w:r>
        <w:t>If we take a look at Figure 3. Which shows the predictive power of latent variable in explaining each trait, it increases sharply until 10 after which the change is gradual. We can also note that the model struggles in predicting Chlorine Content than predicting other traits</w:t>
      </w:r>
      <w:r w:rsidR="00FF49C4">
        <w:t xml:space="preserve"> one of the reasons could be since the measurement scale is in (</w:t>
      </w:r>
      <m:oMath>
        <m:r>
          <w:rPr>
            <w:rFonts w:ascii="Cambria Math" w:hAnsi="Cambria Math"/>
          </w:rPr>
          <m:t>μg/</m:t>
        </m:r>
        <m:sSup>
          <m:sSupPr>
            <m:ctrlPr>
              <w:rPr>
                <w:rFonts w:ascii="Cambria Math" w:eastAsiaTheme="minorHAnsi" w:hAnsi="Cambria Math" w:cstheme="minorBidi"/>
                <w:i/>
                <w:kern w:val="2"/>
                <w:lang w:val="en-GB" w:eastAsia="en-US"/>
                <w14:ligatures w14:val="standardContextual"/>
              </w:rPr>
            </m:ctrlPr>
          </m:sSupPr>
          <m:e>
            <m:r>
              <w:rPr>
                <w:rFonts w:ascii="Cambria Math" w:hAnsi="Cambria Math"/>
              </w:rPr>
              <m:t>m</m:t>
            </m:r>
          </m:e>
          <m:sup>
            <m:r>
              <w:rPr>
                <w:rFonts w:ascii="Cambria Math" w:hAnsi="Cambria Math"/>
              </w:rPr>
              <m:t>2</m:t>
            </m:r>
          </m:sup>
        </m:sSup>
        <m:r>
          <w:rPr>
            <w:rFonts w:ascii="Cambria Math" w:hAnsi="Cambria Math"/>
          </w:rPr>
          <m:t>)</m:t>
        </m:r>
      </m:oMath>
      <w:r w:rsidR="00FF49C4">
        <w:t xml:space="preserve">, </w:t>
      </w:r>
      <w:r w:rsidR="00F33FA9">
        <w:t>experiemental errors can greatly impact the predictive performance.</w:t>
      </w:r>
    </w:p>
    <w:p w14:paraId="02738E66" w14:textId="47E10C6F" w:rsidR="00310ABA" w:rsidRDefault="00BF6F42" w:rsidP="00BF6F42">
      <w:pPr>
        <w:jc w:val="center"/>
      </w:pPr>
      <w:r w:rsidRPr="00BF6F42">
        <w:lastRenderedPageBreak/>
        <w:drawing>
          <wp:inline distT="0" distB="0" distL="0" distR="0" wp14:anchorId="1FA6D4F2" wp14:editId="01664650">
            <wp:extent cx="5570973" cy="2789187"/>
            <wp:effectExtent l="0" t="0" r="4445" b="5080"/>
            <wp:docPr id="1155730772" name="Picture 1" descr="A graph of a number of variab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30772" name="Picture 1" descr="A graph of a number of variables&#10;&#10;AI-generated content may be incorrect."/>
                    <pic:cNvPicPr/>
                  </pic:nvPicPr>
                  <pic:blipFill>
                    <a:blip r:embed="rId14"/>
                    <a:stretch>
                      <a:fillRect/>
                    </a:stretch>
                  </pic:blipFill>
                  <pic:spPr>
                    <a:xfrm>
                      <a:off x="0" y="0"/>
                      <a:ext cx="5649386" cy="2828446"/>
                    </a:xfrm>
                    <a:prstGeom prst="rect">
                      <a:avLst/>
                    </a:prstGeom>
                  </pic:spPr>
                </pic:pic>
              </a:graphicData>
            </a:graphic>
          </wp:inline>
        </w:drawing>
      </w:r>
    </w:p>
    <w:p w14:paraId="218C7535" w14:textId="13E6332D" w:rsidR="00F50A73" w:rsidRDefault="00F50A73" w:rsidP="00BF6F42">
      <w:pPr>
        <w:jc w:val="center"/>
      </w:pPr>
      <w:r>
        <w:t>Figure 3.</w:t>
      </w:r>
    </w:p>
    <w:p w14:paraId="7A89EC8B" w14:textId="11F72C6B" w:rsidR="00F33FA9" w:rsidRDefault="00F33FA9" w:rsidP="00F33FA9">
      <w:r>
        <w:t>2.3. Testing PLS Model</w:t>
      </w:r>
    </w:p>
    <w:p w14:paraId="22002B84" w14:textId="32347B4B" w:rsidR="00E36AA8" w:rsidRDefault="00E36AA8" w:rsidP="00F33FA9"/>
    <w:p w14:paraId="741E9898" w14:textId="30B59BAD" w:rsidR="00E36AA8" w:rsidRDefault="00E36AA8" w:rsidP="00F33FA9">
      <w:r>
        <w:t xml:space="preserve">We tested the model with 10 LV and from Table 1. it can be seen that the model generalises good </w:t>
      </w:r>
      <w:r w:rsidR="00020834">
        <w:t xml:space="preserve">and there is no severe overfitting </w:t>
      </w:r>
      <w:r>
        <w:t xml:space="preserve">with RMSE test and train being close to each other. Traits like LMA, Carbon Content, EWT are predicted well where as the model struggles a little with Nitrogen Content and it performs the worst for Chlorine Content. This can further be corroborated by Figure 4. which shows the predictions vs actual measurements with points having linear relationship with predicted and measured </w:t>
      </w:r>
      <w:r w:rsidR="00020834">
        <w:t>for Carbon, LMA, but they get more scatterd for the rest of the plots.</w:t>
      </w:r>
    </w:p>
    <w:p w14:paraId="6F95BD7E" w14:textId="77777777" w:rsidR="00F33FA9" w:rsidRDefault="00F33FA9" w:rsidP="00F33FA9"/>
    <w:p w14:paraId="5BFCD95D" w14:textId="0B46E0E7" w:rsidR="00F33FA9" w:rsidRDefault="00F33FA9" w:rsidP="00F33FA9">
      <w:pPr>
        <w:jc w:val="center"/>
      </w:pPr>
      <w:r w:rsidRPr="00F33FA9">
        <w:drawing>
          <wp:inline distT="0" distB="0" distL="0" distR="0" wp14:anchorId="392EC613" wp14:editId="7F52385A">
            <wp:extent cx="4997303" cy="1270825"/>
            <wp:effectExtent l="0" t="0" r="0" b="0"/>
            <wp:docPr id="644126103" name="Picture 1" descr="A close-up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26103" name="Picture 1" descr="A close-up of numbers&#10;&#10;AI-generated content may be incorrect."/>
                    <pic:cNvPicPr/>
                  </pic:nvPicPr>
                  <pic:blipFill>
                    <a:blip r:embed="rId15"/>
                    <a:stretch>
                      <a:fillRect/>
                    </a:stretch>
                  </pic:blipFill>
                  <pic:spPr>
                    <a:xfrm>
                      <a:off x="0" y="0"/>
                      <a:ext cx="5124887" cy="1303270"/>
                    </a:xfrm>
                    <a:prstGeom prst="rect">
                      <a:avLst/>
                    </a:prstGeom>
                  </pic:spPr>
                </pic:pic>
              </a:graphicData>
            </a:graphic>
          </wp:inline>
        </w:drawing>
      </w:r>
    </w:p>
    <w:p w14:paraId="5472B4DB" w14:textId="6BC59594" w:rsidR="00F33FA9" w:rsidRDefault="00E36AA8" w:rsidP="00F33FA9">
      <w:pPr>
        <w:jc w:val="center"/>
      </w:pPr>
      <w:r>
        <w:t>Table 1.</w:t>
      </w:r>
    </w:p>
    <w:p w14:paraId="0CE89822" w14:textId="77777777" w:rsidR="00F33FA9" w:rsidRDefault="00F33FA9" w:rsidP="00F33FA9">
      <w:pPr>
        <w:jc w:val="center"/>
      </w:pPr>
    </w:p>
    <w:p w14:paraId="03CB69F9" w14:textId="205BC628" w:rsidR="00F33FA9" w:rsidRDefault="00F33FA9" w:rsidP="00E36AA8">
      <w:pPr>
        <w:jc w:val="center"/>
      </w:pPr>
      <w:r>
        <w:fldChar w:fldCharType="begin"/>
      </w:r>
      <w:r>
        <w:instrText xml:space="preserve"> INCLUDEPICTURE "/Users/hassanmajeed/Library/Group Containers/UBF8T346G9.Office/ConnectorClipboard/image17602653333280.png" \* MERGEFORMATINET </w:instrText>
      </w:r>
      <w:r>
        <w:fldChar w:fldCharType="separate"/>
      </w:r>
      <w:r>
        <w:rPr>
          <w:noProof/>
        </w:rPr>
        <w:drawing>
          <wp:inline distT="0" distB="0" distL="0" distR="0" wp14:anchorId="687C4E0E" wp14:editId="20EDCA37">
            <wp:extent cx="7171055" cy="3261360"/>
            <wp:effectExtent l="0" t="0" r="4445" b="2540"/>
            <wp:docPr id="1896789604" name="Picture 2" descr="A group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89604" name="Picture 2" descr="A group of blue dots&#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171055" cy="3261360"/>
                    </a:xfrm>
                    <a:prstGeom prst="rect">
                      <a:avLst/>
                    </a:prstGeom>
                    <a:noFill/>
                    <a:ln>
                      <a:noFill/>
                    </a:ln>
                  </pic:spPr>
                </pic:pic>
              </a:graphicData>
            </a:graphic>
          </wp:inline>
        </w:drawing>
      </w:r>
      <w:r>
        <w:fldChar w:fldCharType="end"/>
      </w:r>
    </w:p>
    <w:p w14:paraId="5D990593" w14:textId="375BCDA5" w:rsidR="00E36AA8" w:rsidRDefault="00E36AA8" w:rsidP="00E36AA8">
      <w:pPr>
        <w:jc w:val="center"/>
      </w:pPr>
      <w:r>
        <w:t>Figure 4.</w:t>
      </w:r>
    </w:p>
    <w:p w14:paraId="551590EF" w14:textId="77777777" w:rsidR="00E36AA8" w:rsidRDefault="00E36AA8" w:rsidP="00F33FA9"/>
    <w:p w14:paraId="57E48A74" w14:textId="77777777" w:rsidR="00F33FA9" w:rsidRDefault="00F33FA9" w:rsidP="00F33FA9">
      <w:pPr>
        <w:jc w:val="center"/>
      </w:pPr>
    </w:p>
    <w:p w14:paraId="0B6AD550" w14:textId="4AB95C01" w:rsidR="00FB3A0A" w:rsidRDefault="00FB3A0A" w:rsidP="00FB3A0A">
      <w:r>
        <w:t xml:space="preserve">We now look at the normalised PLS coefficients and from this we can see that </w:t>
      </w:r>
      <w:r w:rsidR="00337287">
        <w:t xml:space="preserve">most of the coefficiants share similar  patterns overlapping spectral information in NIR regions. The </w:t>
      </w:r>
      <w:r>
        <w:t xml:space="preserve">Water Thickness shows very large coeeficiants </w:t>
      </w:r>
      <w:r w:rsidR="00337287">
        <w:t xml:space="preserve">at </w:t>
      </w:r>
      <w:r>
        <w:t>1200-1400</w:t>
      </w:r>
      <w:r w:rsidR="00337287">
        <w:t xml:space="preserve"> index that is 1600-2000nm</w:t>
      </w:r>
      <w:r>
        <w:t xml:space="preserve"> which corresponds to water absorbtion</w:t>
      </w:r>
      <w:r w:rsidR="00AF3E1E">
        <w:t xml:space="preserve"> band</w:t>
      </w:r>
      <w:r>
        <w:t xml:space="preserve"> </w:t>
      </w:r>
      <w:sdt>
        <w:sdtPr>
          <w:id w:val="1272059453"/>
          <w:citation/>
        </w:sdtPr>
        <w:sdtContent>
          <w:r w:rsidR="00AF3E1E">
            <w:fldChar w:fldCharType="begin"/>
          </w:r>
          <w:r w:rsidR="00AF3E1E">
            <w:rPr>
              <w:lang w:val="en-US"/>
            </w:rPr>
            <w:instrText xml:space="preserve"> CITATION Sal21 \l 1033 </w:instrText>
          </w:r>
          <w:r w:rsidR="00AF3E1E">
            <w:fldChar w:fldCharType="separate"/>
          </w:r>
          <w:r w:rsidR="00AF3E1E">
            <w:rPr>
              <w:noProof/>
              <w:lang w:val="en-US"/>
            </w:rPr>
            <w:t>(Salinas, Reichel, &amp; Witte, 2021)</w:t>
          </w:r>
          <w:r w:rsidR="00AF3E1E">
            <w:fldChar w:fldCharType="end"/>
          </w:r>
        </w:sdtContent>
      </w:sdt>
      <w:r w:rsidR="00337287">
        <w:t>, the Chlorophyll content behaves differently showing peaks in the visible range i.e. 450-700nm (0-300 band index).</w:t>
      </w:r>
    </w:p>
    <w:p w14:paraId="213C94F6" w14:textId="71164112" w:rsidR="00FF49C4" w:rsidRDefault="00FB3A0A" w:rsidP="00FB3A0A">
      <w:pPr>
        <w:jc w:val="center"/>
      </w:pPr>
      <w:r w:rsidRPr="00FB3A0A">
        <w:lastRenderedPageBreak/>
        <w:drawing>
          <wp:inline distT="0" distB="0" distL="0" distR="0" wp14:anchorId="7DCB482C" wp14:editId="3990EBEF">
            <wp:extent cx="5507665" cy="3018900"/>
            <wp:effectExtent l="0" t="0" r="4445" b="3810"/>
            <wp:docPr id="806872543"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72543" name="Picture 1" descr="A graph of a graph&#10;&#10;AI-generated content may be incorrect."/>
                    <pic:cNvPicPr/>
                  </pic:nvPicPr>
                  <pic:blipFill>
                    <a:blip r:embed="rId17"/>
                    <a:stretch>
                      <a:fillRect/>
                    </a:stretch>
                  </pic:blipFill>
                  <pic:spPr>
                    <a:xfrm>
                      <a:off x="0" y="0"/>
                      <a:ext cx="5558034" cy="3046509"/>
                    </a:xfrm>
                    <a:prstGeom prst="rect">
                      <a:avLst/>
                    </a:prstGeom>
                  </pic:spPr>
                </pic:pic>
              </a:graphicData>
            </a:graphic>
          </wp:inline>
        </w:drawing>
      </w:r>
    </w:p>
    <w:p w14:paraId="36669DD3" w14:textId="053E6B8E" w:rsidR="00FB3A0A" w:rsidRDefault="00FB3A0A" w:rsidP="00FB3A0A">
      <w:pPr>
        <w:jc w:val="center"/>
      </w:pPr>
      <w:r>
        <w:t>Figure 5.</w:t>
      </w:r>
    </w:p>
    <w:p w14:paraId="2E92204E" w14:textId="77777777" w:rsidR="00337287" w:rsidRDefault="00337287" w:rsidP="00337287"/>
    <w:p w14:paraId="665C99FB" w14:textId="39A1FFA3" w:rsidR="00337287" w:rsidRDefault="00337287" w:rsidP="00337287">
      <w:r>
        <w:t xml:space="preserve">The PLS2 Scores </w:t>
      </w:r>
      <w:r w:rsidR="0037279C">
        <w:t>shown in Figure 6. Indicates that the dataset is largely homogeneous, with most of the samples form a cluster at the origin with a few outliers. LV1 and LV2 captured a high percentage of the variance which confirms the utility of the chosen LV in representing the underlying structure of spectra.</w:t>
      </w:r>
    </w:p>
    <w:p w14:paraId="1A7B2E0E" w14:textId="77777777" w:rsidR="0037279C" w:rsidRDefault="0037279C" w:rsidP="00337287"/>
    <w:p w14:paraId="4E85D03D" w14:textId="05F0D030" w:rsidR="00337287" w:rsidRDefault="00337287" w:rsidP="00337287">
      <w:pPr>
        <w:jc w:val="center"/>
      </w:pPr>
      <w:r w:rsidRPr="00337287">
        <w:drawing>
          <wp:inline distT="0" distB="0" distL="0" distR="0" wp14:anchorId="026F86FA" wp14:editId="7E95C073">
            <wp:extent cx="4391247" cy="3453737"/>
            <wp:effectExtent l="0" t="0" r="3175" b="1270"/>
            <wp:docPr id="1210099743"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99743" name="Picture 1" descr="A graph with blue dots&#10;&#10;AI-generated content may be incorrect."/>
                    <pic:cNvPicPr/>
                  </pic:nvPicPr>
                  <pic:blipFill>
                    <a:blip r:embed="rId18"/>
                    <a:stretch>
                      <a:fillRect/>
                    </a:stretch>
                  </pic:blipFill>
                  <pic:spPr>
                    <a:xfrm>
                      <a:off x="0" y="0"/>
                      <a:ext cx="4408023" cy="3466931"/>
                    </a:xfrm>
                    <a:prstGeom prst="rect">
                      <a:avLst/>
                    </a:prstGeom>
                  </pic:spPr>
                </pic:pic>
              </a:graphicData>
            </a:graphic>
          </wp:inline>
        </w:drawing>
      </w:r>
    </w:p>
    <w:p w14:paraId="117C6F1A" w14:textId="4039D77E" w:rsidR="0037279C" w:rsidRDefault="0037279C" w:rsidP="00337287">
      <w:pPr>
        <w:jc w:val="center"/>
      </w:pPr>
      <w:r>
        <w:t>Figure 6.</w:t>
      </w:r>
    </w:p>
    <w:p w14:paraId="3D652594" w14:textId="77777777" w:rsidR="0068432D" w:rsidRDefault="0068432D" w:rsidP="00337287">
      <w:pPr>
        <w:jc w:val="center"/>
      </w:pPr>
    </w:p>
    <w:p w14:paraId="229A86E7" w14:textId="151DC129" w:rsidR="0068432D" w:rsidRDefault="00E52E3E" w:rsidP="00D13A5E">
      <w:r>
        <w:t xml:space="preserve">From Figure 7. which shows the PLS2 Loadings and normalised loadings it can seen that Chl is strongly seperated in the positive LV2 space which indicates that the information unique to chlorphyll is captured by LV2 and is essentially uncorrelated to other traits which can also be seen from Figure 5. Nitrogen content, Carbon content, LMA, EWT are tightly clustered in the negative LV1/LV2 space confirming their strong dependence on structural and water-related absorbtion features. </w:t>
      </w:r>
    </w:p>
    <w:p w14:paraId="666A7CEB" w14:textId="2A6644B6" w:rsidR="00E52E3E" w:rsidRPr="00E52E3E" w:rsidRDefault="00E52E3E" w:rsidP="00E52E3E">
      <w:pPr>
        <w:tabs>
          <w:tab w:val="left" w:pos="8858"/>
        </w:tabs>
      </w:pPr>
    </w:p>
    <w:tbl>
      <w:tblPr>
        <w:tblStyle w:val="TableGrid"/>
        <w:tblW w:w="0" w:type="auto"/>
        <w:tblLook w:val="04A0" w:firstRow="1" w:lastRow="0" w:firstColumn="1" w:lastColumn="0" w:noHBand="0" w:noVBand="1"/>
      </w:tblPr>
      <w:tblGrid>
        <w:gridCol w:w="5664"/>
        <w:gridCol w:w="5619"/>
      </w:tblGrid>
      <w:tr w:rsidR="0068432D" w14:paraId="24C1087E" w14:textId="77777777" w:rsidTr="0068432D">
        <w:tc>
          <w:tcPr>
            <w:tcW w:w="5641" w:type="dxa"/>
          </w:tcPr>
          <w:p w14:paraId="2FC815AE" w14:textId="4ED2EB25" w:rsidR="0068432D" w:rsidRDefault="0068432D" w:rsidP="00337287">
            <w:pPr>
              <w:jc w:val="center"/>
            </w:pPr>
            <w:r w:rsidRPr="0068432D">
              <w:lastRenderedPageBreak/>
              <w:drawing>
                <wp:inline distT="0" distB="0" distL="0" distR="0" wp14:anchorId="0C93C9C1" wp14:editId="3A8ED0EE">
                  <wp:extent cx="3460056" cy="2769147"/>
                  <wp:effectExtent l="0" t="0" r="0" b="0"/>
                  <wp:docPr id="1363497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97711" name=""/>
                          <pic:cNvPicPr/>
                        </pic:nvPicPr>
                        <pic:blipFill>
                          <a:blip r:embed="rId19"/>
                          <a:stretch>
                            <a:fillRect/>
                          </a:stretch>
                        </pic:blipFill>
                        <pic:spPr>
                          <a:xfrm>
                            <a:off x="0" y="0"/>
                            <a:ext cx="3513169" cy="2811654"/>
                          </a:xfrm>
                          <a:prstGeom prst="rect">
                            <a:avLst/>
                          </a:prstGeom>
                        </pic:spPr>
                      </pic:pic>
                    </a:graphicData>
                  </a:graphic>
                </wp:inline>
              </w:drawing>
            </w:r>
          </w:p>
        </w:tc>
        <w:tc>
          <w:tcPr>
            <w:tcW w:w="5642" w:type="dxa"/>
          </w:tcPr>
          <w:p w14:paraId="29F485E2" w14:textId="10D5E590" w:rsidR="0068432D" w:rsidRDefault="0068432D" w:rsidP="00337287">
            <w:pPr>
              <w:jc w:val="center"/>
            </w:pPr>
            <w:r w:rsidRPr="0068432D">
              <w:drawing>
                <wp:inline distT="0" distB="0" distL="0" distR="0" wp14:anchorId="78D46E4C" wp14:editId="1C497CF1">
                  <wp:extent cx="3333395" cy="2659809"/>
                  <wp:effectExtent l="0" t="0" r="0" b="0"/>
                  <wp:docPr id="1850852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52128" name=""/>
                          <pic:cNvPicPr/>
                        </pic:nvPicPr>
                        <pic:blipFill>
                          <a:blip r:embed="rId20"/>
                          <a:stretch>
                            <a:fillRect/>
                          </a:stretch>
                        </pic:blipFill>
                        <pic:spPr>
                          <a:xfrm>
                            <a:off x="0" y="0"/>
                            <a:ext cx="3359620" cy="2680734"/>
                          </a:xfrm>
                          <a:prstGeom prst="rect">
                            <a:avLst/>
                          </a:prstGeom>
                        </pic:spPr>
                      </pic:pic>
                    </a:graphicData>
                  </a:graphic>
                </wp:inline>
              </w:drawing>
            </w:r>
          </w:p>
        </w:tc>
      </w:tr>
    </w:tbl>
    <w:p w14:paraId="3B8817E2" w14:textId="18724017" w:rsidR="0068432D" w:rsidRDefault="0068432D" w:rsidP="0068432D">
      <w:pPr>
        <w:jc w:val="center"/>
      </w:pPr>
      <w:r>
        <w:t>Figure 7.</w:t>
      </w:r>
    </w:p>
    <w:p w14:paraId="046AC425" w14:textId="77777777" w:rsidR="00755703" w:rsidRDefault="00755703" w:rsidP="0068432D">
      <w:pPr>
        <w:jc w:val="center"/>
      </w:pPr>
    </w:p>
    <w:p w14:paraId="4F398249" w14:textId="08D2A210" w:rsidR="0070173E" w:rsidRDefault="0070173E" w:rsidP="0070173E">
      <w:r>
        <w:t>The VIP (Variable Importance Plot Figure 8.) clearly identifies the region at index 950 as most critical which is also supported by the normalised PLS loading graph from Figure 7. which strongly seperates the Chl content from the cluster of structural/water traits.</w:t>
      </w:r>
    </w:p>
    <w:p w14:paraId="2EAE9A79" w14:textId="77777777" w:rsidR="00755703" w:rsidRDefault="00755703" w:rsidP="0068432D">
      <w:pPr>
        <w:jc w:val="center"/>
      </w:pPr>
    </w:p>
    <w:p w14:paraId="7F1FCDF0" w14:textId="61AB2BA0" w:rsidR="0068432D" w:rsidRDefault="0068432D" w:rsidP="0068432D">
      <w:pPr>
        <w:jc w:val="center"/>
      </w:pPr>
      <w:r w:rsidRPr="0068432D">
        <w:drawing>
          <wp:inline distT="0" distB="0" distL="0" distR="0" wp14:anchorId="17468BC5" wp14:editId="6D5881B6">
            <wp:extent cx="5380074" cy="2648351"/>
            <wp:effectExtent l="0" t="0" r="5080" b="6350"/>
            <wp:docPr id="59707324" name="Picture 1" descr="A graph showing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7324" name="Picture 1" descr="A graph showing a graph&#10;&#10;AI-generated content may be incorrect."/>
                    <pic:cNvPicPr/>
                  </pic:nvPicPr>
                  <pic:blipFill>
                    <a:blip r:embed="rId21"/>
                    <a:stretch>
                      <a:fillRect/>
                    </a:stretch>
                  </pic:blipFill>
                  <pic:spPr>
                    <a:xfrm>
                      <a:off x="0" y="0"/>
                      <a:ext cx="5393531" cy="2654975"/>
                    </a:xfrm>
                    <a:prstGeom prst="rect">
                      <a:avLst/>
                    </a:prstGeom>
                  </pic:spPr>
                </pic:pic>
              </a:graphicData>
            </a:graphic>
          </wp:inline>
        </w:drawing>
      </w:r>
    </w:p>
    <w:p w14:paraId="241FC427" w14:textId="7FE3E430" w:rsidR="0068432D" w:rsidRDefault="0068432D" w:rsidP="0068432D">
      <w:pPr>
        <w:jc w:val="center"/>
      </w:pPr>
      <w:r>
        <w:t>Figure 8.</w:t>
      </w:r>
    </w:p>
    <w:p w14:paraId="00E21E5B" w14:textId="77777777" w:rsidR="009C6BAF" w:rsidRDefault="009C6BAF" w:rsidP="0068432D">
      <w:pPr>
        <w:jc w:val="center"/>
      </w:pPr>
    </w:p>
    <w:p w14:paraId="60684277" w14:textId="77777777" w:rsidR="009C6BAF" w:rsidRDefault="009C6BAF" w:rsidP="0068432D">
      <w:pPr>
        <w:jc w:val="center"/>
      </w:pPr>
    </w:p>
    <w:sdt>
      <w:sdtPr>
        <w:id w:val="-289050667"/>
        <w:docPartObj>
          <w:docPartGallery w:val="Bibliographies"/>
        </w:docPartObj>
      </w:sdtPr>
      <w:sdtEndPr>
        <w:rPr>
          <w:rFonts w:ascii="Times New Roman" w:eastAsia="Times New Roman" w:hAnsi="Times New Roman" w:cs="Times New Roman"/>
          <w:color w:val="auto"/>
          <w:sz w:val="24"/>
          <w:szCs w:val="24"/>
        </w:rPr>
      </w:sdtEndPr>
      <w:sdtContent>
        <w:p w14:paraId="6885752F" w14:textId="6D2296DF" w:rsidR="009878C1" w:rsidRDefault="009878C1">
          <w:pPr>
            <w:pStyle w:val="Heading1"/>
          </w:pPr>
          <w:r>
            <w:t>Bibliography</w:t>
          </w:r>
        </w:p>
        <w:sdt>
          <w:sdtPr>
            <w:id w:val="111145805"/>
            <w:bibliography/>
          </w:sdtPr>
          <w:sdtContent>
            <w:p w14:paraId="73924BA9" w14:textId="77777777" w:rsidR="00AF3E1E" w:rsidRDefault="009878C1" w:rsidP="00AF3E1E">
              <w:pPr>
                <w:pStyle w:val="Bibliography"/>
                <w:ind w:left="720" w:hanging="720"/>
                <w:rPr>
                  <w:noProof/>
                </w:rPr>
              </w:pPr>
              <w:r>
                <w:fldChar w:fldCharType="begin"/>
              </w:r>
              <w:r>
                <w:instrText xml:space="preserve"> BIBLIOGRAPHY </w:instrText>
              </w:r>
              <w:r>
                <w:fldChar w:fldCharType="separate"/>
              </w:r>
              <w:r w:rsidR="00AF3E1E">
                <w:rPr>
                  <w:noProof/>
                </w:rPr>
                <w:t xml:space="preserve">K. G., R., &amp; Khan, M. (2023, October 12). Constructing efficient strata boundaries in stratified sampling using survey cost. </w:t>
              </w:r>
              <w:r w:rsidR="00AF3E1E">
                <w:rPr>
                  <w:i/>
                  <w:iCs/>
                  <w:noProof/>
                </w:rPr>
                <w:t>Heliyon</w:t>
              </w:r>
              <w:r w:rsidR="00AF3E1E">
                <w:rPr>
                  <w:noProof/>
                </w:rPr>
                <w:t>, e21407. From National Institutes of Health: https://pmc.ncbi.nlm.nih.gov/articles/PMC10641212/</w:t>
              </w:r>
            </w:p>
            <w:p w14:paraId="2540D4D4" w14:textId="77777777" w:rsidR="00AF3E1E" w:rsidRPr="00AF3E1E" w:rsidRDefault="00AF3E1E" w:rsidP="00AF3E1E"/>
            <w:p w14:paraId="4E6D9119" w14:textId="77777777" w:rsidR="00AF3E1E" w:rsidRDefault="00AF3E1E" w:rsidP="00AF3E1E">
              <w:pPr>
                <w:pStyle w:val="Bibliography"/>
                <w:ind w:left="720" w:hanging="720"/>
                <w:rPr>
                  <w:noProof/>
                </w:rPr>
              </w:pPr>
              <w:r>
                <w:rPr>
                  <w:noProof/>
                </w:rPr>
                <w:t xml:space="preserve">Salinas, C. M., Reichel, E., &amp; Witte, R. S. (2021). Short-wave Infrared Photoacoustic Spectroscopy for Lipid and Water Detection. </w:t>
              </w:r>
              <w:r>
                <w:rPr>
                  <w:i/>
                  <w:iCs/>
                  <w:noProof/>
                </w:rPr>
                <w:t>2021 IEEE International Ultrasonics Symposium (IUS)</w:t>
              </w:r>
              <w:r>
                <w:rPr>
                  <w:noProof/>
                </w:rPr>
                <w:t xml:space="preserve"> (pp. 1-4). Xi’an, China: IEEE.</w:t>
              </w:r>
            </w:p>
            <w:p w14:paraId="396A1AAE" w14:textId="3048CE56" w:rsidR="00205969" w:rsidRPr="00262EF8" w:rsidRDefault="009878C1" w:rsidP="00AF3E1E">
              <w:r>
                <w:rPr>
                  <w:b/>
                  <w:bCs/>
                  <w:noProof/>
                </w:rPr>
                <w:fldChar w:fldCharType="end"/>
              </w:r>
            </w:p>
          </w:sdtContent>
        </w:sdt>
      </w:sdtContent>
    </w:sdt>
    <w:sectPr w:rsidR="00205969" w:rsidRPr="00262EF8" w:rsidSect="00262EF8">
      <w:pgSz w:w="14173" w:h="20013"/>
      <w:pgMar w:top="1440" w:right="1440" w:bottom="1440" w:left="1440" w:header="0" w:footer="720"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9CEB67" w14:textId="77777777" w:rsidR="008417F5" w:rsidRDefault="008417F5" w:rsidP="00484046">
      <w:r>
        <w:separator/>
      </w:r>
    </w:p>
  </w:endnote>
  <w:endnote w:type="continuationSeparator" w:id="0">
    <w:p w14:paraId="211A7B53" w14:textId="77777777" w:rsidR="008417F5" w:rsidRDefault="008417F5" w:rsidP="004840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7DC325" w14:textId="77777777" w:rsidR="008417F5" w:rsidRDefault="008417F5" w:rsidP="00484046">
      <w:r>
        <w:separator/>
      </w:r>
    </w:p>
  </w:footnote>
  <w:footnote w:type="continuationSeparator" w:id="0">
    <w:p w14:paraId="45D5BAB6" w14:textId="77777777" w:rsidR="008417F5" w:rsidRDefault="008417F5" w:rsidP="0048404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90"/>
  <w:drawingGridVerticalSpacing w:val="245"/>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EF8"/>
    <w:rsid w:val="00020834"/>
    <w:rsid w:val="00093D9D"/>
    <w:rsid w:val="000F5B7D"/>
    <w:rsid w:val="001427DE"/>
    <w:rsid w:val="001763E9"/>
    <w:rsid w:val="00205969"/>
    <w:rsid w:val="00220304"/>
    <w:rsid w:val="00257528"/>
    <w:rsid w:val="00262EF8"/>
    <w:rsid w:val="002D0C64"/>
    <w:rsid w:val="00310ABA"/>
    <w:rsid w:val="00337287"/>
    <w:rsid w:val="0037279C"/>
    <w:rsid w:val="003C7E3C"/>
    <w:rsid w:val="003E06C2"/>
    <w:rsid w:val="00484046"/>
    <w:rsid w:val="005562EE"/>
    <w:rsid w:val="005D6FBE"/>
    <w:rsid w:val="0065396A"/>
    <w:rsid w:val="0068432D"/>
    <w:rsid w:val="006D77F8"/>
    <w:rsid w:val="0070173E"/>
    <w:rsid w:val="007159DA"/>
    <w:rsid w:val="00755703"/>
    <w:rsid w:val="008417F5"/>
    <w:rsid w:val="008F3BAD"/>
    <w:rsid w:val="0091174F"/>
    <w:rsid w:val="00956F1B"/>
    <w:rsid w:val="009878C1"/>
    <w:rsid w:val="009C6BAF"/>
    <w:rsid w:val="00A20843"/>
    <w:rsid w:val="00A56F21"/>
    <w:rsid w:val="00AF3E1E"/>
    <w:rsid w:val="00B710E2"/>
    <w:rsid w:val="00B744B7"/>
    <w:rsid w:val="00BF6F42"/>
    <w:rsid w:val="00CF65CA"/>
    <w:rsid w:val="00D13A5E"/>
    <w:rsid w:val="00E36AA8"/>
    <w:rsid w:val="00E52E3E"/>
    <w:rsid w:val="00E877B3"/>
    <w:rsid w:val="00F33FA9"/>
    <w:rsid w:val="00F50A73"/>
    <w:rsid w:val="00FB3A0A"/>
    <w:rsid w:val="00FD67FB"/>
    <w:rsid w:val="00FF49C4"/>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68808"/>
  <w15:chartTrackingRefBased/>
  <w15:docId w15:val="{7B3434A3-44AE-DE4C-BDD7-07D3B45E5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P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3FA9"/>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262EF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62EF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62EF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62EF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62EF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62EF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62EF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62EF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62EF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2EF8"/>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semiHidden/>
    <w:rsid w:val="00262EF8"/>
    <w:rPr>
      <w:rFonts w:asciiTheme="majorHAnsi" w:eastAsiaTheme="majorEastAsia" w:hAnsiTheme="majorHAnsi" w:cstheme="majorBidi"/>
      <w:color w:val="0F4761" w:themeColor="accent1" w:themeShade="BF"/>
      <w:sz w:val="32"/>
      <w:szCs w:val="32"/>
      <w:lang w:val="en-GB"/>
    </w:rPr>
  </w:style>
  <w:style w:type="character" w:customStyle="1" w:styleId="Heading3Char">
    <w:name w:val="Heading 3 Char"/>
    <w:basedOn w:val="DefaultParagraphFont"/>
    <w:link w:val="Heading3"/>
    <w:uiPriority w:val="9"/>
    <w:semiHidden/>
    <w:rsid w:val="00262EF8"/>
    <w:rPr>
      <w:rFonts w:eastAsiaTheme="majorEastAsia" w:cstheme="majorBidi"/>
      <w:color w:val="0F4761" w:themeColor="accent1" w:themeShade="BF"/>
      <w:sz w:val="28"/>
      <w:szCs w:val="28"/>
      <w:lang w:val="en-GB"/>
    </w:rPr>
  </w:style>
  <w:style w:type="character" w:customStyle="1" w:styleId="Heading4Char">
    <w:name w:val="Heading 4 Char"/>
    <w:basedOn w:val="DefaultParagraphFont"/>
    <w:link w:val="Heading4"/>
    <w:uiPriority w:val="9"/>
    <w:semiHidden/>
    <w:rsid w:val="00262EF8"/>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262EF8"/>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262EF8"/>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262EF8"/>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262EF8"/>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262EF8"/>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262EF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2EF8"/>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262EF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62EF8"/>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262EF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62EF8"/>
    <w:rPr>
      <w:i/>
      <w:iCs/>
      <w:color w:val="404040" w:themeColor="text1" w:themeTint="BF"/>
      <w:lang w:val="en-GB"/>
    </w:rPr>
  </w:style>
  <w:style w:type="paragraph" w:styleId="ListParagraph">
    <w:name w:val="List Paragraph"/>
    <w:basedOn w:val="Normal"/>
    <w:uiPriority w:val="34"/>
    <w:qFormat/>
    <w:rsid w:val="00262EF8"/>
    <w:pPr>
      <w:ind w:left="720"/>
      <w:contextualSpacing/>
    </w:pPr>
  </w:style>
  <w:style w:type="character" w:styleId="IntenseEmphasis">
    <w:name w:val="Intense Emphasis"/>
    <w:basedOn w:val="DefaultParagraphFont"/>
    <w:uiPriority w:val="21"/>
    <w:qFormat/>
    <w:rsid w:val="00262EF8"/>
    <w:rPr>
      <w:i/>
      <w:iCs/>
      <w:color w:val="0F4761" w:themeColor="accent1" w:themeShade="BF"/>
    </w:rPr>
  </w:style>
  <w:style w:type="paragraph" w:styleId="IntenseQuote">
    <w:name w:val="Intense Quote"/>
    <w:basedOn w:val="Normal"/>
    <w:next w:val="Normal"/>
    <w:link w:val="IntenseQuoteChar"/>
    <w:uiPriority w:val="30"/>
    <w:qFormat/>
    <w:rsid w:val="00262E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62EF8"/>
    <w:rPr>
      <w:i/>
      <w:iCs/>
      <w:color w:val="0F4761" w:themeColor="accent1" w:themeShade="BF"/>
      <w:lang w:val="en-GB"/>
    </w:rPr>
  </w:style>
  <w:style w:type="character" w:styleId="IntenseReference">
    <w:name w:val="Intense Reference"/>
    <w:basedOn w:val="DefaultParagraphFont"/>
    <w:uiPriority w:val="32"/>
    <w:qFormat/>
    <w:rsid w:val="00262EF8"/>
    <w:rPr>
      <w:b/>
      <w:bCs/>
      <w:smallCaps/>
      <w:color w:val="0F4761" w:themeColor="accent1" w:themeShade="BF"/>
      <w:spacing w:val="5"/>
    </w:rPr>
  </w:style>
  <w:style w:type="character" w:styleId="PlaceholderText">
    <w:name w:val="Placeholder Text"/>
    <w:basedOn w:val="DefaultParagraphFont"/>
    <w:uiPriority w:val="99"/>
    <w:semiHidden/>
    <w:rsid w:val="00205969"/>
    <w:rPr>
      <w:color w:val="666666"/>
    </w:rPr>
  </w:style>
  <w:style w:type="paragraph" w:styleId="EndnoteText">
    <w:name w:val="endnote text"/>
    <w:basedOn w:val="Normal"/>
    <w:link w:val="EndnoteTextChar"/>
    <w:uiPriority w:val="99"/>
    <w:semiHidden/>
    <w:unhideWhenUsed/>
    <w:rsid w:val="00484046"/>
    <w:rPr>
      <w:sz w:val="20"/>
      <w:szCs w:val="20"/>
    </w:rPr>
  </w:style>
  <w:style w:type="character" w:customStyle="1" w:styleId="EndnoteTextChar">
    <w:name w:val="Endnote Text Char"/>
    <w:basedOn w:val="DefaultParagraphFont"/>
    <w:link w:val="EndnoteText"/>
    <w:uiPriority w:val="99"/>
    <w:semiHidden/>
    <w:rsid w:val="00484046"/>
    <w:rPr>
      <w:rFonts w:ascii="Times New Roman" w:eastAsia="Times New Roman" w:hAnsi="Times New Roman" w:cs="Times New Roman"/>
      <w:kern w:val="0"/>
      <w:sz w:val="20"/>
      <w:szCs w:val="20"/>
      <w:lang w:eastAsia="en-GB"/>
      <w14:ligatures w14:val="none"/>
    </w:rPr>
  </w:style>
  <w:style w:type="character" w:styleId="EndnoteReference">
    <w:name w:val="endnote reference"/>
    <w:basedOn w:val="DefaultParagraphFont"/>
    <w:uiPriority w:val="99"/>
    <w:semiHidden/>
    <w:unhideWhenUsed/>
    <w:rsid w:val="00484046"/>
    <w:rPr>
      <w:vertAlign w:val="superscript"/>
    </w:rPr>
  </w:style>
  <w:style w:type="paragraph" w:styleId="Bibliography">
    <w:name w:val="Bibliography"/>
    <w:basedOn w:val="Normal"/>
    <w:next w:val="Normal"/>
    <w:uiPriority w:val="37"/>
    <w:unhideWhenUsed/>
    <w:rsid w:val="009878C1"/>
  </w:style>
  <w:style w:type="table" w:styleId="TableGrid">
    <w:name w:val="Table Grid"/>
    <w:basedOn w:val="TableNormal"/>
    <w:uiPriority w:val="39"/>
    <w:rsid w:val="007159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4452403">
      <w:bodyDiv w:val="1"/>
      <w:marLeft w:val="0"/>
      <w:marRight w:val="0"/>
      <w:marTop w:val="0"/>
      <w:marBottom w:val="0"/>
      <w:divBdr>
        <w:top w:val="none" w:sz="0" w:space="0" w:color="auto"/>
        <w:left w:val="none" w:sz="0" w:space="0" w:color="auto"/>
        <w:bottom w:val="none" w:sz="0" w:space="0" w:color="auto"/>
        <w:right w:val="none" w:sz="0" w:space="0" w:color="auto"/>
      </w:divBdr>
    </w:div>
    <w:div w:id="539782759">
      <w:bodyDiv w:val="1"/>
      <w:marLeft w:val="0"/>
      <w:marRight w:val="0"/>
      <w:marTop w:val="0"/>
      <w:marBottom w:val="0"/>
      <w:divBdr>
        <w:top w:val="none" w:sz="0" w:space="0" w:color="auto"/>
        <w:left w:val="none" w:sz="0" w:space="0" w:color="auto"/>
        <w:bottom w:val="none" w:sz="0" w:space="0" w:color="auto"/>
        <w:right w:val="none" w:sz="0" w:space="0" w:color="auto"/>
      </w:divBdr>
    </w:div>
    <w:div w:id="578949085">
      <w:bodyDiv w:val="1"/>
      <w:marLeft w:val="0"/>
      <w:marRight w:val="0"/>
      <w:marTop w:val="0"/>
      <w:marBottom w:val="0"/>
      <w:divBdr>
        <w:top w:val="none" w:sz="0" w:space="0" w:color="auto"/>
        <w:left w:val="none" w:sz="0" w:space="0" w:color="auto"/>
        <w:bottom w:val="none" w:sz="0" w:space="0" w:color="auto"/>
        <w:right w:val="none" w:sz="0" w:space="0" w:color="auto"/>
      </w:divBdr>
    </w:div>
    <w:div w:id="623998166">
      <w:bodyDiv w:val="1"/>
      <w:marLeft w:val="0"/>
      <w:marRight w:val="0"/>
      <w:marTop w:val="0"/>
      <w:marBottom w:val="0"/>
      <w:divBdr>
        <w:top w:val="none" w:sz="0" w:space="0" w:color="auto"/>
        <w:left w:val="none" w:sz="0" w:space="0" w:color="auto"/>
        <w:bottom w:val="none" w:sz="0" w:space="0" w:color="auto"/>
        <w:right w:val="none" w:sz="0" w:space="0" w:color="auto"/>
      </w:divBdr>
    </w:div>
    <w:div w:id="626162388">
      <w:bodyDiv w:val="1"/>
      <w:marLeft w:val="0"/>
      <w:marRight w:val="0"/>
      <w:marTop w:val="0"/>
      <w:marBottom w:val="0"/>
      <w:divBdr>
        <w:top w:val="none" w:sz="0" w:space="0" w:color="auto"/>
        <w:left w:val="none" w:sz="0" w:space="0" w:color="auto"/>
        <w:bottom w:val="none" w:sz="0" w:space="0" w:color="auto"/>
        <w:right w:val="none" w:sz="0" w:space="0" w:color="auto"/>
      </w:divBdr>
    </w:div>
    <w:div w:id="687873926">
      <w:bodyDiv w:val="1"/>
      <w:marLeft w:val="0"/>
      <w:marRight w:val="0"/>
      <w:marTop w:val="0"/>
      <w:marBottom w:val="0"/>
      <w:divBdr>
        <w:top w:val="none" w:sz="0" w:space="0" w:color="auto"/>
        <w:left w:val="none" w:sz="0" w:space="0" w:color="auto"/>
        <w:bottom w:val="none" w:sz="0" w:space="0" w:color="auto"/>
        <w:right w:val="none" w:sz="0" w:space="0" w:color="auto"/>
      </w:divBdr>
    </w:div>
    <w:div w:id="744841510">
      <w:bodyDiv w:val="1"/>
      <w:marLeft w:val="0"/>
      <w:marRight w:val="0"/>
      <w:marTop w:val="0"/>
      <w:marBottom w:val="0"/>
      <w:divBdr>
        <w:top w:val="none" w:sz="0" w:space="0" w:color="auto"/>
        <w:left w:val="none" w:sz="0" w:space="0" w:color="auto"/>
        <w:bottom w:val="none" w:sz="0" w:space="0" w:color="auto"/>
        <w:right w:val="none" w:sz="0" w:space="0" w:color="auto"/>
      </w:divBdr>
    </w:div>
    <w:div w:id="758601404">
      <w:bodyDiv w:val="1"/>
      <w:marLeft w:val="0"/>
      <w:marRight w:val="0"/>
      <w:marTop w:val="0"/>
      <w:marBottom w:val="0"/>
      <w:divBdr>
        <w:top w:val="none" w:sz="0" w:space="0" w:color="auto"/>
        <w:left w:val="none" w:sz="0" w:space="0" w:color="auto"/>
        <w:bottom w:val="none" w:sz="0" w:space="0" w:color="auto"/>
        <w:right w:val="none" w:sz="0" w:space="0" w:color="auto"/>
      </w:divBdr>
    </w:div>
    <w:div w:id="866215334">
      <w:bodyDiv w:val="1"/>
      <w:marLeft w:val="0"/>
      <w:marRight w:val="0"/>
      <w:marTop w:val="0"/>
      <w:marBottom w:val="0"/>
      <w:divBdr>
        <w:top w:val="none" w:sz="0" w:space="0" w:color="auto"/>
        <w:left w:val="none" w:sz="0" w:space="0" w:color="auto"/>
        <w:bottom w:val="none" w:sz="0" w:space="0" w:color="auto"/>
        <w:right w:val="none" w:sz="0" w:space="0" w:color="auto"/>
      </w:divBdr>
    </w:div>
    <w:div w:id="1107578042">
      <w:bodyDiv w:val="1"/>
      <w:marLeft w:val="0"/>
      <w:marRight w:val="0"/>
      <w:marTop w:val="0"/>
      <w:marBottom w:val="0"/>
      <w:divBdr>
        <w:top w:val="none" w:sz="0" w:space="0" w:color="auto"/>
        <w:left w:val="none" w:sz="0" w:space="0" w:color="auto"/>
        <w:bottom w:val="none" w:sz="0" w:space="0" w:color="auto"/>
        <w:right w:val="none" w:sz="0" w:space="0" w:color="auto"/>
      </w:divBdr>
    </w:div>
    <w:div w:id="1341736203">
      <w:bodyDiv w:val="1"/>
      <w:marLeft w:val="0"/>
      <w:marRight w:val="0"/>
      <w:marTop w:val="0"/>
      <w:marBottom w:val="0"/>
      <w:divBdr>
        <w:top w:val="none" w:sz="0" w:space="0" w:color="auto"/>
        <w:left w:val="none" w:sz="0" w:space="0" w:color="auto"/>
        <w:bottom w:val="none" w:sz="0" w:space="0" w:color="auto"/>
        <w:right w:val="none" w:sz="0" w:space="0" w:color="auto"/>
      </w:divBdr>
    </w:div>
    <w:div w:id="1365130184">
      <w:bodyDiv w:val="1"/>
      <w:marLeft w:val="0"/>
      <w:marRight w:val="0"/>
      <w:marTop w:val="0"/>
      <w:marBottom w:val="0"/>
      <w:divBdr>
        <w:top w:val="none" w:sz="0" w:space="0" w:color="auto"/>
        <w:left w:val="none" w:sz="0" w:space="0" w:color="auto"/>
        <w:bottom w:val="none" w:sz="0" w:space="0" w:color="auto"/>
        <w:right w:val="none" w:sz="0" w:space="0" w:color="auto"/>
      </w:divBdr>
    </w:div>
    <w:div w:id="1660305252">
      <w:bodyDiv w:val="1"/>
      <w:marLeft w:val="0"/>
      <w:marRight w:val="0"/>
      <w:marTop w:val="0"/>
      <w:marBottom w:val="0"/>
      <w:divBdr>
        <w:top w:val="none" w:sz="0" w:space="0" w:color="auto"/>
        <w:left w:val="none" w:sz="0" w:space="0" w:color="auto"/>
        <w:bottom w:val="none" w:sz="0" w:space="0" w:color="auto"/>
        <w:right w:val="none" w:sz="0" w:space="0" w:color="auto"/>
      </w:divBdr>
    </w:div>
    <w:div w:id="1691295313">
      <w:bodyDiv w:val="1"/>
      <w:marLeft w:val="0"/>
      <w:marRight w:val="0"/>
      <w:marTop w:val="0"/>
      <w:marBottom w:val="0"/>
      <w:divBdr>
        <w:top w:val="none" w:sz="0" w:space="0" w:color="auto"/>
        <w:left w:val="none" w:sz="0" w:space="0" w:color="auto"/>
        <w:bottom w:val="none" w:sz="0" w:space="0" w:color="auto"/>
        <w:right w:val="none" w:sz="0" w:space="0" w:color="auto"/>
      </w:divBdr>
    </w:div>
    <w:div w:id="1804542806">
      <w:bodyDiv w:val="1"/>
      <w:marLeft w:val="0"/>
      <w:marRight w:val="0"/>
      <w:marTop w:val="0"/>
      <w:marBottom w:val="0"/>
      <w:divBdr>
        <w:top w:val="none" w:sz="0" w:space="0" w:color="auto"/>
        <w:left w:val="none" w:sz="0" w:space="0" w:color="auto"/>
        <w:bottom w:val="none" w:sz="0" w:space="0" w:color="auto"/>
        <w:right w:val="none" w:sz="0" w:space="0" w:color="auto"/>
      </w:divBdr>
    </w:div>
    <w:div w:id="2088728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KGR25</b:Tag>
    <b:SourceType>JournalArticle</b:SourceType>
    <b:Guid>{6BDC5890-44B0-464F-A1E1-0AF91AF171DA}</b:Guid>
    <b:Title>Constructing efficient strata boundaries in stratified sampling using survey cost.</b:Title>
    <b:Year>2023</b:Year>
    <b:InternetSiteTitle>National Institutes of Health</b:InternetSiteTitle>
    <b:URL>https://pmc.ncbi.nlm.nih.gov/articles/PMC10641212/</b:URL>
    <b:Month>October</b:Month>
    <b:Day>12</b:Day>
    <b:Author>
      <b:Author>
        <b:NameList>
          <b:Person>
            <b:Last>K. G.</b:Last>
            <b:First>Reddy</b:First>
          </b:Person>
          <b:Person>
            <b:Last>Khan</b:Last>
            <b:First>M. G. M.</b:First>
          </b:Person>
        </b:NameList>
      </b:Author>
    </b:Author>
    <b:JournalName>Heliyon</b:JournalName>
    <b:Pages>e21407</b:Pages>
    <b:RefOrder>1</b:RefOrder>
  </b:Source>
  <b:Source>
    <b:Tag>Sal21</b:Tag>
    <b:SourceType>ConferenceProceedings</b:SourceType>
    <b:Guid>{C920FE2C-808E-6F47-ABE0-1672998A6144}</b:Guid>
    <b:Title>Short-wave Infrared Photoacoustic Spectroscopy for Lipid and Water Detection</b:Title>
    <b:Year>2021</b:Year>
    <b:Pages>1-4</b:Pages>
    <b:Author>
      <b:Author>
        <b:NameList>
          <b:Person>
            <b:Last>Salinas</b:Last>
            <b:First>C.</b:First>
            <b:Middle>M.</b:Middle>
          </b:Person>
          <b:Person>
            <b:Last>Reichel</b:Last>
            <b:First>E.</b:First>
          </b:Person>
          <b:Person>
            <b:Last>Witte</b:Last>
            <b:First>R.</b:First>
            <b:Middle>S.</b:Middle>
          </b:Person>
        </b:NameList>
      </b:Author>
    </b:Author>
    <b:ConferenceName>2021 IEEE International Ultrasonics Symposium (IUS)</b:ConferenceName>
    <b:Publisher>IEEE</b:Publisher>
    <b:City>Xi’an, China</b:City>
    <b:RefOrder>2</b:RefOrder>
  </b:Source>
</b:Sources>
</file>

<file path=customXml/itemProps1.xml><?xml version="1.0" encoding="utf-8"?>
<ds:datastoreItem xmlns:ds="http://schemas.openxmlformats.org/officeDocument/2006/customXml" ds:itemID="{8EF0E584-3D1E-EE41-AE8B-B548570D9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5</Pages>
  <Words>740</Words>
  <Characters>4221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Hassan Majeed</dc:creator>
  <cp:keywords/>
  <dc:description/>
  <cp:lastModifiedBy>Hassan Majeed</cp:lastModifiedBy>
  <cp:revision>13</cp:revision>
  <dcterms:created xsi:type="dcterms:W3CDTF">2025-10-12T06:39:00Z</dcterms:created>
  <dcterms:modified xsi:type="dcterms:W3CDTF">2025-10-12T13:01:00Z</dcterms:modified>
</cp:coreProperties>
</file>