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zh-CN"/>
        </w:rPr>
        <w:t>Migración de aplicaciones a</w:t>
      </w:r>
      <w:r>
        <w:rPr>
          <w:rFonts w:hint="default" w:ascii="Times New Roman" w:hAnsi="Times New Roman" w:cs="Times New Roman"/>
          <w:b/>
          <w:bCs/>
          <w:sz w:val="40"/>
          <w:szCs w:val="40"/>
        </w:rPr>
        <w:t xml:space="preserve"> Hybrid Cloud (Datacenter + Google Cloud)</w:t>
      </w: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center"/>
        <w:rPr>
          <w:rFonts w:hint="default" w:ascii="Times New Roman" w:hAnsi="Times New Roman" w:cs="Times New Roman"/>
        </w:rPr>
      </w:pPr>
    </w:p>
    <w:p>
      <w:pPr>
        <w:jc w:val="right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Grupo 1</w:t>
      </w:r>
    </w:p>
    <w:p>
      <w:pPr>
        <w:jc w:val="righ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Daniel Huanca Gutierrez</w:t>
      </w:r>
    </w:p>
    <w:p>
      <w:pPr>
        <w:jc w:val="right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Elswee Luis Vázquez Diaz</w:t>
      </w:r>
    </w:p>
    <w:p>
      <w:pPr>
        <w:jc w:val="right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Ingrid Izabel Trampe Arana</w:t>
      </w:r>
    </w:p>
    <w:p>
      <w:pPr>
        <w:jc w:val="righ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Kenneth Alexander Olivas Baldizón</w:t>
      </w:r>
    </w:p>
    <w:p>
      <w:pPr>
        <w:jc w:val="righ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Rodrigo</w:t>
      </w:r>
      <w:bookmarkStart w:id="24" w:name="_GoBack"/>
      <w:bookmarkEnd w:id="24"/>
      <w:r>
        <w:rPr>
          <w:rFonts w:hint="default" w:ascii="Times New Roman" w:hAnsi="Times New Roman" w:cs="Times New Roman"/>
        </w:rPr>
        <w:t xml:space="preserve"> Alejandro Cruz Fagiani</w:t>
      </w:r>
    </w:p>
    <w:p>
      <w:pPr>
        <w:jc w:val="center"/>
        <w:rPr>
          <w:rFonts w:hint="default" w:ascii="Times New Roman" w:hAnsi="Times New Roman" w:cs="Times New Roman"/>
        </w:rPr>
      </w:pPr>
    </w:p>
    <w:sdt>
      <w:sdtPr>
        <w:rPr>
          <w:rFonts w:hint="default" w:ascii="Times New Roman" w:hAnsi="Times New Roman" w:cs="Times New Roman"/>
        </w:rPr>
        <w:id w:val="-1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Asci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>
          <w:pPr>
            <w:pStyle w:val="39"/>
            <w:rPr>
              <w:rFonts w:hint="default" w:ascii="Times New Roman" w:hAnsi="Times New Roman" w:cs="Times New Roman"/>
              <w:color w:val="auto"/>
            </w:rPr>
          </w:pPr>
          <w:r>
            <w:rPr>
              <w:rFonts w:hint="default" w:ascii="Times New Roman" w:hAnsi="Times New Roman" w:cs="Times New Roman"/>
              <w:color w:val="auto"/>
            </w:rPr>
            <w:t>Sumário</w:t>
          </w:r>
        </w:p>
        <w:p>
          <w:pPr>
            <w:pStyle w:val="19"/>
            <w:tabs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TOC \o "1-3" \h \z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"_Toc217240036"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b/>
              <w:bCs/>
              <w:lang w:val="zh-CN"/>
            </w:rPr>
            <w:t>Aplicación 1 – Portal de Venta de Seguros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_Toc217240036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"_Toc217240037"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1.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Descubrimiento de la aplicación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_Toc217240037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"_Toc217240038"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2.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Métricas relevantes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_Toc217240038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"_Toc217240039"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3.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Evaluación y decisión (6 R’s)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_Toc217240039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"_Toc217240040"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4.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Beneficios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_Toc217240040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5.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Riesgos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_Toc217240041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6.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Evaluación numérica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_Toc217240042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7. Conclusión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19"/>
            <w:tabs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Aplicación 2 – Migración de Aplicaciones no Modernizadas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_Toc217240044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1.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Descubrimiento de la aplicación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_Toc217240045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2.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Métricas relevantes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3.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Evaluación y decisión (6 R’s)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_Toc217240047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4.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Beneficios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_Toc217240048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"_Toc217240049"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5.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Riesgos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_Toc217240049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"_Toc217240050"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6.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Evaluación numérica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_Toc217240050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7.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Conclusión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_Toc217240051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19"/>
            <w:tabs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Aplicación 3 – Plataforma de Analítica de Campañas Comerciales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_Toc217240052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1.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Descubrimiento de la aplicación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2.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Métricas relevantes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_Toc217240054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3.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Evaluación y decisión (6 R’s)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_Toc217240055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4.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Beneficios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5.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Riesgos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_Toc217240057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6.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Evaluación numérica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_Toc217240058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pStyle w:val="20"/>
            <w:tabs>
              <w:tab w:val="left" w:pos="720"/>
              <w:tab w:val="right" w:leader="dot" w:pos="8494"/>
            </w:tabs>
            <w:rPr>
              <w:rFonts w:hint="default" w:ascii="Times New Roman" w:hAnsi="Times New Roman" w:cs="Times New Roman" w:eastAsiaTheme="minorEastAsia"/>
              <w:lang w:eastAsia="pt-BR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"_Toc217240059"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7.</w:t>
          </w:r>
          <w:r>
            <w:rPr>
              <w:rFonts w:hint="default" w:ascii="Times New Roman" w:hAnsi="Times New Roman" w:cs="Times New Roman" w:eastAsiaTheme="minorEastAsia"/>
              <w:lang w:eastAsia="pt-BR"/>
            </w:rPr>
            <w:tab/>
          </w:r>
          <w:r>
            <w:rPr>
              <w:rStyle w:val="15"/>
              <w:rFonts w:hint="default" w:ascii="Times New Roman" w:hAnsi="Times New Roman" w:cs="Times New Roman"/>
              <w:lang w:val="zh-CN"/>
            </w:rPr>
            <w:t>Conclusión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_Toc217240059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  <w:b/>
              <w:bCs/>
            </w:rPr>
            <w:fldChar w:fldCharType="end"/>
          </w:r>
        </w:p>
      </w:sdtContent>
    </w:sdt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rPr>
          <w:rFonts w:hint="default" w:ascii="Times New Roman" w:hAnsi="Times New Roman" w:cs="Times New Roman"/>
          <w:b/>
          <w:bCs/>
          <w:color w:val="auto"/>
          <w:sz w:val="36"/>
          <w:szCs w:val="36"/>
          <w:lang w:val="zh-CN"/>
        </w:rPr>
      </w:pPr>
      <w:bookmarkStart w:id="0" w:name="_Toc217240036"/>
      <w:r>
        <w:rPr>
          <w:rFonts w:hint="default" w:ascii="Times New Roman" w:hAnsi="Times New Roman" w:cs="Times New Roman"/>
          <w:b/>
          <w:bCs/>
          <w:color w:val="auto"/>
          <w:sz w:val="36"/>
          <w:szCs w:val="36"/>
          <w:lang w:val="zh-CN"/>
        </w:rPr>
        <w:t>Aplicación 1 – Portal de Venta de Seguros</w:t>
      </w:r>
      <w:bookmarkEnd w:id="0"/>
    </w:p>
    <w:p>
      <w:pPr>
        <w:pStyle w:val="3"/>
        <w:numPr>
          <w:ilvl w:val="0"/>
          <w:numId w:val="1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" w:name="_Toc217240037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Descubrimiento de la aplicación</w:t>
      </w:r>
      <w:bookmarkEnd w:id="1"/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Motivación de la aplicación</w:t>
      </w:r>
    </w:p>
    <w:p>
      <w:p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El Portal de Venta de Seguros es una aplicación orientada a la captación de clientes y generación de propuestas comerciales personalizadas. Su objetivo principal es ofrecer productos de seguros adaptados a la ubicación geográfica del cliente, teniendo en cuenta factores regionales y normativos.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Número de usuarios / departamentos</w:t>
      </w:r>
    </w:p>
    <w:p>
      <w:pPr>
        <w:pStyle w:val="34"/>
        <w:numPr>
          <w:ilvl w:val="0"/>
          <w:numId w:val="2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Usuarios externos: clientes finales</w:t>
      </w:r>
    </w:p>
    <w:p>
      <w:pPr>
        <w:pStyle w:val="34"/>
        <w:numPr>
          <w:ilvl w:val="0"/>
          <w:numId w:val="2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Departamentos internos: Comercial, Marketing y Riesgos</w:t>
      </w:r>
    </w:p>
    <w:p>
      <w:pPr>
        <w:pStyle w:val="34"/>
        <w:numPr>
          <w:ilvl w:val="0"/>
          <w:numId w:val="2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Volumen aproximado: miles de usuarios concurrentes en campañas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Tipología de usuario</w:t>
      </w:r>
    </w:p>
    <w:p>
      <w:pPr>
        <w:pStyle w:val="34"/>
        <w:numPr>
          <w:ilvl w:val="0"/>
          <w:numId w:val="3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Usuarios externos (web)</w:t>
      </w:r>
    </w:p>
    <w:p>
      <w:pPr>
        <w:pStyle w:val="34"/>
        <w:numPr>
          <w:ilvl w:val="0"/>
          <w:numId w:val="3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Personal comercial interno para seguimiento de propuestas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Frecuencia de uso</w:t>
      </w:r>
    </w:p>
    <w:p>
      <w:pPr>
        <w:pStyle w:val="34"/>
        <w:numPr>
          <w:ilvl w:val="0"/>
          <w:numId w:val="4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Uso continuo 24x7</w:t>
      </w:r>
    </w:p>
    <w:p>
      <w:pPr>
        <w:pStyle w:val="34"/>
        <w:numPr>
          <w:ilvl w:val="0"/>
          <w:numId w:val="4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Picos elevados en campañas comerciales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Quién la desarrolló</w:t>
      </w:r>
    </w:p>
    <w:p>
      <w:pPr>
        <w:pStyle w:val="34"/>
        <w:numPr>
          <w:ilvl w:val="0"/>
          <w:numId w:val="5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Desarrollo interno con apoyo de proveedor externo</w:t>
      </w:r>
    </w:p>
    <w:p>
      <w:pPr>
        <w:pStyle w:val="34"/>
        <w:numPr>
          <w:ilvl w:val="0"/>
          <w:numId w:val="5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Arquitectura web moderna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Estado de la aplicación</w:t>
      </w:r>
    </w:p>
    <w:p>
      <w:pPr>
        <w:pStyle w:val="34"/>
        <w:numPr>
          <w:ilvl w:val="0"/>
          <w:numId w:val="6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Aplicación activa y estratégica</w:t>
      </w:r>
    </w:p>
    <w:p>
      <w:pPr>
        <w:pStyle w:val="34"/>
        <w:numPr>
          <w:ilvl w:val="0"/>
          <w:numId w:val="6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Requisitos elevados de seguridad y cumplimiento normativo</w:t>
      </w:r>
    </w:p>
    <w:p>
      <w:pPr>
        <w:pStyle w:val="34"/>
        <w:numPr>
          <w:ilvl w:val="0"/>
          <w:numId w:val="6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Integración con servicios externos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Recursos requeridos</w:t>
      </w:r>
    </w:p>
    <w:p>
      <w:pPr>
        <w:pStyle w:val="34"/>
        <w:numPr>
          <w:ilvl w:val="0"/>
          <w:numId w:val="7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Frontends web</w:t>
      </w:r>
    </w:p>
    <w:p>
      <w:pPr>
        <w:pStyle w:val="34"/>
        <w:numPr>
          <w:ilvl w:val="0"/>
          <w:numId w:val="7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Balanceadores</w:t>
      </w:r>
    </w:p>
    <w:p>
      <w:pPr>
        <w:pStyle w:val="34"/>
        <w:numPr>
          <w:ilvl w:val="0"/>
          <w:numId w:val="7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Base de datos corporativa on-premise</w:t>
      </w:r>
    </w:p>
    <w:p>
      <w:pPr>
        <w:pStyle w:val="34"/>
        <w:numPr>
          <w:ilvl w:val="0"/>
          <w:numId w:val="7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Integración con APIs externas (Google Maps, reCAPTCHA)</w:t>
      </w:r>
    </w:p>
    <w:p>
      <w:pPr>
        <w:pStyle w:val="3"/>
        <w:numPr>
          <w:ilvl w:val="0"/>
          <w:numId w:val="1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2" w:name="_Toc217240038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Métricas relevantes</w:t>
      </w:r>
      <w:bookmarkEnd w:id="2"/>
    </w:p>
    <w:p>
      <w:pPr>
        <w:pStyle w:val="34"/>
        <w:numPr>
          <w:ilvl w:val="0"/>
          <w:numId w:val="8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Disponibilidad: Alta</w:t>
      </w:r>
    </w:p>
    <w:p>
      <w:pPr>
        <w:pStyle w:val="34"/>
        <w:numPr>
          <w:ilvl w:val="0"/>
          <w:numId w:val="8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Sensibilidad del dato: Alta</w:t>
      </w:r>
    </w:p>
    <w:p>
      <w:pPr>
        <w:pStyle w:val="34"/>
        <w:numPr>
          <w:ilvl w:val="0"/>
          <w:numId w:val="8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Escalabilidad: Media</w:t>
      </w:r>
    </w:p>
    <w:p>
      <w:pPr>
        <w:pStyle w:val="34"/>
        <w:numPr>
          <w:ilvl w:val="0"/>
          <w:numId w:val="8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Dependencia del DC: Alta (datos y compliance)</w:t>
      </w:r>
    </w:p>
    <w:p>
      <w:pPr>
        <w:rPr>
          <w:rFonts w:hint="default" w:ascii="Times New Roman" w:hAnsi="Times New Roman" w:cs="Times New Roman"/>
          <w:lang w:val="zh-CN"/>
        </w:rPr>
      </w:pPr>
    </w:p>
    <w:p>
      <w:pPr>
        <w:pStyle w:val="3"/>
        <w:numPr>
          <w:ilvl w:val="0"/>
          <w:numId w:val="1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3" w:name="_Toc217240039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Evaluación y decisión (6 R’s)</w:t>
      </w:r>
      <w:bookmarkEnd w:id="3"/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Decisión tomada: Retain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Método</w:t>
      </w:r>
    </w:p>
    <w:p>
      <w:p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La aplicación mantiene sus Frontends, balanceadores y base de datos en el Datacenter corporativo. Se integran servicios Cloud externos (APIs de Google Maps y reCAPTCHA) de forma controlada mediante claves y restricciones por URL.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Justificación</w:t>
      </w:r>
    </w:p>
    <w:p>
      <w:pPr>
        <w:pStyle w:val="34"/>
        <w:numPr>
          <w:ilvl w:val="0"/>
          <w:numId w:val="9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Requisitos regulatorios estrictos</w:t>
      </w:r>
    </w:p>
    <w:p>
      <w:pPr>
        <w:pStyle w:val="34"/>
        <w:numPr>
          <w:ilvl w:val="0"/>
          <w:numId w:val="9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Necesidad de control total sobre datos sensibles</w:t>
      </w:r>
    </w:p>
    <w:p>
      <w:pPr>
        <w:pStyle w:val="34"/>
        <w:numPr>
          <w:ilvl w:val="0"/>
          <w:numId w:val="9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Uso puntual de servicios cloud sin mover la aplicación core</w:t>
      </w:r>
    </w:p>
    <w:p>
      <w:pPr>
        <w:pStyle w:val="3"/>
        <w:numPr>
          <w:ilvl w:val="0"/>
          <w:numId w:val="1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4" w:name="_Toc217240040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Beneficios</w:t>
      </w:r>
      <w:bookmarkEnd w:id="4"/>
    </w:p>
    <w:p>
      <w:pPr>
        <w:pStyle w:val="34"/>
        <w:numPr>
          <w:ilvl w:val="0"/>
          <w:numId w:val="10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Cumplimiento normativo</w:t>
      </w:r>
    </w:p>
    <w:p>
      <w:pPr>
        <w:pStyle w:val="34"/>
        <w:numPr>
          <w:ilvl w:val="0"/>
          <w:numId w:val="10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Personalización regional del servicio</w:t>
      </w:r>
    </w:p>
    <w:p>
      <w:pPr>
        <w:pStyle w:val="34"/>
        <w:numPr>
          <w:ilvl w:val="0"/>
          <w:numId w:val="10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Reducción de fraude y bots</w:t>
      </w:r>
    </w:p>
    <w:p>
      <w:pPr>
        <w:pStyle w:val="34"/>
        <w:numPr>
          <w:ilvl w:val="0"/>
          <w:numId w:val="10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Control total de la arquitectura</w:t>
      </w:r>
    </w:p>
    <w:p>
      <w:pPr>
        <w:pStyle w:val="3"/>
        <w:numPr>
          <w:ilvl w:val="0"/>
          <w:numId w:val="1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5" w:name="_Toc217240041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Riesgos</w:t>
      </w:r>
      <w:bookmarkEnd w:id="5"/>
    </w:p>
    <w:p>
      <w:pPr>
        <w:pStyle w:val="34"/>
        <w:numPr>
          <w:ilvl w:val="0"/>
          <w:numId w:val="11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Dependencia de APIs externas</w:t>
      </w:r>
    </w:p>
    <w:p>
      <w:pPr>
        <w:pStyle w:val="34"/>
        <w:numPr>
          <w:ilvl w:val="0"/>
          <w:numId w:val="11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Costes de licenciamiento</w:t>
      </w:r>
    </w:p>
    <w:p>
      <w:pPr>
        <w:pStyle w:val="34"/>
        <w:numPr>
          <w:ilvl w:val="0"/>
          <w:numId w:val="11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Limitaciones de escalado on-premise</w:t>
      </w:r>
    </w:p>
    <w:p>
      <w:pPr>
        <w:rPr>
          <w:rFonts w:hint="default" w:ascii="Times New Roman" w:hAnsi="Times New Roman" w:cs="Times New Roman"/>
          <w:lang w:val="zh-CN"/>
        </w:rPr>
      </w:pPr>
    </w:p>
    <w:p>
      <w:pPr>
        <w:pStyle w:val="3"/>
        <w:numPr>
          <w:ilvl w:val="0"/>
          <w:numId w:val="1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6" w:name="_Toc217240042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Evaluación numérica</w:t>
      </w:r>
      <w:bookmarkEnd w:id="6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7"/>
        <w:gridCol w:w="424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b/>
                <w:bCs/>
                <w:lang w:val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zh-CN"/>
              </w:rPr>
              <w:t>Parámetro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b/>
                <w:bCs/>
                <w:lang w:val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Tiempo de migración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Coste / esfuerzo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2</w:t>
            </w:r>
          </w:p>
        </w:tc>
      </w:tr>
    </w:tbl>
    <w:p>
      <w:pPr>
        <w:rPr>
          <w:rFonts w:hint="default" w:ascii="Times New Roman" w:hAnsi="Times New Roman" w:cs="Times New Roman"/>
          <w:lang w:val="zh-CN"/>
        </w:rPr>
      </w:pPr>
    </w:p>
    <w:p>
      <w:pPr>
        <w:pStyle w:val="3"/>
        <w:numPr>
          <w:ilvl w:val="0"/>
          <w:numId w:val="1"/>
        </w:numPr>
        <w:rPr>
          <w:rFonts w:hint="default" w:ascii="Times New Roman" w:hAnsi="Times New Roman" w:cs="Times New Roman"/>
          <w:color w:val="auto"/>
          <w:lang w:val="zh-CN"/>
        </w:rPr>
      </w:pPr>
      <w:bookmarkStart w:id="7" w:name="_Toc217240043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Conclusión</w:t>
      </w:r>
      <w:bookmarkEnd w:id="7"/>
    </w:p>
    <w:p>
      <w:p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La decisión Retain permite explotar capacidades Cloud sin comprometer seguridad ni cumplimiento, encajando en una estrategia híbrida madura.</w:t>
      </w:r>
    </w:p>
    <w:p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br w:type="page"/>
      </w:r>
    </w:p>
    <w:p>
      <w:pPr>
        <w:pStyle w:val="2"/>
        <w:rPr>
          <w:rFonts w:hint="default" w:ascii="Times New Roman" w:hAnsi="Times New Roman" w:cs="Times New Roman"/>
          <w:color w:val="auto"/>
          <w:sz w:val="36"/>
          <w:szCs w:val="36"/>
          <w:lang w:val="zh-CN"/>
        </w:rPr>
      </w:pPr>
      <w:bookmarkStart w:id="8" w:name="_Toc217240044"/>
      <w:r>
        <w:rPr>
          <w:rFonts w:hint="default" w:ascii="Times New Roman" w:hAnsi="Times New Roman" w:cs="Times New Roman"/>
          <w:color w:val="auto"/>
          <w:sz w:val="36"/>
          <w:szCs w:val="36"/>
          <w:lang w:val="zh-CN"/>
        </w:rPr>
        <w:t>Aplicación 2 – Migración de Aplicaciones no Modernizadas</w:t>
      </w:r>
      <w:bookmarkEnd w:id="8"/>
    </w:p>
    <w:p>
      <w:pPr>
        <w:pStyle w:val="3"/>
        <w:numPr>
          <w:ilvl w:val="0"/>
          <w:numId w:val="12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9" w:name="_Toc217240045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Descubrimiento de la aplicación</w:t>
      </w:r>
      <w:bookmarkEnd w:id="9"/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Motivación de la aplicación</w:t>
      </w:r>
    </w:p>
    <w:p>
      <w:p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Con el objetivo de liberar capacidad en el datacenter y avanzar en la transición al Cloud, se identifican aplicaciones legacy sin roadmap de modernización ni dependencias críticas que puedan migrarse de forma directa.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Número de usuarios / departamentos</w:t>
      </w:r>
    </w:p>
    <w:p>
      <w:pPr>
        <w:pStyle w:val="34"/>
        <w:numPr>
          <w:ilvl w:val="0"/>
          <w:numId w:val="13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Usuarios internos</w:t>
      </w:r>
    </w:p>
    <w:p>
      <w:pPr>
        <w:pStyle w:val="34"/>
        <w:numPr>
          <w:ilvl w:val="0"/>
          <w:numId w:val="13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Departamentos: IT, Operaciones y Soporte</w:t>
      </w:r>
    </w:p>
    <w:p>
      <w:pPr>
        <w:pStyle w:val="34"/>
        <w:numPr>
          <w:ilvl w:val="0"/>
          <w:numId w:val="13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Entre 50 y 200 usuarios por aplicación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Tipología de usuario</w:t>
      </w:r>
    </w:p>
    <w:p>
      <w:pPr>
        <w:pStyle w:val="34"/>
        <w:numPr>
          <w:ilvl w:val="0"/>
          <w:numId w:val="14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Usuarios corporativos</w:t>
      </w:r>
    </w:p>
    <w:p>
      <w:pPr>
        <w:pStyle w:val="34"/>
        <w:numPr>
          <w:ilvl w:val="0"/>
          <w:numId w:val="14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Administradores IT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Frecuencia de uso</w:t>
      </w:r>
    </w:p>
    <w:p>
      <w:pPr>
        <w:pStyle w:val="34"/>
        <w:numPr>
          <w:ilvl w:val="0"/>
          <w:numId w:val="15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Uso diario</w:t>
      </w:r>
    </w:p>
    <w:p>
      <w:pPr>
        <w:pStyle w:val="34"/>
        <w:numPr>
          <w:ilvl w:val="0"/>
          <w:numId w:val="15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Cargas estables y predecibles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Quién la desarrolló</w:t>
      </w:r>
    </w:p>
    <w:p>
      <w:pPr>
        <w:pStyle w:val="34"/>
        <w:numPr>
          <w:ilvl w:val="0"/>
          <w:numId w:val="16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Desarrollo interno y aplicaciones heredadas</w:t>
      </w:r>
    </w:p>
    <w:p>
      <w:pPr>
        <w:pStyle w:val="34"/>
        <w:numPr>
          <w:ilvl w:val="0"/>
          <w:numId w:val="16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Arquitecturas tradicionales basadas en VMware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Estado de la aplicación</w:t>
      </w:r>
    </w:p>
    <w:p>
      <w:pPr>
        <w:pStyle w:val="34"/>
        <w:numPr>
          <w:ilvl w:val="0"/>
          <w:numId w:val="17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Estables</w:t>
      </w:r>
    </w:p>
    <w:p>
      <w:pPr>
        <w:pStyle w:val="34"/>
        <w:numPr>
          <w:ilvl w:val="0"/>
          <w:numId w:val="17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Sin evolución funcional prevista</w:t>
      </w:r>
    </w:p>
    <w:p>
      <w:pPr>
        <w:pStyle w:val="34"/>
        <w:numPr>
          <w:ilvl w:val="0"/>
          <w:numId w:val="17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Coste elevado de mantenimiento on-premise</w:t>
      </w:r>
    </w:p>
    <w:p>
      <w:pP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zh-CN"/>
        </w:rPr>
        <w:t>Recursos requeridos</w:t>
      </w:r>
    </w:p>
    <w:p>
      <w:pPr>
        <w:pStyle w:val="34"/>
        <w:numPr>
          <w:ilvl w:val="0"/>
          <w:numId w:val="18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Máquinas virtuales</w:t>
      </w:r>
    </w:p>
    <w:p>
      <w:pPr>
        <w:pStyle w:val="34"/>
        <w:numPr>
          <w:ilvl w:val="0"/>
          <w:numId w:val="18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Red corporativa</w:t>
      </w:r>
    </w:p>
    <w:p>
      <w:pPr>
        <w:pStyle w:val="34"/>
        <w:numPr>
          <w:ilvl w:val="0"/>
          <w:numId w:val="18"/>
        </w:numPr>
        <w:rPr>
          <w:rFonts w:hint="default" w:ascii="Times New Roman" w:hAnsi="Times New Roman" w:cs="Times New Roman"/>
          <w:sz w:val="22"/>
          <w:szCs w:val="22"/>
          <w:lang w:val="zh-CN"/>
        </w:rPr>
      </w:pPr>
      <w:r>
        <w:rPr>
          <w:rFonts w:hint="default" w:ascii="Times New Roman" w:hAnsi="Times New Roman" w:cs="Times New Roman"/>
          <w:sz w:val="22"/>
          <w:szCs w:val="22"/>
          <w:lang w:val="zh-CN"/>
        </w:rPr>
        <w:t>Integración con identidad corporativa</w:t>
      </w:r>
    </w:p>
    <w:p>
      <w:pPr>
        <w:pStyle w:val="3"/>
        <w:numPr>
          <w:ilvl w:val="0"/>
          <w:numId w:val="12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0" w:name="_Toc217240046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Métricas relevantes</w:t>
      </w:r>
      <w:bookmarkEnd w:id="10"/>
    </w:p>
    <w:p>
      <w:pPr>
        <w:pStyle w:val="34"/>
        <w:numPr>
          <w:ilvl w:val="0"/>
          <w:numId w:val="19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Criticidad: Media</w:t>
      </w:r>
    </w:p>
    <w:p>
      <w:pPr>
        <w:pStyle w:val="34"/>
        <w:numPr>
          <w:ilvl w:val="0"/>
          <w:numId w:val="19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Escalabilidad requerida: Baja</w:t>
      </w:r>
    </w:p>
    <w:p>
      <w:pPr>
        <w:pStyle w:val="34"/>
        <w:numPr>
          <w:ilvl w:val="0"/>
          <w:numId w:val="19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Dependencias externas: Muy bajas</w:t>
      </w:r>
    </w:p>
    <w:p>
      <w:pPr>
        <w:pStyle w:val="34"/>
        <w:numPr>
          <w:ilvl w:val="0"/>
          <w:numId w:val="19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Coste on-premise: Alto</w:t>
      </w:r>
    </w:p>
    <w:p>
      <w:pPr>
        <w:pStyle w:val="3"/>
        <w:numPr>
          <w:ilvl w:val="0"/>
          <w:numId w:val="12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1" w:name="_Toc217240047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Evaluación y decisión (6 R’s)</w:t>
      </w:r>
      <w:bookmarkEnd w:id="11"/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Decisión tomada: Rehost (Lift &amp; Shift)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Método</w:t>
      </w:r>
    </w:p>
    <w:p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Migración directa de las máquinas virtuales al Google Cloud VMware Engine, manteniendo arquitectura, sistemas operativos y configuraciones actuales. Todo el tráfico continúa pasando por on-premise, sin salida directa a internet.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Justificación</w:t>
      </w:r>
    </w:p>
    <w:p>
      <w:pPr>
        <w:pStyle w:val="34"/>
        <w:numPr>
          <w:ilvl w:val="0"/>
          <w:numId w:val="20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Reducción rápida de consumo de datacenter</w:t>
      </w:r>
    </w:p>
    <w:p>
      <w:pPr>
        <w:pStyle w:val="34"/>
        <w:numPr>
          <w:ilvl w:val="0"/>
          <w:numId w:val="20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Bajo riesgo</w:t>
      </w:r>
    </w:p>
    <w:p>
      <w:pPr>
        <w:pStyle w:val="34"/>
        <w:numPr>
          <w:ilvl w:val="0"/>
          <w:numId w:val="20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Sin cambios en la aplicación</w:t>
      </w:r>
    </w:p>
    <w:p>
      <w:pPr>
        <w:pStyle w:val="34"/>
        <w:numPr>
          <w:ilvl w:val="0"/>
          <w:numId w:val="20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Integración con Entra ID y redes corporativas</w:t>
      </w:r>
    </w:p>
    <w:p>
      <w:pPr>
        <w:pStyle w:val="3"/>
        <w:numPr>
          <w:ilvl w:val="0"/>
          <w:numId w:val="12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2" w:name="_Toc217240048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Beneficios</w:t>
      </w:r>
      <w:bookmarkEnd w:id="12"/>
    </w:p>
    <w:p>
      <w:pPr>
        <w:pStyle w:val="34"/>
        <w:numPr>
          <w:ilvl w:val="0"/>
          <w:numId w:val="21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Liberación de espacio físico</w:t>
      </w:r>
    </w:p>
    <w:p>
      <w:pPr>
        <w:pStyle w:val="34"/>
        <w:numPr>
          <w:ilvl w:val="0"/>
          <w:numId w:val="21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Continuidad operativa</w:t>
      </w:r>
    </w:p>
    <w:p>
      <w:pPr>
        <w:pStyle w:val="34"/>
        <w:numPr>
          <w:ilvl w:val="0"/>
          <w:numId w:val="21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Reducción de costes de infraestructura</w:t>
      </w:r>
    </w:p>
    <w:p>
      <w:pPr>
        <w:pStyle w:val="34"/>
        <w:numPr>
          <w:ilvl w:val="0"/>
          <w:numId w:val="21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Base para futuras decisiones de modernización</w:t>
      </w:r>
    </w:p>
    <w:p>
      <w:pPr>
        <w:pStyle w:val="3"/>
        <w:numPr>
          <w:ilvl w:val="0"/>
          <w:numId w:val="12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3" w:name="_Toc217240049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Riesgos</w:t>
      </w:r>
      <w:bookmarkEnd w:id="13"/>
    </w:p>
    <w:p>
      <w:pPr>
        <w:pStyle w:val="34"/>
        <w:numPr>
          <w:ilvl w:val="0"/>
          <w:numId w:val="22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Arrastre de deuda técnica</w:t>
      </w:r>
    </w:p>
    <w:p>
      <w:pPr>
        <w:pStyle w:val="34"/>
        <w:numPr>
          <w:ilvl w:val="0"/>
          <w:numId w:val="22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Costes Cloud si no se optimiza</w:t>
      </w:r>
    </w:p>
    <w:p>
      <w:pPr>
        <w:pStyle w:val="34"/>
        <w:numPr>
          <w:ilvl w:val="0"/>
          <w:numId w:val="22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No mejora funcional inmediata</w:t>
      </w:r>
    </w:p>
    <w:p>
      <w:pPr>
        <w:pStyle w:val="3"/>
        <w:numPr>
          <w:ilvl w:val="0"/>
          <w:numId w:val="12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4" w:name="_Toc217240050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Evaluación numérica</w:t>
      </w:r>
      <w:bookmarkEnd w:id="14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7"/>
        <w:gridCol w:w="424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b/>
                <w:bCs/>
                <w:lang w:val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zh-CN"/>
              </w:rPr>
              <w:t>Parámetro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b/>
                <w:bCs/>
                <w:lang w:val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Tiempo de migración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Coste / esfuerzo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2</w:t>
            </w:r>
          </w:p>
        </w:tc>
      </w:tr>
    </w:tbl>
    <w:p>
      <w:pPr>
        <w:pStyle w:val="3"/>
        <w:numPr>
          <w:ilvl w:val="0"/>
          <w:numId w:val="12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5" w:name="_Toc217240051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Conclusión</w:t>
      </w:r>
      <w:bookmarkEnd w:id="15"/>
    </w:p>
    <w:p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El Rehost es la opción más eficiente para avanzar rápidamente en la transición al cloud sin comprometer la estabilidad.</w:t>
      </w:r>
    </w:p>
    <w:p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br w:type="page"/>
      </w:r>
    </w:p>
    <w:p>
      <w:pPr>
        <w:rPr>
          <w:rFonts w:hint="default" w:ascii="Times New Roman" w:hAnsi="Times New Roman" w:cs="Times New Roman"/>
          <w:lang w:val="zh-CN"/>
        </w:rPr>
      </w:pPr>
    </w:p>
    <w:p>
      <w:pPr>
        <w:pStyle w:val="2"/>
        <w:rPr>
          <w:rFonts w:hint="default" w:ascii="Times New Roman" w:hAnsi="Times New Roman" w:cs="Times New Roman"/>
          <w:color w:val="auto"/>
          <w:sz w:val="36"/>
          <w:szCs w:val="36"/>
          <w:lang w:val="zh-CN"/>
        </w:rPr>
      </w:pPr>
      <w:bookmarkStart w:id="16" w:name="_Toc217240052"/>
      <w:r>
        <w:rPr>
          <w:rFonts w:hint="default" w:ascii="Times New Roman" w:hAnsi="Times New Roman" w:cs="Times New Roman"/>
          <w:color w:val="auto"/>
          <w:sz w:val="36"/>
          <w:szCs w:val="36"/>
          <w:lang w:val="zh-CN"/>
        </w:rPr>
        <w:t>Aplicación 3 – Plataforma de Analítica de Campañas Comerciales</w:t>
      </w:r>
      <w:bookmarkEnd w:id="16"/>
    </w:p>
    <w:p>
      <w:pPr>
        <w:pStyle w:val="3"/>
        <w:numPr>
          <w:ilvl w:val="0"/>
          <w:numId w:val="23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7" w:name="_Toc217240053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Descubrimiento de la aplicación</w:t>
      </w:r>
      <w:bookmarkEnd w:id="17"/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Motivación de la aplicación</w:t>
      </w:r>
    </w:p>
    <w:p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Esta plataforma permite analizar el rendimiento de campañas comerciales mediante procesos batch y generación de informes para áreas de negocio.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Número de usuarios / departamentos</w:t>
      </w:r>
    </w:p>
    <w:p>
      <w:pPr>
        <w:pStyle w:val="34"/>
        <w:numPr>
          <w:ilvl w:val="0"/>
          <w:numId w:val="24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150 usuarios</w:t>
      </w:r>
    </w:p>
    <w:p>
      <w:pPr>
        <w:pStyle w:val="34"/>
        <w:numPr>
          <w:ilvl w:val="0"/>
          <w:numId w:val="24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Marketing, Comercial y Dirección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Tipología de usuario</w:t>
      </w:r>
    </w:p>
    <w:p>
      <w:pPr>
        <w:pStyle w:val="34"/>
        <w:numPr>
          <w:ilvl w:val="0"/>
          <w:numId w:val="25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Analistas</w:t>
      </w:r>
    </w:p>
    <w:p>
      <w:pPr>
        <w:pStyle w:val="34"/>
        <w:numPr>
          <w:ilvl w:val="0"/>
          <w:numId w:val="25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Usuarios de negocio (lectura)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Frecuencia de uso</w:t>
      </w:r>
    </w:p>
    <w:p>
      <w:pPr>
        <w:pStyle w:val="34"/>
        <w:numPr>
          <w:ilvl w:val="0"/>
          <w:numId w:val="26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Uso semanal y mensual</w:t>
      </w:r>
    </w:p>
    <w:p>
      <w:pPr>
        <w:pStyle w:val="34"/>
        <w:numPr>
          <w:ilvl w:val="0"/>
          <w:numId w:val="26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Procesos intensivos en cierres de campaña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Quién la desarrolló</w:t>
      </w:r>
    </w:p>
    <w:p>
      <w:pPr>
        <w:pStyle w:val="34"/>
        <w:numPr>
          <w:ilvl w:val="0"/>
          <w:numId w:val="27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Proveedor externo</w:t>
      </w:r>
    </w:p>
    <w:p>
      <w:pPr>
        <w:pStyle w:val="34"/>
        <w:numPr>
          <w:ilvl w:val="0"/>
          <w:numId w:val="27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Arquitectura orientada a reporting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Estado de la aplicación</w:t>
      </w:r>
    </w:p>
    <w:p>
      <w:pPr>
        <w:pStyle w:val="34"/>
        <w:numPr>
          <w:ilvl w:val="0"/>
          <w:numId w:val="28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Funcional</w:t>
      </w:r>
    </w:p>
    <w:p>
      <w:pPr>
        <w:pStyle w:val="34"/>
        <w:numPr>
          <w:ilvl w:val="0"/>
          <w:numId w:val="28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Escalabilidad limitada</w:t>
      </w:r>
    </w:p>
    <w:p>
      <w:pPr>
        <w:pStyle w:val="34"/>
        <w:numPr>
          <w:ilvl w:val="0"/>
          <w:numId w:val="28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Infraestructura infrautilizada fuera de campañas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Recursos requeridos</w:t>
      </w:r>
    </w:p>
    <w:p>
      <w:pPr>
        <w:pStyle w:val="34"/>
        <w:numPr>
          <w:ilvl w:val="0"/>
          <w:numId w:val="29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Servidores batch</w:t>
      </w:r>
    </w:p>
    <w:p>
      <w:pPr>
        <w:pStyle w:val="34"/>
        <w:numPr>
          <w:ilvl w:val="0"/>
          <w:numId w:val="29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Base de datos analítica</w:t>
      </w:r>
    </w:p>
    <w:p>
      <w:pPr>
        <w:pStyle w:val="34"/>
        <w:numPr>
          <w:ilvl w:val="0"/>
          <w:numId w:val="29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Almacenamiento histórico</w:t>
      </w:r>
    </w:p>
    <w:p>
      <w:pPr>
        <w:rPr>
          <w:rFonts w:hint="default" w:ascii="Times New Roman" w:hAnsi="Times New Roman" w:cs="Times New Roman"/>
          <w:lang w:val="zh-CN"/>
        </w:rPr>
      </w:pPr>
    </w:p>
    <w:p>
      <w:pPr>
        <w:pStyle w:val="3"/>
        <w:numPr>
          <w:ilvl w:val="0"/>
          <w:numId w:val="23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8" w:name="_Toc217240054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Métricas relevantes</w:t>
      </w:r>
      <w:bookmarkEnd w:id="18"/>
    </w:p>
    <w:p>
      <w:pPr>
        <w:pStyle w:val="34"/>
        <w:numPr>
          <w:ilvl w:val="0"/>
          <w:numId w:val="30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Volumen de datos: Alto</w:t>
      </w:r>
    </w:p>
    <w:p>
      <w:pPr>
        <w:pStyle w:val="34"/>
        <w:numPr>
          <w:ilvl w:val="0"/>
          <w:numId w:val="30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Latencia requerida: Baja</w:t>
      </w:r>
    </w:p>
    <w:p>
      <w:pPr>
        <w:pStyle w:val="34"/>
        <w:numPr>
          <w:ilvl w:val="0"/>
          <w:numId w:val="30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Elasticidad: Alta</w:t>
      </w:r>
    </w:p>
    <w:p>
      <w:pPr>
        <w:pStyle w:val="34"/>
        <w:numPr>
          <w:ilvl w:val="0"/>
          <w:numId w:val="30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Sensibilidad del dato: Media</w:t>
      </w:r>
    </w:p>
    <w:p>
      <w:pPr>
        <w:pStyle w:val="3"/>
        <w:numPr>
          <w:ilvl w:val="0"/>
          <w:numId w:val="23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19" w:name="_Toc217240055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Evaluación y decisión (6 R’s)</w:t>
      </w:r>
      <w:bookmarkEnd w:id="19"/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Decisión tomada: Replatform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Método</w:t>
      </w:r>
    </w:p>
    <w:p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Migración de la capa de procesamiento y analítica a servicios gestionados en Google Cloud, manteniendo las fuentes críticas de datos en el datacenter.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Justificación</w:t>
      </w:r>
    </w:p>
    <w:p>
      <w:pPr>
        <w:pStyle w:val="34"/>
        <w:numPr>
          <w:ilvl w:val="0"/>
          <w:numId w:val="31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Reducción de costes fijos</w:t>
      </w:r>
    </w:p>
    <w:p>
      <w:pPr>
        <w:pStyle w:val="34"/>
        <w:numPr>
          <w:ilvl w:val="0"/>
          <w:numId w:val="31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Escalabilidad bajo demanda</w:t>
      </w:r>
    </w:p>
    <w:p>
      <w:pPr>
        <w:pStyle w:val="34"/>
        <w:numPr>
          <w:ilvl w:val="0"/>
          <w:numId w:val="31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Mejora de tiempos de procesamiento</w:t>
      </w:r>
    </w:p>
    <w:p>
      <w:pPr>
        <w:pStyle w:val="34"/>
        <w:numPr>
          <w:ilvl w:val="0"/>
          <w:numId w:val="31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Sin rediseño completo de la aplicación</w:t>
      </w:r>
    </w:p>
    <w:p>
      <w:pPr>
        <w:pStyle w:val="3"/>
        <w:numPr>
          <w:ilvl w:val="0"/>
          <w:numId w:val="23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20" w:name="_Toc217240056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Beneficios</w:t>
      </w:r>
      <w:bookmarkEnd w:id="20"/>
    </w:p>
    <w:p>
      <w:pPr>
        <w:pStyle w:val="34"/>
        <w:numPr>
          <w:ilvl w:val="0"/>
          <w:numId w:val="32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Optimización de costes</w:t>
      </w:r>
    </w:p>
    <w:p>
      <w:pPr>
        <w:pStyle w:val="34"/>
        <w:numPr>
          <w:ilvl w:val="0"/>
          <w:numId w:val="32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Mayor agilidad</w:t>
      </w:r>
    </w:p>
    <w:p>
      <w:pPr>
        <w:pStyle w:val="34"/>
        <w:numPr>
          <w:ilvl w:val="0"/>
          <w:numId w:val="32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Mejor soporte a picos de carga</w:t>
      </w:r>
    </w:p>
    <w:p>
      <w:pPr>
        <w:pStyle w:val="34"/>
        <w:numPr>
          <w:ilvl w:val="0"/>
          <w:numId w:val="32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Preparación para analítica avanzada</w:t>
      </w:r>
    </w:p>
    <w:p>
      <w:pPr>
        <w:pStyle w:val="3"/>
        <w:numPr>
          <w:ilvl w:val="0"/>
          <w:numId w:val="23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21" w:name="_Toc217240057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Riesgos</w:t>
      </w:r>
      <w:bookmarkEnd w:id="21"/>
    </w:p>
    <w:p>
      <w:pPr>
        <w:pStyle w:val="34"/>
        <w:numPr>
          <w:ilvl w:val="0"/>
          <w:numId w:val="33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Ajuste de procesos existentes</w:t>
      </w:r>
    </w:p>
    <w:p>
      <w:pPr>
        <w:pStyle w:val="34"/>
        <w:numPr>
          <w:ilvl w:val="0"/>
          <w:numId w:val="33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Curva de aprendizaje cloud</w:t>
      </w:r>
    </w:p>
    <w:p>
      <w:pPr>
        <w:pStyle w:val="34"/>
        <w:numPr>
          <w:ilvl w:val="0"/>
          <w:numId w:val="33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Control del consumo</w:t>
      </w:r>
    </w:p>
    <w:p>
      <w:pPr>
        <w:rPr>
          <w:rFonts w:hint="default" w:ascii="Times New Roman" w:hAnsi="Times New Roman" w:cs="Times New Roman"/>
          <w:lang w:val="zh-CN"/>
        </w:rPr>
      </w:pPr>
    </w:p>
    <w:p>
      <w:pPr>
        <w:pStyle w:val="3"/>
        <w:numPr>
          <w:ilvl w:val="0"/>
          <w:numId w:val="23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22" w:name="_Toc217240058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Evaluación numérica</w:t>
      </w:r>
      <w:bookmarkEnd w:id="22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7"/>
        <w:gridCol w:w="424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Parámetro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Tiempo de migración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Coste / esfuerzo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lang w:val="zh-C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3</w:t>
            </w:r>
          </w:p>
        </w:tc>
      </w:tr>
    </w:tbl>
    <w:p>
      <w:pPr>
        <w:rPr>
          <w:rFonts w:hint="default" w:ascii="Times New Roman" w:hAnsi="Times New Roman" w:cs="Times New Roman"/>
          <w:lang w:val="zh-CN"/>
        </w:rPr>
      </w:pPr>
    </w:p>
    <w:p>
      <w:pPr>
        <w:pStyle w:val="3"/>
        <w:numPr>
          <w:ilvl w:val="0"/>
          <w:numId w:val="23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bookmarkStart w:id="23" w:name="_Toc217240059"/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Conclusión</w:t>
      </w:r>
      <w:bookmarkEnd w:id="23"/>
    </w:p>
    <w:p>
      <w:pPr>
        <w:rPr>
          <w:rFonts w:hint="default" w:ascii="Times New Roman" w:hAnsi="Times New Roman" w:cs="Times New Roman"/>
          <w:lang w:val="zh-C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zh-CN"/>
        </w:rPr>
        <w:t>La opción Replatform permite modernizar parcialmente la aplicación, obteniendo beneficios claros sin asumir riesgos excesivos.</w:t>
      </w:r>
    </w:p>
    <w:p>
      <w:pPr>
        <w:pStyle w:val="2"/>
        <w:rPr>
          <w:rFonts w:hint="default" w:ascii="Times New Roman" w:hAnsi="Times New Roman" w:cs="Times New Roman" w:eastAsiaTheme="majorAscii"/>
          <w:color w:val="auto"/>
          <w:sz w:val="36"/>
          <w:szCs w:val="36"/>
          <w:lang w:val="zh-CN"/>
        </w:rPr>
      </w:pPr>
      <w:r>
        <w:rPr>
          <w:rFonts w:hint="default" w:ascii="Times New Roman" w:hAnsi="Times New Roman" w:cs="Times New Roman" w:eastAsiaTheme="majorAscii"/>
          <w:color w:val="auto"/>
          <w:lang w:val="zh-CN"/>
        </w:rPr>
        <w:t>A</w:t>
      </w:r>
      <w:r>
        <w:rPr>
          <w:rFonts w:hint="default" w:ascii="Times New Roman" w:hAnsi="Times New Roman" w:cs="Times New Roman" w:eastAsiaTheme="majorAscii"/>
          <w:color w:val="auto"/>
          <w:sz w:val="36"/>
          <w:szCs w:val="36"/>
          <w:lang w:val="zh-CN"/>
        </w:rPr>
        <w:t>plicación 4 – Plataforma de Procesamiento de Datos Operacionales</w:t>
      </w:r>
    </w:p>
    <w:p>
      <w:pPr>
        <w:pStyle w:val="3"/>
        <w:numPr>
          <w:ilvl w:val="0"/>
          <w:numId w:val="34"/>
        </w:numPr>
        <w:rPr>
          <w:rFonts w:hint="default" w:ascii="Times New Roman" w:hAnsi="Times New Roman" w:cs="Times New Roman" w:eastAsiaTheme="minorAscii"/>
          <w:color w:val="auto"/>
          <w:sz w:val="28"/>
          <w:szCs w:val="28"/>
          <w:lang w:val="zh-CN"/>
        </w:rPr>
      </w:pPr>
      <w:r>
        <w:rPr>
          <w:rFonts w:hint="default" w:ascii="Times New Roman" w:hAnsi="Times New Roman" w:cs="Times New Roman" w:eastAsiaTheme="minorAscii"/>
          <w:color w:val="auto"/>
          <w:sz w:val="28"/>
          <w:szCs w:val="28"/>
          <w:lang w:val="zh-CN"/>
        </w:rPr>
        <w:t>Descubrimiento de la aplicación</w:t>
      </w:r>
    </w:p>
    <w:p>
      <w:pPr>
        <w:rPr>
          <w:rFonts w:hint="default" w:ascii="Times New Roman" w:hAnsi="Times New Roman" w:eastAsia="Times New Roman" w:cs="Times New Roman"/>
          <w:lang w:val="zh-CN"/>
        </w:rPr>
      </w:pPr>
      <w:r>
        <w:rPr>
          <w:rFonts w:hint="default" w:ascii="Times New Roman" w:hAnsi="Times New Roman" w:eastAsia="Times New Roman" w:cs="Times New Roman"/>
          <w:lang w:val="zh-CN"/>
        </w:rPr>
        <w:t>Motivación de la aplicación</w:t>
      </w:r>
    </w:p>
    <w:p>
      <w:pPr>
        <w:rPr>
          <w:rFonts w:hint="default" w:ascii="Times New Roman" w:hAnsi="Times New Roman" w:eastAsia="Times New Roman" w:cs="Times New Roman"/>
          <w:lang w:val="zh-CN"/>
        </w:rPr>
      </w:pPr>
      <w:r>
        <w:rPr>
          <w:rFonts w:hint="default" w:ascii="Times New Roman" w:hAnsi="Times New Roman" w:eastAsia="Times New Roman" w:cs="Times New Roman"/>
          <w:lang w:val="zh-CN"/>
        </w:rPr>
        <w:t>Esta aplicación se utiliza para procesar grandes volúmenes de datos operacionales generados por distintos sistemas internos. Actualmente realiza procesos batch y validaciones que requieren escalabilidad variable según la carga del trabajo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Números de usuarios / Departamentos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5"/>
        <w:gridCol w:w="424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zh-CN"/>
              </w:rPr>
              <w:t>Usuarios internos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zh-CN"/>
              </w:rPr>
              <w:t>Departamentos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zh-CN"/>
              </w:rPr>
              <w:t>Analistas de datos</w:t>
            </w:r>
          </w:p>
        </w:tc>
        <w:tc>
          <w:tcPr>
            <w:tcW w:w="424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zh-CN"/>
              </w:rPr>
              <w:t>Operaciones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zh-CN"/>
              </w:rPr>
              <w:t>Ingenieros</w:t>
            </w:r>
          </w:p>
        </w:tc>
        <w:tc>
          <w:tcPr>
            <w:tcW w:w="424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zh-CN"/>
              </w:rPr>
              <w:t>IT</w:t>
            </w:r>
          </w:p>
        </w:tc>
      </w:tr>
    </w:tbl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Aproximadamente 80 usuarios.</w:t>
      </w:r>
    </w:p>
    <w:p>
      <w:pPr>
        <w:rPr>
          <w:rFonts w:hint="default" w:ascii="Times New Roman" w:hAnsi="Times New Roman" w:eastAsia="Times New Roman" w:cs="Times New Roman"/>
          <w:b/>
          <w:bCs/>
          <w:lang w:val="zh-C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Tipología de usuario</w:t>
      </w:r>
    </w:p>
    <w:p>
      <w:pPr>
        <w:pStyle w:val="34"/>
        <w:numPr>
          <w:ilvl w:val="0"/>
          <w:numId w:val="35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Usuarios Técnicos y analistas.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Frecuencia de uso</w:t>
      </w:r>
    </w:p>
    <w:p>
      <w:pPr>
        <w:pStyle w:val="34"/>
        <w:numPr>
          <w:ilvl w:val="0"/>
          <w:numId w:val="36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Procesos diarios y picos intensivos en cierres operativos.</w:t>
      </w:r>
    </w:p>
    <w:p>
      <w:pPr>
        <w:rPr>
          <w:rFonts w:hint="default" w:ascii="Times New Roman" w:hAnsi="Times New Roman" w:cs="Times New Roman"/>
          <w:b/>
          <w:bCs/>
          <w:lang w:val="pt-BR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 xml:space="preserve">Quién la </w:t>
      </w:r>
      <w:r>
        <w:rPr>
          <w:rFonts w:hint="default" w:ascii="Times New Roman" w:hAnsi="Times New Roman" w:cs="Times New Roman"/>
          <w:b/>
          <w:bCs/>
          <w:lang w:val="pt-BR"/>
        </w:rPr>
        <w:t>desarrolló</w:t>
      </w:r>
    </w:p>
    <w:p>
      <w:pPr>
        <w:pStyle w:val="34"/>
        <w:numPr>
          <w:ilvl w:val="0"/>
          <w:numId w:val="37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Desarrollo interno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Estado de la aplicación: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Funcional, pero con limitaciones de escalabilidad y alto consumo de recursos on-premise.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Recursos requeridos</w:t>
      </w:r>
    </w:p>
    <w:p>
      <w:pPr>
        <w:pStyle w:val="34"/>
        <w:numPr>
          <w:ilvl w:val="0"/>
          <w:numId w:val="38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Servidores de procesamiento</w:t>
      </w:r>
    </w:p>
    <w:p>
      <w:pPr>
        <w:pStyle w:val="34"/>
        <w:numPr>
          <w:ilvl w:val="0"/>
          <w:numId w:val="38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Base de datos locales</w:t>
      </w:r>
    </w:p>
    <w:p>
      <w:pPr>
        <w:pStyle w:val="34"/>
        <w:numPr>
          <w:ilvl w:val="0"/>
          <w:numId w:val="38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Almacenamiento temporal</w:t>
      </w:r>
    </w:p>
    <w:p>
      <w:pPr>
        <w:pStyle w:val="3"/>
        <w:rPr>
          <w:rFonts w:hint="default" w:ascii="Times New Roman" w:hAnsi="Times New Roman" w:cs="Times New Roman"/>
          <w:b/>
          <w:bCs/>
          <w:color w:val="auto"/>
          <w:sz w:val="24"/>
          <w:szCs w:val="24"/>
          <w:lang w:val="zh-CN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  <w:lang w:val="zh-CN"/>
        </w:rPr>
        <w:t>Métricas relevantes</w:t>
      </w:r>
    </w:p>
    <w:p>
      <w:pPr>
        <w:pStyle w:val="34"/>
        <w:numPr>
          <w:ilvl w:val="0"/>
          <w:numId w:val="39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Volumen de datos: Alto</w:t>
      </w:r>
    </w:p>
    <w:p>
      <w:pPr>
        <w:pStyle w:val="34"/>
        <w:numPr>
          <w:ilvl w:val="0"/>
          <w:numId w:val="39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Elasticidad requerida: Alta</w:t>
      </w:r>
    </w:p>
    <w:p>
      <w:pPr>
        <w:pStyle w:val="34"/>
        <w:numPr>
          <w:ilvl w:val="0"/>
          <w:numId w:val="39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Latencia requerida: Media</w:t>
      </w:r>
    </w:p>
    <w:p>
      <w:pPr>
        <w:pStyle w:val="34"/>
        <w:numPr>
          <w:ilvl w:val="0"/>
          <w:numId w:val="39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Dependencia del DC: Media</w:t>
      </w:r>
    </w:p>
    <w:p>
      <w:pPr>
        <w:pStyle w:val="3"/>
        <w:numPr>
          <w:ilvl w:val="0"/>
          <w:numId w:val="34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Evaluación y decisión (6 R’s)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zh-CN"/>
        </w:rPr>
        <w:t>Decisión tomada: Refactor (Re – architect)</w:t>
      </w:r>
    </w:p>
    <w:p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Método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La aplicación se rediseña parcialmente para aprovechar servicios nativos de Google Cloud, migrando los procesos batch a servicios gestionados y desacoplando componentes monolíticos. Las fuentes de datos criticas permanecen en el Datacenter, conectadas mediante enlaces seguros.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zh-CN"/>
        </w:rPr>
        <w:t>Justificación</w:t>
      </w:r>
    </w:p>
    <w:p>
      <w:pPr>
        <w:pStyle w:val="34"/>
        <w:numPr>
          <w:ilvl w:val="0"/>
          <w:numId w:val="40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Necesidad de escalabilidad dinámica</w:t>
      </w:r>
    </w:p>
    <w:p>
      <w:pPr>
        <w:pStyle w:val="34"/>
        <w:numPr>
          <w:ilvl w:val="0"/>
          <w:numId w:val="40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Reducción de carga en infraestructura local</w:t>
      </w:r>
    </w:p>
    <w:p>
      <w:pPr>
        <w:pStyle w:val="34"/>
        <w:numPr>
          <w:ilvl w:val="0"/>
          <w:numId w:val="40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Preparación para futuras capacidades analíticas</w:t>
      </w:r>
    </w:p>
    <w:p>
      <w:pPr>
        <w:pStyle w:val="4"/>
        <w:rPr>
          <w:rFonts w:hint="default" w:ascii="Times New Roman" w:hAnsi="Times New Roman" w:cs="Times New Roman"/>
          <w:color w:val="auto"/>
          <w:lang w:val="zh-CN"/>
        </w:rPr>
      </w:pPr>
      <w:r>
        <w:rPr>
          <w:rFonts w:hint="default" w:ascii="Times New Roman" w:hAnsi="Times New Roman" w:cs="Times New Roman"/>
          <w:color w:val="auto"/>
          <w:lang w:val="zh-CN"/>
        </w:rPr>
        <w:t>Beneficios</w:t>
      </w:r>
    </w:p>
    <w:p>
      <w:pPr>
        <w:pStyle w:val="34"/>
        <w:numPr>
          <w:ilvl w:val="0"/>
          <w:numId w:val="41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Mayor elasticidad</w:t>
      </w:r>
    </w:p>
    <w:p>
      <w:pPr>
        <w:pStyle w:val="34"/>
        <w:numPr>
          <w:ilvl w:val="0"/>
          <w:numId w:val="41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Optimización de tiempos de procesamiento</w:t>
      </w:r>
    </w:p>
    <w:p>
      <w:pPr>
        <w:pStyle w:val="34"/>
        <w:numPr>
          <w:ilvl w:val="0"/>
          <w:numId w:val="41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Reducción de costos operativos</w:t>
      </w:r>
    </w:p>
    <w:p>
      <w:pPr>
        <w:pStyle w:val="4"/>
        <w:rPr>
          <w:rFonts w:hint="default" w:ascii="Times New Roman" w:hAnsi="Times New Roman" w:cs="Times New Roman"/>
          <w:color w:val="auto"/>
          <w:lang w:val="zh-CN"/>
        </w:rPr>
      </w:pPr>
      <w:r>
        <w:rPr>
          <w:rFonts w:hint="default" w:ascii="Times New Roman" w:hAnsi="Times New Roman" w:cs="Times New Roman"/>
          <w:color w:val="auto"/>
          <w:lang w:val="zh-CN"/>
        </w:rPr>
        <w:t>Riesgos</w:t>
      </w:r>
    </w:p>
    <w:p>
      <w:pPr>
        <w:pStyle w:val="34"/>
        <w:numPr>
          <w:ilvl w:val="0"/>
          <w:numId w:val="42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Mayor complejidad técnica</w:t>
      </w:r>
    </w:p>
    <w:p>
      <w:pPr>
        <w:pStyle w:val="34"/>
        <w:numPr>
          <w:ilvl w:val="0"/>
          <w:numId w:val="42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Curva de aprendizaje del equipo</w:t>
      </w:r>
    </w:p>
    <w:p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auto"/>
          <w:lang w:val="zh-CN"/>
        </w:rPr>
        <w:t>Evaluación numérica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5"/>
        <w:gridCol w:w="424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Parámetro: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Valor: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Tiempo de migración</w:t>
            </w:r>
          </w:p>
        </w:tc>
        <w:tc>
          <w:tcPr>
            <w:tcW w:w="4245" w:type="dxa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Coste / esfuerzo</w:t>
            </w:r>
          </w:p>
        </w:tc>
        <w:tc>
          <w:tcPr>
            <w:tcW w:w="4245" w:type="dxa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4</w:t>
            </w:r>
          </w:p>
        </w:tc>
      </w:tr>
    </w:tbl>
    <w:p>
      <w:pPr>
        <w:pStyle w:val="4"/>
        <w:rPr>
          <w:rFonts w:hint="default" w:ascii="Times New Roman" w:hAnsi="Times New Roman" w:cs="Times New Roman"/>
          <w:color w:val="auto"/>
          <w:lang w:val="zh-CN"/>
        </w:rPr>
      </w:pPr>
      <w:r>
        <w:rPr>
          <w:rFonts w:hint="default" w:ascii="Times New Roman" w:hAnsi="Times New Roman" w:cs="Times New Roman"/>
          <w:color w:val="auto"/>
          <w:lang w:val="zh-CN"/>
        </w:rPr>
        <w:t>Conclusión</w:t>
      </w:r>
    </w:p>
    <w:p>
      <w:p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lang w:val="zh-CN"/>
        </w:rPr>
        <w:t>La estrategia Refactor  permite modernizar la aplicación y aprovechar capacidades Cloud-native, mantenido un enfoque híbrido controlado.</w:t>
      </w:r>
    </w:p>
    <w:p>
      <w:pPr>
        <w:rPr>
          <w:rFonts w:hint="default" w:ascii="Times New Roman" w:hAnsi="Times New Roman" w:eastAsia="Times New Roman" w:cs="Times New Roman"/>
          <w:b/>
          <w:bCs/>
          <w:lang w:val="zh-CN"/>
        </w:rPr>
      </w:pPr>
    </w:p>
    <w:p>
      <w:p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</w:p>
    <w:p>
      <w:p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</w:p>
    <w:p>
      <w:p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</w:p>
    <w:p>
      <w:p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</w:p>
    <w:p>
      <w:p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</w:p>
    <w:p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auto"/>
          <w:sz w:val="36"/>
          <w:szCs w:val="36"/>
          <w:lang w:val="pt-BR"/>
        </w:rPr>
        <w:t>Aplicación 5 – Sistema Legacy de Gestión de Recursos Humanos</w:t>
      </w:r>
    </w:p>
    <w:p>
      <w:pPr>
        <w:pStyle w:val="3"/>
        <w:numPr>
          <w:ilvl w:val="0"/>
          <w:numId w:val="43"/>
        </w:numPr>
        <w:rPr>
          <w:rFonts w:hint="default" w:ascii="Times New Roman" w:hAnsi="Times New Roman" w:cs="Times New Roman"/>
          <w:color w:val="auto"/>
          <w:sz w:val="28"/>
          <w:szCs w:val="28"/>
          <w:lang w:val="pt-BR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lang w:val="pt-BR"/>
        </w:rPr>
        <w:t>Descubrimiento de la aplicación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lang w:val="pt-BR"/>
        </w:rPr>
        <w:t>Motivación de la aplicación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lang w:val="pt-BR"/>
        </w:rPr>
        <w:t>Sistema utilizado para la gestión de solicitudes internas, vacaciones, permisos, y datos básicos de empleados.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>Números de usuarios / Departamentos</w:t>
      </w:r>
    </w:p>
    <w:p>
      <w:pPr>
        <w:pStyle w:val="34"/>
        <w:numPr>
          <w:ilvl w:val="0"/>
          <w:numId w:val="44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Recursos Humanos</w:t>
      </w:r>
    </w:p>
    <w:p>
      <w:pPr>
        <w:pStyle w:val="34"/>
        <w:numPr>
          <w:ilvl w:val="0"/>
          <w:numId w:val="44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Empleados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Aproximadamente 300 empleados.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>Tipología de usuario</w:t>
      </w:r>
    </w:p>
    <w:p>
      <w:pPr>
        <w:pStyle w:val="34"/>
        <w:numPr>
          <w:ilvl w:val="0"/>
          <w:numId w:val="45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Usuarios corporativos.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>Frecuencia de uso</w:t>
      </w:r>
    </w:p>
    <w:p>
      <w:pPr>
        <w:pStyle w:val="34"/>
        <w:numPr>
          <w:ilvl w:val="0"/>
          <w:numId w:val="46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Diario</w:t>
      </w:r>
    </w:p>
    <w:p>
      <w:pPr>
        <w:rPr>
          <w:rFonts w:hint="default" w:ascii="Times New Roman" w:hAnsi="Times New Roman" w:cs="Times New Roman"/>
          <w:b/>
          <w:bCs/>
          <w:lang w:val="pt-BR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 xml:space="preserve">Quién la </w:t>
      </w:r>
      <w:r>
        <w:rPr>
          <w:rFonts w:hint="default" w:ascii="Times New Roman" w:hAnsi="Times New Roman" w:cs="Times New Roman"/>
          <w:b/>
          <w:bCs/>
          <w:lang w:val="pt-BR"/>
        </w:rPr>
        <w:t>desarrolló</w:t>
      </w:r>
    </w:p>
    <w:p>
      <w:pPr>
        <w:pStyle w:val="34"/>
        <w:numPr>
          <w:ilvl w:val="0"/>
          <w:numId w:val="47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Desarrollo interno antiguo.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>Estado de la aplicación</w:t>
      </w:r>
    </w:p>
    <w:p>
      <w:pPr>
        <w:pStyle w:val="34"/>
        <w:numPr>
          <w:ilvl w:val="0"/>
          <w:numId w:val="48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Aplicación Legacy</w:t>
      </w:r>
    </w:p>
    <w:p>
      <w:pPr>
        <w:pStyle w:val="34"/>
        <w:numPr>
          <w:ilvl w:val="0"/>
          <w:numId w:val="48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Tecnología obsoleta</w:t>
      </w:r>
    </w:p>
    <w:p>
      <w:pPr>
        <w:pStyle w:val="34"/>
        <w:numPr>
          <w:ilvl w:val="0"/>
          <w:numId w:val="48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Alto costo de mantenimiento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Recursos requeridos</w:t>
      </w:r>
    </w:p>
    <w:p>
      <w:pPr>
        <w:pStyle w:val="34"/>
        <w:numPr>
          <w:ilvl w:val="0"/>
          <w:numId w:val="49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Servidores dedicados</w:t>
      </w:r>
    </w:p>
    <w:p>
      <w:pPr>
        <w:pStyle w:val="34"/>
        <w:numPr>
          <w:ilvl w:val="0"/>
          <w:numId w:val="49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Base de datos local</w:t>
      </w:r>
    </w:p>
    <w:p>
      <w:pPr>
        <w:pStyle w:val="34"/>
        <w:numPr>
          <w:ilvl w:val="0"/>
          <w:numId w:val="49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Soporte constante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Métricas relevantes</w:t>
      </w:r>
    </w:p>
    <w:p>
      <w:pPr>
        <w:pStyle w:val="34"/>
        <w:numPr>
          <w:ilvl w:val="0"/>
          <w:numId w:val="50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Criticidad: Media</w:t>
      </w:r>
    </w:p>
    <w:p>
      <w:pPr>
        <w:pStyle w:val="34"/>
        <w:numPr>
          <w:ilvl w:val="0"/>
          <w:numId w:val="50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Escalabilidad Requerida: Baja</w:t>
      </w:r>
    </w:p>
    <w:p>
      <w:pPr>
        <w:pStyle w:val="34"/>
        <w:numPr>
          <w:ilvl w:val="0"/>
          <w:numId w:val="50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Costo de mantenimiento: Alto</w:t>
      </w:r>
    </w:p>
    <w:p>
      <w:p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</w:p>
    <w:p>
      <w:p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</w:p>
    <w:p>
      <w:pPr>
        <w:pStyle w:val="3"/>
        <w:numPr>
          <w:ilvl w:val="0"/>
          <w:numId w:val="43"/>
        </w:numPr>
        <w:rPr>
          <w:rFonts w:hint="default" w:ascii="Times New Roman" w:hAnsi="Times New Roman" w:cs="Times New Roman"/>
          <w:color w:val="auto"/>
          <w:sz w:val="28"/>
          <w:szCs w:val="28"/>
          <w:lang w:val="pt-BR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lang w:val="pt-BR"/>
        </w:rPr>
        <w:t>Evaluación y decisión (6 R’s)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>Decisión tomada: Replace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Método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La aplicación se sustituye por una solución SaaS moderna desplegada en el ecosistema de Google Cloud, manteniendo únicamente integraciones necesarias durante el periodo de transición.</w:t>
      </w:r>
    </w:p>
    <w:p>
      <w:pPr>
        <w:pStyle w:val="4"/>
        <w:rPr>
          <w:rFonts w:hint="default" w:ascii="Times New Roman" w:hAnsi="Times New Roman" w:cs="Times New Roman"/>
          <w:b/>
          <w:bCs/>
          <w:color w:val="auto"/>
          <w:lang w:val="pt-BR"/>
        </w:rPr>
      </w:pPr>
      <w:r>
        <w:rPr>
          <w:rFonts w:hint="default" w:ascii="Times New Roman" w:hAnsi="Times New Roman" w:cs="Times New Roman"/>
          <w:b/>
          <w:bCs/>
          <w:color w:val="auto"/>
          <w:lang w:val="pt-BR"/>
        </w:rPr>
        <w:t>Justificación</w:t>
      </w:r>
    </w:p>
    <w:p>
      <w:pPr>
        <w:pStyle w:val="34"/>
        <w:numPr>
          <w:ilvl w:val="0"/>
          <w:numId w:val="51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Reducción de deuda técnica</w:t>
      </w:r>
    </w:p>
    <w:p>
      <w:pPr>
        <w:pStyle w:val="34"/>
        <w:numPr>
          <w:ilvl w:val="0"/>
          <w:numId w:val="51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Mejora de experiencia de usuario</w:t>
      </w:r>
    </w:p>
    <w:p>
      <w:pPr>
        <w:pStyle w:val="34"/>
        <w:numPr>
          <w:ilvl w:val="0"/>
          <w:numId w:val="51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Eliminación de infraestructura propia</w:t>
      </w:r>
    </w:p>
    <w:p>
      <w:pPr>
        <w:pStyle w:val="4"/>
        <w:rPr>
          <w:rFonts w:hint="default" w:ascii="Times New Roman" w:hAnsi="Times New Roman" w:cs="Times New Roman"/>
          <w:b/>
          <w:bCs/>
          <w:color w:val="auto"/>
          <w:lang w:val="pt-BR"/>
        </w:rPr>
      </w:pPr>
      <w:r>
        <w:rPr>
          <w:rFonts w:hint="default" w:ascii="Times New Roman" w:hAnsi="Times New Roman" w:cs="Times New Roman"/>
          <w:b/>
          <w:bCs/>
          <w:color w:val="auto"/>
          <w:lang w:val="pt-BR"/>
        </w:rPr>
        <w:t>Beneficios</w:t>
      </w:r>
    </w:p>
    <w:p>
      <w:pPr>
        <w:pStyle w:val="34"/>
        <w:numPr>
          <w:ilvl w:val="0"/>
          <w:numId w:val="52"/>
        </w:numPr>
        <w:rPr>
          <w:rFonts w:hint="default" w:ascii="Times New Roman" w:hAnsi="Times New Roman" w:eastAsia="Times New Roman" w:cs="Times New Roman"/>
          <w:b/>
          <w:bCs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Menor costo operativo</w:t>
      </w:r>
    </w:p>
    <w:p>
      <w:pPr>
        <w:pStyle w:val="34"/>
        <w:numPr>
          <w:ilvl w:val="0"/>
          <w:numId w:val="52"/>
        </w:numPr>
        <w:rPr>
          <w:rFonts w:hint="default" w:ascii="Times New Roman" w:hAnsi="Times New Roman" w:eastAsia="Times New Roman" w:cs="Times New Roman"/>
          <w:b/>
          <w:bCs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Actualizaciones automáticas</w:t>
      </w:r>
    </w:p>
    <w:p>
      <w:pPr>
        <w:pStyle w:val="34"/>
        <w:numPr>
          <w:ilvl w:val="0"/>
          <w:numId w:val="52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Alta disponibilidad</w:t>
      </w:r>
    </w:p>
    <w:p>
      <w:pPr>
        <w:pStyle w:val="4"/>
        <w:rPr>
          <w:rFonts w:hint="default" w:ascii="Times New Roman" w:hAnsi="Times New Roman" w:cs="Times New Roman"/>
          <w:b/>
          <w:bCs/>
          <w:color w:val="auto"/>
          <w:lang w:val="pt-BR"/>
        </w:rPr>
      </w:pPr>
      <w:r>
        <w:rPr>
          <w:rFonts w:hint="default" w:ascii="Times New Roman" w:hAnsi="Times New Roman" w:cs="Times New Roman"/>
          <w:b/>
          <w:bCs/>
          <w:color w:val="auto"/>
          <w:lang w:val="pt-BR"/>
        </w:rPr>
        <w:t>Riesgos</w:t>
      </w:r>
    </w:p>
    <w:p>
      <w:pPr>
        <w:pStyle w:val="34"/>
        <w:numPr>
          <w:ilvl w:val="0"/>
          <w:numId w:val="53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Dependencia del proveedor</w:t>
      </w:r>
    </w:p>
    <w:p>
      <w:pPr>
        <w:pStyle w:val="34"/>
        <w:numPr>
          <w:ilvl w:val="0"/>
          <w:numId w:val="53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Gestión del cambio organizacional</w:t>
      </w:r>
    </w:p>
    <w:p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auto"/>
          <w:lang w:val="pt-BR"/>
        </w:rPr>
        <w:t>Evaluación numérica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5"/>
        <w:gridCol w:w="424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pt-BR"/>
              </w:rPr>
              <w:t>Parámetro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pt-BR"/>
              </w:rPr>
              <w:t xml:space="preserve">Tiempo de migración  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pt-BR"/>
              </w:rPr>
              <w:t xml:space="preserve">Coste / esfuerzo  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2</w:t>
            </w:r>
          </w:p>
        </w:tc>
      </w:tr>
    </w:tbl>
    <w:p>
      <w:p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</w:p>
    <w:p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auto"/>
          <w:lang w:val="pt-BR"/>
        </w:rPr>
        <w:t>Conclusión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lang w:val="pt-BR"/>
        </w:rPr>
        <w:t>La estrategia Replace permite modernizar procesos administrativos sin comprometer recursos internos, alineándose con una arquitectura híbrida eficiente.</w:t>
      </w:r>
    </w:p>
    <w:p>
      <w:pPr>
        <w:rPr>
          <w:rFonts w:hint="default" w:ascii="Times New Roman" w:hAnsi="Times New Roman" w:eastAsia="Times New Roman" w:cs="Times New Roman"/>
          <w:lang w:val="zh-CN"/>
        </w:rPr>
      </w:pPr>
    </w:p>
    <w:p>
      <w:pPr>
        <w:rPr>
          <w:rFonts w:hint="default" w:ascii="Times New Roman" w:hAnsi="Times New Roman" w:eastAsia="Times New Roman" w:cs="Times New Roman"/>
          <w:lang w:val="zh-CN"/>
        </w:rPr>
      </w:pPr>
    </w:p>
    <w:p>
      <w:pPr>
        <w:rPr>
          <w:rFonts w:hint="default" w:ascii="Times New Roman" w:hAnsi="Times New Roman" w:eastAsia="Times New Roman" w:cs="Times New Roman"/>
          <w:lang w:val="zh-CN"/>
        </w:rPr>
      </w:pPr>
    </w:p>
    <w:p>
      <w:pPr>
        <w:rPr>
          <w:rFonts w:hint="default" w:ascii="Times New Roman" w:hAnsi="Times New Roman" w:eastAsia="Times New Roman" w:cs="Times New Roman"/>
          <w:lang w:val="zh-CN"/>
        </w:rPr>
      </w:pPr>
    </w:p>
    <w:p>
      <w:pPr>
        <w:rPr>
          <w:rFonts w:hint="default" w:ascii="Times New Roman" w:hAnsi="Times New Roman" w:eastAsia="Times New Roman" w:cs="Times New Roman"/>
          <w:lang w:val="zh-CN"/>
        </w:rPr>
      </w:pPr>
    </w:p>
    <w:p>
      <w:pPr>
        <w:rPr>
          <w:rFonts w:hint="default" w:ascii="Times New Roman" w:hAnsi="Times New Roman" w:eastAsia="Times New Roman" w:cs="Times New Roman"/>
          <w:lang w:val="zh-CN"/>
        </w:rPr>
      </w:pPr>
    </w:p>
    <w:p>
      <w:pPr>
        <w:pStyle w:val="2"/>
        <w:rPr>
          <w:rFonts w:hint="default" w:ascii="Times New Roman" w:hAnsi="Times New Roman" w:cs="Times New Roman"/>
          <w:color w:val="auto"/>
          <w:sz w:val="36"/>
          <w:szCs w:val="36"/>
          <w:lang w:val="pt-BR"/>
        </w:rPr>
      </w:pPr>
      <w:r>
        <w:rPr>
          <w:rFonts w:hint="default" w:ascii="Times New Roman" w:hAnsi="Times New Roman" w:cs="Times New Roman"/>
          <w:color w:val="auto"/>
          <w:sz w:val="36"/>
          <w:szCs w:val="36"/>
          <w:lang w:val="pt-BR"/>
        </w:rPr>
        <w:t>Aplicación 6 – Herramienta interna de Reportes Obsoletos</w:t>
      </w:r>
    </w:p>
    <w:p>
      <w:pPr>
        <w:pStyle w:val="3"/>
        <w:numPr>
          <w:ilvl w:val="0"/>
          <w:numId w:val="54"/>
        </w:numPr>
        <w:rPr>
          <w:rFonts w:hint="default" w:ascii="Times New Roman" w:hAnsi="Times New Roman" w:cs="Times New Roman"/>
          <w:color w:val="auto"/>
          <w:sz w:val="28"/>
          <w:szCs w:val="28"/>
          <w:lang w:val="pt-BR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lang w:val="pt-BR"/>
        </w:rPr>
        <w:t>Descubrimiento de la aplicación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>Motivación de la aplicación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Aplicación interna creada para generar reportes básicos que hoy han sido reemplazados por herramientas más modernas y centralizadas.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>Número de usuarios / Departamentos</w:t>
      </w:r>
    </w:p>
    <w:p>
      <w:pPr>
        <w:pStyle w:val="34"/>
        <w:numPr>
          <w:ilvl w:val="0"/>
          <w:numId w:val="55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IT</w:t>
      </w:r>
    </w:p>
    <w:p>
      <w:pPr>
        <w:pStyle w:val="34"/>
        <w:numPr>
          <w:ilvl w:val="0"/>
          <w:numId w:val="55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Gestión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Menos de 20 usuarios activos.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>Tipología de usuarios</w:t>
      </w:r>
    </w:p>
    <w:p>
      <w:pPr>
        <w:pStyle w:val="34"/>
        <w:numPr>
          <w:ilvl w:val="0"/>
          <w:numId w:val="56"/>
        </w:numPr>
        <w:rPr>
          <w:rFonts w:hint="default" w:ascii="Times New Roman" w:hAnsi="Times New Roman" w:eastAsia="Times New Roman" w:cs="Times New Roman"/>
          <w:b w:val="0"/>
          <w:bCs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pt-BR"/>
        </w:rPr>
        <w:t>Usuarios internos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>Frecuencia de uso</w:t>
      </w:r>
    </w:p>
    <w:p>
      <w:pPr>
        <w:pStyle w:val="34"/>
        <w:numPr>
          <w:ilvl w:val="0"/>
          <w:numId w:val="57"/>
        </w:numPr>
        <w:rPr>
          <w:rFonts w:hint="default" w:ascii="Times New Roman" w:hAnsi="Times New Roman" w:eastAsia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Uso esporádico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pt-BR"/>
        </w:rPr>
        <w:t xml:space="preserve">Quién la </w:t>
      </w:r>
      <w:r>
        <w:rPr>
          <w:rFonts w:hint="default" w:ascii="Times New Roman" w:hAnsi="Times New Roman" w:cs="Times New Roman"/>
          <w:b/>
          <w:bCs/>
          <w:lang w:val="pt-BR"/>
        </w:rPr>
        <w:t>desarrolló</w:t>
      </w:r>
    </w:p>
    <w:p>
      <w:pPr>
        <w:pStyle w:val="34"/>
        <w:numPr>
          <w:ilvl w:val="0"/>
          <w:numId w:val="58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Desarrollo interno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zh-CN"/>
        </w:rPr>
        <w:t>Estado de la aplicación</w:t>
      </w:r>
    </w:p>
    <w:p>
      <w:pPr>
        <w:pStyle w:val="34"/>
        <w:numPr>
          <w:ilvl w:val="0"/>
          <w:numId w:val="59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Obsoleta</w:t>
      </w:r>
    </w:p>
    <w:p>
      <w:pPr>
        <w:pStyle w:val="34"/>
        <w:numPr>
          <w:ilvl w:val="0"/>
          <w:numId w:val="59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Funcionalidad duplicada en otros sistemas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zh-CN"/>
        </w:rPr>
        <w:t>Recursos requeridos</w:t>
      </w:r>
    </w:p>
    <w:p>
      <w:pPr>
        <w:pStyle w:val="34"/>
        <w:numPr>
          <w:ilvl w:val="0"/>
          <w:numId w:val="60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Servidor dedicado</w:t>
      </w:r>
    </w:p>
    <w:p>
      <w:pPr>
        <w:pStyle w:val="34"/>
        <w:numPr>
          <w:ilvl w:val="0"/>
          <w:numId w:val="60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Almacenamiento local</w:t>
      </w:r>
    </w:p>
    <w:p>
      <w:pPr>
        <w:ind w:lef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zh-CN"/>
        </w:rPr>
        <w:t>Métricas relevantes</w:t>
      </w:r>
    </w:p>
    <w:p>
      <w:pPr>
        <w:pStyle w:val="34"/>
        <w:numPr>
          <w:ilvl w:val="0"/>
          <w:numId w:val="61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Valor de negocio: Bajo</w:t>
      </w:r>
    </w:p>
    <w:p>
      <w:pPr>
        <w:pStyle w:val="34"/>
        <w:numPr>
          <w:ilvl w:val="0"/>
          <w:numId w:val="61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Costo operativo: Medio</w:t>
      </w:r>
    </w:p>
    <w:p>
      <w:pPr>
        <w:pStyle w:val="34"/>
        <w:numPr>
          <w:ilvl w:val="0"/>
          <w:numId w:val="61"/>
        </w:numPr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Riesgo de seguridad: Creciente</w:t>
      </w:r>
    </w:p>
    <w:p>
      <w:pPr>
        <w:rPr>
          <w:rFonts w:hint="default" w:ascii="Times New Roman" w:hAnsi="Times New Roman" w:cs="Times New Roman"/>
          <w:b w:val="0"/>
          <w:bCs w:val="0"/>
          <w:lang w:val="zh-CN"/>
        </w:rPr>
      </w:pPr>
    </w:p>
    <w:p>
      <w:pPr>
        <w:rPr>
          <w:rFonts w:hint="default" w:ascii="Times New Roman" w:hAnsi="Times New Roman" w:cs="Times New Roman"/>
          <w:b w:val="0"/>
          <w:bCs w:val="0"/>
          <w:lang w:val="zh-CN"/>
        </w:rPr>
      </w:pPr>
    </w:p>
    <w:p>
      <w:pPr>
        <w:rPr>
          <w:rFonts w:hint="default" w:ascii="Times New Roman" w:hAnsi="Times New Roman" w:cs="Times New Roman"/>
          <w:b w:val="0"/>
          <w:bCs w:val="0"/>
          <w:lang w:val="zh-CN"/>
        </w:rPr>
      </w:pPr>
    </w:p>
    <w:p>
      <w:pPr>
        <w:rPr>
          <w:rFonts w:hint="default" w:ascii="Times New Roman" w:hAnsi="Times New Roman" w:cs="Times New Roman"/>
          <w:b w:val="0"/>
          <w:bCs w:val="0"/>
          <w:lang w:val="zh-CN"/>
        </w:rPr>
      </w:pPr>
    </w:p>
    <w:p>
      <w:pPr>
        <w:pStyle w:val="3"/>
        <w:numPr>
          <w:ilvl w:val="0"/>
          <w:numId w:val="54"/>
        </w:numP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Evaluación y decisión (6 R’s)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Decisión tomada: Retire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lang w:val="zh-CN"/>
        </w:rPr>
        <w:t>Método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bCs w:val="0"/>
          <w:lang w:val="zh-CN"/>
        </w:rPr>
        <w:t>La aplicación se desactiva y se eliminan sus recursos, migrando cualquier información necesaria a plataformas activas y consolidadas.</w:t>
      </w:r>
    </w:p>
    <w:p>
      <w:pPr>
        <w:pStyle w:val="4"/>
        <w:rPr>
          <w:rFonts w:hint="default" w:ascii="Times New Roman" w:hAnsi="Times New Roman" w:cs="Times New Roman"/>
          <w:b/>
          <w:bCs/>
          <w:color w:val="auto"/>
          <w:lang w:val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zh-CN"/>
        </w:rPr>
        <w:t>Justificación</w:t>
      </w:r>
    </w:p>
    <w:p>
      <w:pPr>
        <w:pStyle w:val="34"/>
        <w:numPr>
          <w:ilvl w:val="0"/>
          <w:numId w:val="62"/>
        </w:numPr>
        <w:rPr>
          <w:rFonts w:hint="default" w:ascii="Times New Roman" w:hAnsi="Times New Roman" w:eastAsia="Times New Roman" w:cs="Times New Roman"/>
          <w:lang w:val="zh-CN"/>
        </w:rPr>
      </w:pPr>
      <w:r>
        <w:rPr>
          <w:rFonts w:hint="default" w:ascii="Times New Roman" w:hAnsi="Times New Roman" w:eastAsia="Times New Roman" w:cs="Times New Roman"/>
          <w:lang w:val="zh-CN"/>
        </w:rPr>
        <w:t>Bajo valor para el negocio</w:t>
      </w:r>
    </w:p>
    <w:p>
      <w:pPr>
        <w:pStyle w:val="34"/>
        <w:numPr>
          <w:ilvl w:val="0"/>
          <w:numId w:val="62"/>
        </w:numPr>
        <w:rPr>
          <w:rFonts w:hint="default" w:ascii="Times New Roman" w:hAnsi="Times New Roman" w:eastAsia="Times New Roman" w:cs="Times New Roman"/>
          <w:lang w:val="zh-CN"/>
        </w:rPr>
      </w:pPr>
      <w:r>
        <w:rPr>
          <w:rFonts w:hint="default" w:ascii="Times New Roman" w:hAnsi="Times New Roman" w:eastAsia="Times New Roman" w:cs="Times New Roman"/>
          <w:lang w:val="zh-CN"/>
        </w:rPr>
        <w:t>Costo innecesario de mantenimiento</w:t>
      </w:r>
    </w:p>
    <w:p>
      <w:pPr>
        <w:pStyle w:val="34"/>
        <w:numPr>
          <w:ilvl w:val="0"/>
          <w:numId w:val="62"/>
        </w:numPr>
        <w:rPr>
          <w:rFonts w:hint="default" w:ascii="Times New Roman" w:hAnsi="Times New Roman" w:eastAsia="Times New Roman" w:cs="Times New Roman"/>
          <w:lang w:val="zh-CN"/>
        </w:rPr>
      </w:pPr>
      <w:r>
        <w:rPr>
          <w:rFonts w:hint="default" w:ascii="Times New Roman" w:hAnsi="Times New Roman" w:eastAsia="Times New Roman" w:cs="Times New Roman"/>
          <w:lang w:val="zh-CN"/>
        </w:rPr>
        <w:t>Riesgo de seguridad por obsolescencia</w:t>
      </w:r>
    </w:p>
    <w:p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auto"/>
          <w:lang w:val="zh-CN"/>
        </w:rPr>
        <w:t>Beneficios</w:t>
      </w:r>
    </w:p>
    <w:p>
      <w:pPr>
        <w:pStyle w:val="34"/>
        <w:numPr>
          <w:ilvl w:val="0"/>
          <w:numId w:val="63"/>
        </w:numPr>
        <w:rPr>
          <w:rFonts w:hint="default" w:ascii="Times New Roman" w:hAnsi="Times New Roman" w:eastAsia="Times New Roman" w:cs="Times New Roman"/>
          <w:lang w:val="zh-CN"/>
        </w:rPr>
      </w:pPr>
      <w:r>
        <w:rPr>
          <w:rFonts w:hint="default" w:ascii="Times New Roman" w:hAnsi="Times New Roman" w:eastAsia="Times New Roman" w:cs="Times New Roman"/>
          <w:lang w:val="zh-CN"/>
        </w:rPr>
        <w:t>Reducción de costos</w:t>
      </w:r>
    </w:p>
    <w:p>
      <w:pPr>
        <w:pStyle w:val="34"/>
        <w:numPr>
          <w:ilvl w:val="0"/>
          <w:numId w:val="63"/>
        </w:numPr>
        <w:rPr>
          <w:rFonts w:hint="default" w:ascii="Times New Roman" w:hAnsi="Times New Roman" w:eastAsia="Times New Roman" w:cs="Times New Roman"/>
          <w:lang w:val="zh-CN"/>
        </w:rPr>
      </w:pPr>
      <w:r>
        <w:rPr>
          <w:rFonts w:hint="default" w:ascii="Times New Roman" w:hAnsi="Times New Roman" w:eastAsia="Times New Roman" w:cs="Times New Roman"/>
          <w:lang w:val="zh-CN"/>
        </w:rPr>
        <w:t>Simplificación del ecosistema IT</w:t>
      </w:r>
    </w:p>
    <w:p>
      <w:pPr>
        <w:pStyle w:val="34"/>
        <w:numPr>
          <w:ilvl w:val="0"/>
          <w:numId w:val="63"/>
        </w:numPr>
        <w:rPr>
          <w:rFonts w:hint="default" w:ascii="Times New Roman" w:hAnsi="Times New Roman" w:eastAsia="Times New Roman" w:cs="Times New Roman"/>
          <w:lang w:val="zh-CN"/>
        </w:rPr>
      </w:pPr>
      <w:r>
        <w:rPr>
          <w:rFonts w:hint="default" w:ascii="Times New Roman" w:hAnsi="Times New Roman" w:eastAsia="Times New Roman" w:cs="Times New Roman"/>
          <w:lang w:val="zh-CN"/>
        </w:rPr>
        <w:t>Menor superficie de ataque</w:t>
      </w:r>
    </w:p>
    <w:p>
      <w:pPr>
        <w:pStyle w:val="4"/>
        <w:rPr>
          <w:rFonts w:hint="default" w:ascii="Times New Roman" w:hAnsi="Times New Roman" w:cs="Times New Roman"/>
          <w:b/>
          <w:bCs/>
          <w:color w:val="auto"/>
          <w:lang w:val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zh-CN"/>
        </w:rPr>
        <w:t>Riegos</w:t>
      </w:r>
    </w:p>
    <w:p>
      <w:pPr>
        <w:pStyle w:val="34"/>
        <w:numPr>
          <w:ilvl w:val="0"/>
          <w:numId w:val="64"/>
        </w:num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Gestión de datos históricos</w:t>
      </w:r>
    </w:p>
    <w:p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auto"/>
          <w:lang w:val="zh-CN"/>
        </w:rPr>
        <w:t>Evaluación numérica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5"/>
        <w:gridCol w:w="424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Parámetro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Tiempo de migración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 xml:space="preserve">Coste / esfuerzo    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zh-CN"/>
              </w:rPr>
              <w:t>1</w:t>
            </w:r>
          </w:p>
        </w:tc>
      </w:tr>
    </w:tbl>
    <w:p>
      <w:pPr>
        <w:ind w:left="0"/>
        <w:rPr>
          <w:rFonts w:hint="default" w:ascii="Times New Roman" w:hAnsi="Times New Roman" w:eastAsia="Times New Roman" w:cs="Times New Roman"/>
          <w:lang w:val="zh-CN"/>
        </w:rPr>
      </w:pPr>
    </w:p>
    <w:p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lang w:val="zh-CN"/>
        </w:rPr>
        <w:t>Conclusión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lang w:val="zh-CN"/>
        </w:rPr>
        <w:t>La estrategia Retire permite optimizar el entorno tecnológico, eliminando aplicaciones que ya no aportan valor y fortaleciendo la arquitectura híbrida.</w:t>
      </w:r>
    </w:p>
    <w:sectPr>
      <w:headerReference r:id="rId5" w:type="default"/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Gubb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Aptos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Gubb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Abyssinica SIL">
    <w:panose1 w:val="02000000000000000000"/>
    <w:charset w:val="00"/>
    <w:family w:val="auto"/>
    <w:pitch w:val="default"/>
    <w:sig w:usb0="800000EF" w:usb1="5200A14B" w:usb2="08000828" w:usb3="00000000" w:csb0="2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ntarell Light">
    <w:panose1 w:val="00000000000000000000"/>
    <w:charset w:val="00"/>
    <w:family w:val="auto"/>
    <w:pitch w:val="default"/>
    <w:sig w:usb0="E00002FF" w:usb1="4000217B" w:usb2="00000000" w:usb3="00000000" w:csb0="2000019F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KacstOffice">
    <w:panose1 w:val="02000000000000000000"/>
    <w:charset w:val="00"/>
    <w:family w:val="auto"/>
    <w:pitch w:val="default"/>
    <w:sig w:usb0="00002000" w:usb1="00000000" w:usb2="00000000" w:usb3="00000000" w:csb0="0000004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Lohit Kannada">
    <w:panose1 w:val="020B0600000000000000"/>
    <w:charset w:val="00"/>
    <w:family w:val="auto"/>
    <w:pitch w:val="default"/>
    <w:sig w:usb0="80408003" w:usb1="00002002" w:usb2="00000000" w:usb3="00000000" w:csb0="00000001" w:csb1="00000000"/>
  </w:font>
  <w:font w:name="MathJax_Vector">
    <w:panose1 w:val="02000603000000000000"/>
    <w:charset w:val="00"/>
    <w:family w:val="auto"/>
    <w:pitch w:val="default"/>
    <w:sig w:usb0="00000001" w:usb1="00000020" w:usb2="00000000" w:usb3="00000000" w:csb0="00000001" w:csb1="00000000"/>
  </w:font>
  <w:font w:name="Nakula">
    <w:panose1 w:val="00000400000000000000"/>
    <w:charset w:val="00"/>
    <w:family w:val="auto"/>
    <w:pitch w:val="default"/>
    <w:sig w:usb0="A0008207" w:usb1="00000000" w:usb2="00000000" w:usb3="00000000" w:csb0="00000045" w:csb1="00000000"/>
  </w:font>
  <w:font w:name="Noto Rashi Hebrew">
    <w:panose1 w:val="02020502060505020204"/>
    <w:charset w:val="00"/>
    <w:family w:val="auto"/>
    <w:pitch w:val="default"/>
    <w:sig w:usb0="80000803" w:usb1="40000000" w:usb2="00000000" w:usb3="00000000" w:csb0="00000020" w:csb1="00000000"/>
  </w:font>
  <w:font w:name="Noto Sans Buginese">
    <w:panose1 w:val="020B0502040504020204"/>
    <w:charset w:val="00"/>
    <w:family w:val="auto"/>
    <w:pitch w:val="default"/>
    <w:sig w:usb0="80000003" w:usb1="00002000" w:usb2="00000000" w:usb3="00000001" w:csb0="00000001" w:csb1="00000000"/>
  </w:font>
  <w:font w:name="Noto Sans Caucasian Albanian">
    <w:panose1 w:val="020B0502040504020204"/>
    <w:charset w:val="00"/>
    <w:family w:val="auto"/>
    <w:pitch w:val="default"/>
    <w:sig w:usb0="00000043" w:usb1="02002000" w:usb2="00000001" w:usb3="00000000" w:csb0="00000001" w:csb1="00000000"/>
  </w:font>
  <w:font w:name="Noto Sans Hanunoo">
    <w:panose1 w:val="020B0502040504020204"/>
    <w:charset w:val="00"/>
    <w:family w:val="auto"/>
    <w:pitch w:val="default"/>
    <w:sig w:usb0="80000003" w:usb1="00002000" w:usb2="00100000" w:usb3="00000000" w:csb0="00000001" w:csb1="00000000"/>
  </w:font>
  <w:font w:name="Noto Sans Indic Siyaq Numbers">
    <w:panose1 w:val="020B0502040504020204"/>
    <w:charset w:val="00"/>
    <w:family w:val="auto"/>
    <w:pitch w:val="default"/>
    <w:sig w:usb0="00002003" w:usb1="02000000" w:usb2="00000000" w:usb3="00000000" w:csb0="00000041" w:csb1="00000000"/>
  </w:font>
  <w:font w:name="Noto Sans Thai">
    <w:panose1 w:val="020B0502040504020204"/>
    <w:charset w:val="00"/>
    <w:family w:val="auto"/>
    <w:pitch w:val="default"/>
    <w:sig w:usb0="81000063" w:usb1="00002000" w:usb2="00000000" w:usb3="00000000" w:csb0="00010000" w:csb1="00000000"/>
  </w:font>
  <w:font w:name="Noto Serif Bengali">
    <w:panose1 w:val="02020502060505020204"/>
    <w:charset w:val="00"/>
    <w:family w:val="auto"/>
    <w:pitch w:val="default"/>
    <w:sig w:usb0="80018023" w:usb1="00002042" w:usb2="00000000" w:usb3="00000000" w:csb0="00000001" w:csb1="00000000"/>
  </w:font>
  <w:font w:name="Noto Serif Ethiopic">
    <w:panose1 w:val="02020502060505020204"/>
    <w:charset w:val="00"/>
    <w:family w:val="auto"/>
    <w:pitch w:val="default"/>
    <w:sig w:usb0="80000043" w:usb1="00002040" w:usb2="00000800" w:usb3="00000000" w:csb0="00000001" w:csb1="00000000"/>
  </w:font>
  <w:font w:name="Noto Serif Grantha">
    <w:panose1 w:val="02020502060505020204"/>
    <w:charset w:val="00"/>
    <w:family w:val="auto"/>
    <w:pitch w:val="default"/>
    <w:sig w:usb0="80108003" w:usb1="02002004" w:usb2="00000000" w:usb3="00000000" w:csb0="00000001" w:csb1="00000000"/>
  </w:font>
  <w:font w:name="Noto Serif Khojki">
    <w:panose1 w:val="020B0502040504020204"/>
    <w:charset w:val="00"/>
    <w:family w:val="auto"/>
    <w:pitch w:val="default"/>
    <w:sig w:usb0="80040003" w:usb1="02002000" w:usb2="00000000" w:usb3="00000000" w:csb0="00000001" w:csb1="00000000"/>
  </w:font>
  <w:font w:name="Noto Serif Thai">
    <w:panose1 w:val="02020502060505020204"/>
    <w:charset w:val="00"/>
    <w:family w:val="auto"/>
    <w:pitch w:val="default"/>
    <w:sig w:usb0="81000063" w:usb1="00002000" w:usb2="00000000" w:usb3="00000000" w:csb0="00010000" w:csb1="00000000"/>
  </w:font>
  <w:font w:name="Padauk">
    <w:panose1 w:val="02000400020000020004"/>
    <w:charset w:val="00"/>
    <w:family w:val="auto"/>
    <w:pitch w:val="default"/>
    <w:sig w:usb0="800000EF" w:usb1="4000204B" w:usb2="08100428" w:usb3="00100000" w:csb0="20000001" w:csb1="00000000"/>
  </w:font>
  <w:font w:name="RaghuMalayalamSans">
    <w:panose1 w:val="020B0400000000000000"/>
    <w:charset w:val="00"/>
    <w:family w:val="auto"/>
    <w:pitch w:val="default"/>
    <w:sig w:usb0="00800003" w:usb1="00000000" w:usb2="00000000" w:usb3="00000000" w:csb0="00000001" w:csb1="00000000"/>
  </w:font>
  <w:font w:name="Purisa">
    <w:panose1 w:val="02000603000000000000"/>
    <w:charset w:val="00"/>
    <w:family w:val="auto"/>
    <w:pitch w:val="default"/>
    <w:sig w:usb0="8100006F" w:usb1="5000016B" w:usb2="00000000" w:usb3="00000000" w:csb0="80010013" w:csb1="00000000"/>
  </w:font>
  <w:font w:name="Rachana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Ramabhadra">
    <w:panose1 w:val="02000600000000000000"/>
    <w:charset w:val="00"/>
    <w:family w:val="auto"/>
    <w:pitch w:val="default"/>
    <w:sig w:usb0="802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  <w:spacing w:line="240" w:lineRule="auto"/>
      <w:rPr>
        <w:rFonts w:hint="default" w:ascii="Arial" w:hAnsi="Arial" w:cs="Arial"/>
        <w:lang/>
      </w:rPr>
    </w:pPr>
    <w:r>
      <w:rPr>
        <w:rFonts w:hint="default" w:ascii="Arial" w:hAnsi="Arial" w:cs="Arial"/>
      </w:rPr>
      <w:t>OBS Business School</w:t>
    </w:r>
    <w:r>
      <w:rPr>
        <w:rFonts w:hint="default" w:ascii="Arial" w:hAnsi="Arial" w:cs="Arial"/>
        <w:lang/>
      </w:rPr>
      <w:t xml:space="preserve"> </w:t>
    </w:r>
  </w:p>
  <w:p>
    <w:pPr>
      <w:pStyle w:val="14"/>
      <w:spacing w:line="240" w:lineRule="auto"/>
      <w:rPr>
        <w:rFonts w:hint="default" w:ascii="Times New Roman" w:hAnsi="Times New Roman" w:cs="Times New Roman"/>
        <w:lang/>
      </w:rPr>
    </w:pPr>
    <w:r>
      <w:rPr>
        <w:rFonts w:hint="default" w:ascii="Arial" w:hAnsi="Arial" w:cs="Arial"/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-635</wp:posOffset>
              </wp:positionH>
              <wp:positionV relativeFrom="paragraph">
                <wp:posOffset>212725</wp:posOffset>
              </wp:positionV>
              <wp:extent cx="5415280" cy="0"/>
              <wp:effectExtent l="0" t="9525" r="13970" b="952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079500" y="894715"/>
                        <a:ext cx="541528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0.05pt;margin-top:16.75pt;height:0pt;width:426.4pt;z-index:251659264;mso-width-relative:page;mso-height-relative:page;" filled="f" stroked="t" coordsize="21600,21600" o:gfxdata="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">
              <v:fill on="f" focussize="0,0"/>
              <v:stroke weight="1.5pt" color="#156082 [3204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hint="default" w:ascii="Arial" w:hAnsi="Arial" w:cs="Arial"/>
      </w:rPr>
      <w:t>Master en DevOps y Cloud Computin</w:t>
    </w:r>
    <w:r>
      <w:rPr>
        <w:rFonts w:hint="default" w:ascii="Arial" w:hAnsi="Arial" w:cs="Arial"/>
        <w:lang/>
      </w:rPr>
      <w:t>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FE1FD3"/>
    <w:multiLevelType w:val="multilevel"/>
    <w:tmpl w:val="01FE1FD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02A478C2"/>
    <w:multiLevelType w:val="multilevel"/>
    <w:tmpl w:val="02A478C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095242D9"/>
    <w:multiLevelType w:val="multilevel"/>
    <w:tmpl w:val="095242D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0A162B09"/>
    <w:multiLevelType w:val="multilevel"/>
    <w:tmpl w:val="0A162B0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0DBE5370"/>
    <w:multiLevelType w:val="multilevel"/>
    <w:tmpl w:val="0DBE537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115C3B11"/>
    <w:multiLevelType w:val="multilevel"/>
    <w:tmpl w:val="115C3B1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12B08F16"/>
    <w:multiLevelType w:val="multilevel"/>
    <w:tmpl w:val="12B08F1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15DB04AE"/>
    <w:multiLevelType w:val="multilevel"/>
    <w:tmpl w:val="15DB04A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161B2EEA"/>
    <w:multiLevelType w:val="multilevel"/>
    <w:tmpl w:val="161B2EE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18E3B22A"/>
    <w:multiLevelType w:val="multilevel"/>
    <w:tmpl w:val="18E3B22A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9673160"/>
    <w:multiLevelType w:val="multilevel"/>
    <w:tmpl w:val="1967316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20BA3D2C"/>
    <w:multiLevelType w:val="multilevel"/>
    <w:tmpl w:val="20BA3D2C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EC281E"/>
    <w:multiLevelType w:val="multilevel"/>
    <w:tmpl w:val="20EC281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195064B"/>
    <w:multiLevelType w:val="multilevel"/>
    <w:tmpl w:val="2195064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>
    <w:nsid w:val="22827303"/>
    <w:multiLevelType w:val="multilevel"/>
    <w:tmpl w:val="2282730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>
    <w:nsid w:val="2374DDF5"/>
    <w:multiLevelType w:val="multilevel"/>
    <w:tmpl w:val="2374DDF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>
    <w:nsid w:val="25FB45C2"/>
    <w:multiLevelType w:val="multilevel"/>
    <w:tmpl w:val="25FB45C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nsid w:val="260432BB"/>
    <w:multiLevelType w:val="multilevel"/>
    <w:tmpl w:val="260432B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>
    <w:nsid w:val="2657039E"/>
    <w:multiLevelType w:val="multilevel"/>
    <w:tmpl w:val="2657039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>
    <w:nsid w:val="295F5492"/>
    <w:multiLevelType w:val="multilevel"/>
    <w:tmpl w:val="295F549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>
    <w:nsid w:val="2A4D7C7B"/>
    <w:multiLevelType w:val="multilevel"/>
    <w:tmpl w:val="2A4D7C7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nsid w:val="2A7FDB44"/>
    <w:multiLevelType w:val="multilevel"/>
    <w:tmpl w:val="2A7FDB4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>
    <w:nsid w:val="2DC20BBF"/>
    <w:multiLevelType w:val="multilevel"/>
    <w:tmpl w:val="2DC20BB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>
    <w:nsid w:val="2E27510F"/>
    <w:multiLevelType w:val="multilevel"/>
    <w:tmpl w:val="2E27510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>
    <w:nsid w:val="2E8A2863"/>
    <w:multiLevelType w:val="multilevel"/>
    <w:tmpl w:val="2E8A286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>
    <w:nsid w:val="2F3124CF"/>
    <w:multiLevelType w:val="multilevel"/>
    <w:tmpl w:val="2F3124C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>
    <w:nsid w:val="301F6D3A"/>
    <w:multiLevelType w:val="multilevel"/>
    <w:tmpl w:val="301F6D3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nsid w:val="313914E6"/>
    <w:multiLevelType w:val="multilevel"/>
    <w:tmpl w:val="313914E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>
    <w:nsid w:val="32300C07"/>
    <w:multiLevelType w:val="multilevel"/>
    <w:tmpl w:val="32300C07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33154B09"/>
    <w:multiLevelType w:val="multilevel"/>
    <w:tmpl w:val="33154B0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nsid w:val="338E31D5"/>
    <w:multiLevelType w:val="multilevel"/>
    <w:tmpl w:val="338E31D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>
    <w:nsid w:val="36DAF412"/>
    <w:multiLevelType w:val="multilevel"/>
    <w:tmpl w:val="36DAF412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3892B6AF"/>
    <w:multiLevelType w:val="multilevel"/>
    <w:tmpl w:val="3892B6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>
    <w:nsid w:val="3A1E1C18"/>
    <w:multiLevelType w:val="multilevel"/>
    <w:tmpl w:val="3A1E1C1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>
    <w:nsid w:val="3A575206"/>
    <w:multiLevelType w:val="multilevel"/>
    <w:tmpl w:val="3A57520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>
    <w:nsid w:val="3DD4123A"/>
    <w:multiLevelType w:val="multilevel"/>
    <w:tmpl w:val="3DD4123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>
    <w:nsid w:val="3F652608"/>
    <w:multiLevelType w:val="multilevel"/>
    <w:tmpl w:val="3F65260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>
    <w:nsid w:val="40995F88"/>
    <w:multiLevelType w:val="multilevel"/>
    <w:tmpl w:val="40995F8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>
    <w:nsid w:val="42C74F40"/>
    <w:multiLevelType w:val="multilevel"/>
    <w:tmpl w:val="42C74F4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>
    <w:nsid w:val="43A06EEB"/>
    <w:multiLevelType w:val="multilevel"/>
    <w:tmpl w:val="43A06EE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>
    <w:nsid w:val="45737EBE"/>
    <w:multiLevelType w:val="multilevel"/>
    <w:tmpl w:val="45737EB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>
    <w:nsid w:val="476F3679"/>
    <w:multiLevelType w:val="multilevel"/>
    <w:tmpl w:val="476F367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>
    <w:nsid w:val="49296924"/>
    <w:multiLevelType w:val="multilevel"/>
    <w:tmpl w:val="49296924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49D24BF2"/>
    <w:multiLevelType w:val="multilevel"/>
    <w:tmpl w:val="49D24BF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>
    <w:nsid w:val="4B436163"/>
    <w:multiLevelType w:val="multilevel"/>
    <w:tmpl w:val="4B43616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5">
    <w:nsid w:val="51850F6E"/>
    <w:multiLevelType w:val="multilevel"/>
    <w:tmpl w:val="51850F6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6">
    <w:nsid w:val="55C7EB69"/>
    <w:multiLevelType w:val="multilevel"/>
    <w:tmpl w:val="55C7EB6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>
    <w:nsid w:val="5B5BE472"/>
    <w:multiLevelType w:val="multilevel"/>
    <w:tmpl w:val="5B5BE47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>
    <w:nsid w:val="5D12543B"/>
    <w:multiLevelType w:val="multilevel"/>
    <w:tmpl w:val="5D12543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9">
    <w:nsid w:val="5E886462"/>
    <w:multiLevelType w:val="multilevel"/>
    <w:tmpl w:val="5E88646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0">
    <w:nsid w:val="5EAD6DA9"/>
    <w:multiLevelType w:val="multilevel"/>
    <w:tmpl w:val="5EAD6DA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1">
    <w:nsid w:val="5F89C9A7"/>
    <w:multiLevelType w:val="multilevel"/>
    <w:tmpl w:val="5F89C9A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2">
    <w:nsid w:val="6014209A"/>
    <w:multiLevelType w:val="multilevel"/>
    <w:tmpl w:val="6014209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>
    <w:nsid w:val="63F96BFB"/>
    <w:multiLevelType w:val="multilevel"/>
    <w:tmpl w:val="63F96BF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4">
    <w:nsid w:val="66BEA898"/>
    <w:multiLevelType w:val="multilevel"/>
    <w:tmpl w:val="66BEA89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5">
    <w:nsid w:val="685C2D00"/>
    <w:multiLevelType w:val="multilevel"/>
    <w:tmpl w:val="685C2D0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6">
    <w:nsid w:val="6FC771E0"/>
    <w:multiLevelType w:val="multilevel"/>
    <w:tmpl w:val="6FC771E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7">
    <w:nsid w:val="70495E01"/>
    <w:multiLevelType w:val="multilevel"/>
    <w:tmpl w:val="70495E0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8">
    <w:nsid w:val="70D868EE"/>
    <w:multiLevelType w:val="multilevel"/>
    <w:tmpl w:val="70D868E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9">
    <w:nsid w:val="745F849C"/>
    <w:multiLevelType w:val="multilevel"/>
    <w:tmpl w:val="745F849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0">
    <w:nsid w:val="755C1AB6"/>
    <w:multiLevelType w:val="multilevel"/>
    <w:tmpl w:val="755C1AB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>
    <w:nsid w:val="77E026AA"/>
    <w:multiLevelType w:val="multilevel"/>
    <w:tmpl w:val="77E026A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2">
    <w:nsid w:val="7A0C3314"/>
    <w:multiLevelType w:val="multilevel"/>
    <w:tmpl w:val="7A0C331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3">
    <w:nsid w:val="7FD34D92"/>
    <w:multiLevelType w:val="multilevel"/>
    <w:tmpl w:val="7FD34D9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8"/>
  </w:num>
  <w:num w:numId="2">
    <w:abstractNumId w:val="37"/>
  </w:num>
  <w:num w:numId="3">
    <w:abstractNumId w:val="34"/>
  </w:num>
  <w:num w:numId="4">
    <w:abstractNumId w:val="45"/>
  </w:num>
  <w:num w:numId="5">
    <w:abstractNumId w:val="43"/>
  </w:num>
  <w:num w:numId="6">
    <w:abstractNumId w:val="41"/>
  </w:num>
  <w:num w:numId="7">
    <w:abstractNumId w:val="4"/>
  </w:num>
  <w:num w:numId="8">
    <w:abstractNumId w:val="19"/>
  </w:num>
  <w:num w:numId="9">
    <w:abstractNumId w:val="56"/>
  </w:num>
  <w:num w:numId="10">
    <w:abstractNumId w:val="58"/>
  </w:num>
  <w:num w:numId="11">
    <w:abstractNumId w:val="61"/>
  </w:num>
  <w:num w:numId="12">
    <w:abstractNumId w:val="11"/>
  </w:num>
  <w:num w:numId="13">
    <w:abstractNumId w:val="52"/>
  </w:num>
  <w:num w:numId="14">
    <w:abstractNumId w:val="40"/>
  </w:num>
  <w:num w:numId="15">
    <w:abstractNumId w:val="3"/>
  </w:num>
  <w:num w:numId="16">
    <w:abstractNumId w:val="57"/>
  </w:num>
  <w:num w:numId="17">
    <w:abstractNumId w:val="8"/>
  </w:num>
  <w:num w:numId="18">
    <w:abstractNumId w:val="50"/>
  </w:num>
  <w:num w:numId="19">
    <w:abstractNumId w:val="49"/>
  </w:num>
  <w:num w:numId="20">
    <w:abstractNumId w:val="17"/>
  </w:num>
  <w:num w:numId="21">
    <w:abstractNumId w:val="23"/>
  </w:num>
  <w:num w:numId="22">
    <w:abstractNumId w:val="48"/>
  </w:num>
  <w:num w:numId="23">
    <w:abstractNumId w:val="42"/>
  </w:num>
  <w:num w:numId="24">
    <w:abstractNumId w:val="27"/>
  </w:num>
  <w:num w:numId="25">
    <w:abstractNumId w:val="5"/>
  </w:num>
  <w:num w:numId="26">
    <w:abstractNumId w:val="1"/>
  </w:num>
  <w:num w:numId="27">
    <w:abstractNumId w:val="18"/>
  </w:num>
  <w:num w:numId="28">
    <w:abstractNumId w:val="16"/>
  </w:num>
  <w:num w:numId="29">
    <w:abstractNumId w:val="13"/>
  </w:num>
  <w:num w:numId="30">
    <w:abstractNumId w:val="0"/>
  </w:num>
  <w:num w:numId="31">
    <w:abstractNumId w:val="10"/>
  </w:num>
  <w:num w:numId="32">
    <w:abstractNumId w:val="24"/>
  </w:num>
  <w:num w:numId="33">
    <w:abstractNumId w:val="60"/>
  </w:num>
  <w:num w:numId="34">
    <w:abstractNumId w:val="31"/>
  </w:num>
  <w:num w:numId="35">
    <w:abstractNumId w:val="15"/>
  </w:num>
  <w:num w:numId="36">
    <w:abstractNumId w:val="46"/>
  </w:num>
  <w:num w:numId="37">
    <w:abstractNumId w:val="47"/>
  </w:num>
  <w:num w:numId="38">
    <w:abstractNumId w:val="59"/>
  </w:num>
  <w:num w:numId="39">
    <w:abstractNumId w:val="14"/>
  </w:num>
  <w:num w:numId="40">
    <w:abstractNumId w:val="55"/>
  </w:num>
  <w:num w:numId="41">
    <w:abstractNumId w:val="54"/>
  </w:num>
  <w:num w:numId="42">
    <w:abstractNumId w:val="22"/>
  </w:num>
  <w:num w:numId="43">
    <w:abstractNumId w:val="12"/>
  </w:num>
  <w:num w:numId="44">
    <w:abstractNumId w:val="35"/>
  </w:num>
  <w:num w:numId="45">
    <w:abstractNumId w:val="6"/>
  </w:num>
  <w:num w:numId="46">
    <w:abstractNumId w:val="63"/>
  </w:num>
  <w:num w:numId="47">
    <w:abstractNumId w:val="26"/>
  </w:num>
  <w:num w:numId="48">
    <w:abstractNumId w:val="36"/>
  </w:num>
  <w:num w:numId="49">
    <w:abstractNumId w:val="32"/>
  </w:num>
  <w:num w:numId="50">
    <w:abstractNumId w:val="62"/>
  </w:num>
  <w:num w:numId="51">
    <w:abstractNumId w:val="53"/>
  </w:num>
  <w:num w:numId="52">
    <w:abstractNumId w:val="2"/>
  </w:num>
  <w:num w:numId="53">
    <w:abstractNumId w:val="39"/>
  </w:num>
  <w:num w:numId="54">
    <w:abstractNumId w:val="9"/>
  </w:num>
  <w:num w:numId="55">
    <w:abstractNumId w:val="25"/>
  </w:num>
  <w:num w:numId="56">
    <w:abstractNumId w:val="51"/>
  </w:num>
  <w:num w:numId="57">
    <w:abstractNumId w:val="30"/>
  </w:num>
  <w:num w:numId="58">
    <w:abstractNumId w:val="21"/>
  </w:num>
  <w:num w:numId="59">
    <w:abstractNumId w:val="20"/>
  </w:num>
  <w:num w:numId="60">
    <w:abstractNumId w:val="33"/>
  </w:num>
  <w:num w:numId="61">
    <w:abstractNumId w:val="44"/>
  </w:num>
  <w:num w:numId="62">
    <w:abstractNumId w:val="29"/>
  </w:num>
  <w:num w:numId="63">
    <w:abstractNumId w:val="7"/>
  </w:num>
  <w:num w:numId="6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74B4"/>
    <w:rsid w:val="0004AD3C"/>
    <w:rsid w:val="000C3BEC"/>
    <w:rsid w:val="0015283F"/>
    <w:rsid w:val="001A6CC7"/>
    <w:rsid w:val="00334C35"/>
    <w:rsid w:val="009A7D7E"/>
    <w:rsid w:val="00A674B4"/>
    <w:rsid w:val="00C0163C"/>
    <w:rsid w:val="00F4233A"/>
    <w:rsid w:val="00F64023"/>
    <w:rsid w:val="01BFE36E"/>
    <w:rsid w:val="036BCBB2"/>
    <w:rsid w:val="03F5D59A"/>
    <w:rsid w:val="048A1031"/>
    <w:rsid w:val="054AADF6"/>
    <w:rsid w:val="056618D2"/>
    <w:rsid w:val="05DA2BA5"/>
    <w:rsid w:val="06216321"/>
    <w:rsid w:val="0727CB2B"/>
    <w:rsid w:val="07AF3984"/>
    <w:rsid w:val="08BEC4A9"/>
    <w:rsid w:val="09E443D3"/>
    <w:rsid w:val="0A235294"/>
    <w:rsid w:val="0A2F7160"/>
    <w:rsid w:val="0A837499"/>
    <w:rsid w:val="0AE514E5"/>
    <w:rsid w:val="0B17B0AB"/>
    <w:rsid w:val="0C43F120"/>
    <w:rsid w:val="0D3460C1"/>
    <w:rsid w:val="0DB3902D"/>
    <w:rsid w:val="0DB81E7C"/>
    <w:rsid w:val="0E190838"/>
    <w:rsid w:val="0F1E6AC4"/>
    <w:rsid w:val="0F5E7BF1"/>
    <w:rsid w:val="10D3588C"/>
    <w:rsid w:val="1112D6A2"/>
    <w:rsid w:val="135565D9"/>
    <w:rsid w:val="13AC85E7"/>
    <w:rsid w:val="146DCDB0"/>
    <w:rsid w:val="1482CE81"/>
    <w:rsid w:val="14DE1867"/>
    <w:rsid w:val="160F0F08"/>
    <w:rsid w:val="1648FDF1"/>
    <w:rsid w:val="168636C0"/>
    <w:rsid w:val="16878652"/>
    <w:rsid w:val="16B4149D"/>
    <w:rsid w:val="17BE09FD"/>
    <w:rsid w:val="18FDE1D1"/>
    <w:rsid w:val="197D6586"/>
    <w:rsid w:val="19CE6B6A"/>
    <w:rsid w:val="1A96A129"/>
    <w:rsid w:val="1AD9747E"/>
    <w:rsid w:val="1B3A2407"/>
    <w:rsid w:val="1BF3F817"/>
    <w:rsid w:val="1C519AC7"/>
    <w:rsid w:val="1C8F054B"/>
    <w:rsid w:val="1CB70E70"/>
    <w:rsid w:val="1EA6062C"/>
    <w:rsid w:val="1ED0281A"/>
    <w:rsid w:val="1EF44DEA"/>
    <w:rsid w:val="1F9B29C1"/>
    <w:rsid w:val="201F8CDA"/>
    <w:rsid w:val="202C67AA"/>
    <w:rsid w:val="209A166D"/>
    <w:rsid w:val="20E9F165"/>
    <w:rsid w:val="2195210B"/>
    <w:rsid w:val="226D845F"/>
    <w:rsid w:val="22B40544"/>
    <w:rsid w:val="240E2C60"/>
    <w:rsid w:val="24DDDFA8"/>
    <w:rsid w:val="25334677"/>
    <w:rsid w:val="2735D7A2"/>
    <w:rsid w:val="27427B82"/>
    <w:rsid w:val="27724BCF"/>
    <w:rsid w:val="29764490"/>
    <w:rsid w:val="2A051699"/>
    <w:rsid w:val="2A9134A0"/>
    <w:rsid w:val="2B3194B8"/>
    <w:rsid w:val="2B77D939"/>
    <w:rsid w:val="2BCE2C62"/>
    <w:rsid w:val="2BE1D4C2"/>
    <w:rsid w:val="2DEC25FA"/>
    <w:rsid w:val="2E6EE589"/>
    <w:rsid w:val="2E7DB201"/>
    <w:rsid w:val="2EFDF01C"/>
    <w:rsid w:val="2F067A97"/>
    <w:rsid w:val="2F5D2ED0"/>
    <w:rsid w:val="3139AF39"/>
    <w:rsid w:val="321EA989"/>
    <w:rsid w:val="322EABEA"/>
    <w:rsid w:val="3319510C"/>
    <w:rsid w:val="3453E5F1"/>
    <w:rsid w:val="350CFF76"/>
    <w:rsid w:val="363840EA"/>
    <w:rsid w:val="38612674"/>
    <w:rsid w:val="39400A5C"/>
    <w:rsid w:val="39DBD6F0"/>
    <w:rsid w:val="3A4ACBB6"/>
    <w:rsid w:val="3C6B91AB"/>
    <w:rsid w:val="3C8E2ADF"/>
    <w:rsid w:val="3D51A107"/>
    <w:rsid w:val="3D892DC2"/>
    <w:rsid w:val="3DD48B15"/>
    <w:rsid w:val="3EF0E0C2"/>
    <w:rsid w:val="3F5B9457"/>
    <w:rsid w:val="3F931CE4"/>
    <w:rsid w:val="3FE6CB5E"/>
    <w:rsid w:val="3FFED2E4"/>
    <w:rsid w:val="407B31DC"/>
    <w:rsid w:val="411BB6DB"/>
    <w:rsid w:val="42B6D255"/>
    <w:rsid w:val="42DFDBA0"/>
    <w:rsid w:val="42FE9440"/>
    <w:rsid w:val="43E91306"/>
    <w:rsid w:val="442C6F72"/>
    <w:rsid w:val="45FEFA7F"/>
    <w:rsid w:val="461B1D0D"/>
    <w:rsid w:val="46FDBB20"/>
    <w:rsid w:val="4701191B"/>
    <w:rsid w:val="4718476F"/>
    <w:rsid w:val="4783DF1B"/>
    <w:rsid w:val="47DAD9F7"/>
    <w:rsid w:val="4A236ABB"/>
    <w:rsid w:val="4ABEBE4F"/>
    <w:rsid w:val="4ADAD056"/>
    <w:rsid w:val="4AF91E3C"/>
    <w:rsid w:val="4B99997C"/>
    <w:rsid w:val="4BD6FEE3"/>
    <w:rsid w:val="4BDD15CC"/>
    <w:rsid w:val="4C335670"/>
    <w:rsid w:val="4CFBF8A1"/>
    <w:rsid w:val="4D0816E1"/>
    <w:rsid w:val="4EEA43AA"/>
    <w:rsid w:val="4F2100F8"/>
    <w:rsid w:val="50047D7E"/>
    <w:rsid w:val="538E5705"/>
    <w:rsid w:val="548013FB"/>
    <w:rsid w:val="54AD4A35"/>
    <w:rsid w:val="55120402"/>
    <w:rsid w:val="5615F22B"/>
    <w:rsid w:val="561E1E49"/>
    <w:rsid w:val="567127AD"/>
    <w:rsid w:val="57D5FED7"/>
    <w:rsid w:val="58B18A80"/>
    <w:rsid w:val="59916B82"/>
    <w:rsid w:val="59AE19E3"/>
    <w:rsid w:val="5A700C00"/>
    <w:rsid w:val="5B94C6A9"/>
    <w:rsid w:val="5BA29349"/>
    <w:rsid w:val="5BD169B7"/>
    <w:rsid w:val="5CEAF9A9"/>
    <w:rsid w:val="5DB2D393"/>
    <w:rsid w:val="5ED7391C"/>
    <w:rsid w:val="5F80D3E9"/>
    <w:rsid w:val="60B0577A"/>
    <w:rsid w:val="60CBD085"/>
    <w:rsid w:val="626DD18E"/>
    <w:rsid w:val="62B736E2"/>
    <w:rsid w:val="63EEDF02"/>
    <w:rsid w:val="642BC981"/>
    <w:rsid w:val="643DF5D3"/>
    <w:rsid w:val="655CBFB8"/>
    <w:rsid w:val="65812723"/>
    <w:rsid w:val="670A2C96"/>
    <w:rsid w:val="6757EE91"/>
    <w:rsid w:val="67BFF5F9"/>
    <w:rsid w:val="68325826"/>
    <w:rsid w:val="6B18BB93"/>
    <w:rsid w:val="6C085794"/>
    <w:rsid w:val="6DEBDCBD"/>
    <w:rsid w:val="6E060373"/>
    <w:rsid w:val="6EAF1340"/>
    <w:rsid w:val="6F013D68"/>
    <w:rsid w:val="6F7A5AC3"/>
    <w:rsid w:val="704756E7"/>
    <w:rsid w:val="70C2B2FE"/>
    <w:rsid w:val="70E1569F"/>
    <w:rsid w:val="712720E3"/>
    <w:rsid w:val="72060856"/>
    <w:rsid w:val="728B792F"/>
    <w:rsid w:val="7355A84D"/>
    <w:rsid w:val="736AAB30"/>
    <w:rsid w:val="7475DEE3"/>
    <w:rsid w:val="748FFFB9"/>
    <w:rsid w:val="753E21A5"/>
    <w:rsid w:val="760EB930"/>
    <w:rsid w:val="762332A5"/>
    <w:rsid w:val="7648179F"/>
    <w:rsid w:val="76D8DE25"/>
    <w:rsid w:val="76DBAFBA"/>
    <w:rsid w:val="76DE4D20"/>
    <w:rsid w:val="76E63E12"/>
    <w:rsid w:val="79A92163"/>
    <w:rsid w:val="7A7FDAE8"/>
    <w:rsid w:val="7C20778C"/>
    <w:rsid w:val="7C21F55A"/>
    <w:rsid w:val="7CA9BEC7"/>
    <w:rsid w:val="7CBFC985"/>
    <w:rsid w:val="7D164B6D"/>
    <w:rsid w:val="7EDF732B"/>
    <w:rsid w:val="7F2B537D"/>
    <w:rsid w:val="EBFBD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semiHidden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5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Subtitle"/>
    <w:basedOn w:val="1"/>
    <w:next w:val="1"/>
    <w:link w:val="3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7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itle"/>
    <w:basedOn w:val="1"/>
    <w:next w:val="1"/>
    <w:link w:val="3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toc 1"/>
    <w:basedOn w:val="1"/>
    <w:next w:val="1"/>
    <w:unhideWhenUsed/>
    <w:uiPriority w:val="39"/>
    <w:pPr>
      <w:spacing w:after="100"/>
    </w:pPr>
  </w:style>
  <w:style w:type="paragraph" w:styleId="20">
    <w:name w:val="toc 2"/>
    <w:basedOn w:val="1"/>
    <w:next w:val="1"/>
    <w:unhideWhenUsed/>
    <w:uiPriority w:val="39"/>
    <w:pPr>
      <w:spacing w:after="100"/>
      <w:ind w:left="240"/>
    </w:pPr>
  </w:style>
  <w:style w:type="character" w:customStyle="1" w:styleId="21">
    <w:name w:val="Título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Título 2 Char"/>
    <w:basedOn w:val="1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Título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Título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5">
    <w:name w:val="Título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6">
    <w:name w:val="Título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Título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Título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ítulo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Título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Subtítulo Char"/>
    <w:basedOn w:val="11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Citação Char"/>
    <w:basedOn w:val="11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Citação Intensa Char"/>
    <w:basedOn w:val="11"/>
    <w:link w:val="36"/>
    <w:uiPriority w:val="30"/>
    <w:rPr>
      <w:i/>
      <w:iCs/>
      <w:color w:val="104862" w:themeColor="accent1" w:themeShade="BF"/>
    </w:rPr>
  </w:style>
  <w:style w:type="character" w:customStyle="1" w:styleId="3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9">
    <w:name w:val="TOC Heading"/>
    <w:basedOn w:val="2"/>
    <w:next w:val="1"/>
    <w:unhideWhenUsed/>
    <w:qFormat/>
    <w:uiPriority w:val="3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ScaleCrop>false</ScaleCrop>
  <LinksUpToDate>false</LinksUpToDate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Daniel Huanca Gutierrez</dc:creator>
  <cp:lastModifiedBy>ingrid</cp:lastModifiedBy>
  <dcterms:modified xsi:type="dcterms:W3CDTF">2026-01-07T01:03:47Z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