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rPr>
      </w:pPr>
      <w:r>
        <w:rPr>
          <w:rFonts w:hint="default" w:ascii="Arial" w:hAnsi="Arial" w:cs="Arial"/>
          <w:b/>
          <w:bCs/>
          <w:sz w:val="40"/>
          <w:szCs w:val="40"/>
          <w:lang w:val="zh-CN"/>
        </w:rPr>
        <w:t>Migración de aplicaciones a</w:t>
      </w:r>
      <w:r>
        <w:rPr>
          <w:rFonts w:hint="default" w:ascii="Arial" w:hAnsi="Arial" w:cs="Arial"/>
          <w:b/>
          <w:bCs/>
          <w:sz w:val="40"/>
          <w:szCs w:val="40"/>
        </w:rPr>
        <w:t xml:space="preserve"> Hybrid Cloud (Datacenter + Google Cloud)</w:t>
      </w:r>
    </w:p>
    <w:p>
      <w:pPr>
        <w:jc w:val="center"/>
        <w:rPr>
          <w:rFonts w:hint="default" w:ascii="Arial" w:hAnsi="Arial" w:cs="Arial"/>
        </w:rPr>
      </w:pPr>
      <w:r>
        <w:rPr>
          <w:rFonts w:hint="default" w:ascii="Arial" w:hAnsi="Arial" w:cs="Arial"/>
        </w:rPr>
        <w:drawing>
          <wp:inline distT="0" distB="0" distL="114300" distR="114300">
            <wp:extent cx="5397500" cy="1587500"/>
            <wp:effectExtent l="0" t="0" r="0" b="0"/>
            <wp:docPr id="2" name="Picture 2" descr="CustomLogin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tomLoginLogo"/>
                    <pic:cNvPicPr>
                      <a:picLocks noChangeAspect="1"/>
                    </pic:cNvPicPr>
                  </pic:nvPicPr>
                  <pic:blipFill>
                    <a:blip r:embed="rId7"/>
                    <a:stretch>
                      <a:fillRect/>
                    </a:stretch>
                  </pic:blipFill>
                  <pic:spPr>
                    <a:xfrm>
                      <a:off x="0" y="0"/>
                      <a:ext cx="5397500" cy="1587500"/>
                    </a:xfrm>
                    <a:prstGeom prst="rect">
                      <a:avLst/>
                    </a:prstGeom>
                  </pic:spPr>
                </pic:pic>
              </a:graphicData>
            </a:graphic>
          </wp:inline>
        </w:drawing>
      </w:r>
    </w:p>
    <w:p>
      <w:pPr>
        <w:jc w:val="center"/>
        <w:rPr>
          <w:rFonts w:hint="default" w:ascii="Arial" w:hAnsi="Arial" w:cs="Arial"/>
        </w:rPr>
      </w:pPr>
    </w:p>
    <w:p>
      <w:pPr>
        <w:jc w:val="center"/>
        <w:rPr>
          <w:rFonts w:hint="default" w:ascii="Arial" w:hAnsi="Arial" w:cs="Arial"/>
        </w:rPr>
      </w:pPr>
    </w:p>
    <w:p>
      <w:pPr>
        <w:jc w:val="center"/>
        <w:rPr>
          <w:rFonts w:hint="default" w:ascii="Arial" w:hAnsi="Arial" w:cs="Arial"/>
        </w:rPr>
      </w:pPr>
    </w:p>
    <w:p>
      <w:pPr>
        <w:jc w:val="right"/>
        <w:rPr>
          <w:rFonts w:hint="default" w:ascii="Arial" w:hAnsi="Arial" w:cs="Arial"/>
          <w:b/>
          <w:bCs/>
          <w:sz w:val="22"/>
          <w:szCs w:val="22"/>
        </w:rPr>
      </w:pPr>
    </w:p>
    <w:p>
      <w:pPr>
        <w:jc w:val="right"/>
        <w:rPr>
          <w:rFonts w:hint="default" w:ascii="Arial" w:hAnsi="Arial" w:cs="Arial"/>
          <w:b/>
          <w:bCs/>
          <w:sz w:val="22"/>
          <w:szCs w:val="22"/>
        </w:rPr>
      </w:pPr>
      <w:r>
        <w:rPr>
          <w:rFonts w:hint="default" w:ascii="Arial" w:hAnsi="Arial" w:cs="Arial"/>
          <w:b/>
          <w:bCs/>
          <w:sz w:val="22"/>
          <w:szCs w:val="22"/>
        </w:rPr>
        <w:t>Grupo 1</w:t>
      </w:r>
    </w:p>
    <w:p>
      <w:pPr>
        <w:jc w:val="right"/>
        <w:rPr>
          <w:rFonts w:hint="default" w:ascii="Arial" w:hAnsi="Arial" w:cs="Arial"/>
          <w:sz w:val="22"/>
          <w:szCs w:val="22"/>
        </w:rPr>
      </w:pPr>
      <w:r>
        <w:rPr>
          <w:rFonts w:hint="default" w:ascii="Arial" w:hAnsi="Arial" w:cs="Arial"/>
          <w:sz w:val="22"/>
          <w:szCs w:val="22"/>
        </w:rPr>
        <w:t>Daniel Huanca Gutierrez</w:t>
      </w:r>
    </w:p>
    <w:p>
      <w:pPr>
        <w:jc w:val="right"/>
        <w:rPr>
          <w:rFonts w:hint="default" w:ascii="Arial" w:hAnsi="Arial" w:cs="Arial"/>
          <w:sz w:val="22"/>
          <w:szCs w:val="22"/>
          <w:lang w:val="zh-CN"/>
        </w:rPr>
      </w:pPr>
      <w:r>
        <w:rPr>
          <w:rFonts w:hint="default" w:ascii="Arial" w:hAnsi="Arial" w:cs="Arial"/>
          <w:sz w:val="22"/>
          <w:szCs w:val="22"/>
          <w:lang w:val="zh-CN"/>
        </w:rPr>
        <w:t>Elswee Luis Vázquez Diaz</w:t>
      </w:r>
    </w:p>
    <w:p>
      <w:pPr>
        <w:jc w:val="right"/>
        <w:rPr>
          <w:rFonts w:hint="default" w:ascii="Arial" w:hAnsi="Arial" w:cs="Arial"/>
          <w:sz w:val="22"/>
          <w:szCs w:val="22"/>
          <w:lang w:val="zh-CN"/>
        </w:rPr>
      </w:pPr>
      <w:r>
        <w:rPr>
          <w:rFonts w:hint="default" w:ascii="Arial" w:hAnsi="Arial" w:cs="Arial"/>
          <w:sz w:val="22"/>
          <w:szCs w:val="22"/>
          <w:lang w:val="zh-CN"/>
        </w:rPr>
        <w:t>Ingrid Izabel Trampe Arana</w:t>
      </w:r>
    </w:p>
    <w:p>
      <w:pPr>
        <w:jc w:val="right"/>
        <w:rPr>
          <w:rFonts w:hint="default" w:ascii="Arial" w:hAnsi="Arial" w:cs="Arial"/>
          <w:sz w:val="22"/>
          <w:szCs w:val="22"/>
        </w:rPr>
      </w:pPr>
      <w:r>
        <w:rPr>
          <w:rFonts w:hint="default" w:ascii="Arial" w:hAnsi="Arial" w:cs="Arial"/>
          <w:sz w:val="22"/>
          <w:szCs w:val="22"/>
        </w:rPr>
        <w:t>Rodrigo Alejandro Cruz Fagiani</w:t>
      </w:r>
    </w:p>
    <w:sdt>
      <w:sdtPr>
        <w:rPr>
          <w:rFonts w:hint="default" w:ascii="Arial" w:hAnsi="Arial" w:cs="Arial"/>
        </w:rPr>
        <w:id w:val="-1"/>
        <w:docPartObj>
          <w:docPartGallery w:val="Table of Contents"/>
          <w:docPartUnique/>
        </w:docPartObj>
      </w:sdtPr>
      <w:sdtEndPr>
        <w:rPr>
          <w:rFonts w:hint="default" w:ascii="Arial" w:hAnsi="Arial" w:cs="Arial" w:eastAsiaTheme="minorAscii"/>
          <w:b/>
          <w:bCs/>
          <w:color w:val="auto"/>
          <w:kern w:val="2"/>
          <w:sz w:val="24"/>
          <w:szCs w:val="24"/>
          <w:lang w:eastAsia="en-US"/>
          <w14:ligatures w14:val="standardContextual"/>
        </w:rPr>
      </w:sdtEndPr>
      <w:sdtContent>
        <w:p>
          <w:pPr>
            <w:pStyle w:val="45"/>
            <w:rPr>
              <w:rFonts w:hint="default" w:ascii="Arial" w:hAnsi="Arial" w:cs="Arial"/>
              <w:color w:val="auto"/>
            </w:rPr>
          </w:pPr>
          <w:r>
            <w:rPr>
              <w:rFonts w:hint="default" w:ascii="Arial" w:hAnsi="Arial" w:cs="Arial"/>
              <w:color w:val="auto"/>
            </w:rPr>
            <w:t>Sumario</w:t>
          </w:r>
        </w:p>
        <w:p>
          <w:pPr>
            <w:pStyle w:val="22"/>
            <w:tabs>
              <w:tab w:val="right" w:leader="dot" w:pos="8838"/>
            </w:tabs>
          </w:pPr>
          <w:r>
            <w:rPr>
              <w:rFonts w:hint="default" w:ascii="Arial" w:hAnsi="Arial" w:cs="Arial"/>
            </w:rPr>
            <w:fldChar w:fldCharType="begin"/>
          </w:r>
          <w:r>
            <w:rPr>
              <w:rFonts w:hint="default" w:ascii="Arial" w:hAnsi="Arial" w:cs="Arial"/>
            </w:rPr>
            <w:instrText xml:space="preserve"> TOC \o "1-3" \h \z \u </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_Toc1247374748 </w:instrText>
          </w:r>
          <w:r>
            <w:rPr>
              <w:rFonts w:hint="default" w:ascii="Arial" w:hAnsi="Arial" w:cs="Arial"/>
            </w:rPr>
            <w:fldChar w:fldCharType="separate"/>
          </w:r>
          <w:r>
            <w:rPr>
              <w:rFonts w:hint="default" w:ascii="Arial" w:hAnsi="Arial" w:cs="Arial"/>
              <w:bCs/>
              <w:szCs w:val="36"/>
              <w:lang w:val="zh-CN"/>
            </w:rPr>
            <w:t>Aplicación 1 – Portal de Venta de Seguros</w:t>
          </w:r>
          <w:r>
            <w:tab/>
          </w:r>
          <w:r>
            <w:fldChar w:fldCharType="begin"/>
          </w:r>
          <w:r>
            <w:instrText xml:space="preserve"> PAGEREF _Toc1247374748 \h </w:instrText>
          </w:r>
          <w:r>
            <w:fldChar w:fldCharType="separate"/>
          </w:r>
          <w:r>
            <w:t>5</w:t>
          </w:r>
          <w:r>
            <w:fldChar w:fldCharType="end"/>
          </w:r>
          <w:r>
            <w:rPr>
              <w:rFonts w:hint="default" w:ascii="Arial" w:hAnsi="Arial" w:cs="Arial"/>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_Toc892649823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1. </w:t>
          </w:r>
          <w:r>
            <w:rPr>
              <w:rFonts w:hint="default" w:ascii="Arial" w:hAnsi="Arial" w:cs="Arial"/>
              <w:szCs w:val="28"/>
              <w:lang w:val="zh-CN"/>
            </w:rPr>
            <w:t>Descubrimiento de la aplicación</w:t>
          </w:r>
          <w:r>
            <w:tab/>
          </w:r>
          <w:r>
            <w:fldChar w:fldCharType="begin"/>
          </w:r>
          <w:r>
            <w:instrText xml:space="preserve"> PAGEREF _Toc892649823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_Toc1029977813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2. </w:t>
          </w:r>
          <w:r>
            <w:rPr>
              <w:rFonts w:hint="default" w:ascii="Arial" w:hAnsi="Arial" w:cs="Arial"/>
              <w:szCs w:val="28"/>
              <w:lang w:val="zh-CN"/>
            </w:rPr>
            <w:t>Métricas relevantes</w:t>
          </w:r>
          <w:r>
            <w:tab/>
          </w:r>
          <w:r>
            <w:fldChar w:fldCharType="begin"/>
          </w:r>
          <w:r>
            <w:instrText xml:space="preserve"> PAGEREF _Toc1029977813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_Toc1988665400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3. </w:t>
          </w:r>
          <w:r>
            <w:rPr>
              <w:rFonts w:hint="default" w:ascii="Arial" w:hAnsi="Arial" w:cs="Arial"/>
              <w:szCs w:val="28"/>
              <w:lang w:val="zh-CN"/>
            </w:rPr>
            <w:t>Evaluación y decisión (6 R’s)</w:t>
          </w:r>
          <w:r>
            <w:tab/>
          </w:r>
          <w:r>
            <w:fldChar w:fldCharType="begin"/>
          </w:r>
          <w:r>
            <w:instrText xml:space="preserve"> PAGEREF _Toc1988665400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_Toc1617636208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4. </w:t>
          </w:r>
          <w:r>
            <w:rPr>
              <w:rFonts w:hint="default" w:ascii="Arial" w:hAnsi="Arial" w:cs="Arial"/>
              <w:szCs w:val="28"/>
              <w:lang w:val="zh-CN"/>
            </w:rPr>
            <w:t>Beneficios</w:t>
          </w:r>
          <w:r>
            <w:tab/>
          </w:r>
          <w:r>
            <w:fldChar w:fldCharType="begin"/>
          </w:r>
          <w:r>
            <w:instrText xml:space="preserve"> PAGEREF _Toc1617636208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_Toc1889928107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5. </w:t>
          </w:r>
          <w:r>
            <w:rPr>
              <w:rFonts w:hint="default" w:ascii="Arial" w:hAnsi="Arial" w:cs="Arial"/>
              <w:szCs w:val="28"/>
              <w:lang w:val="zh-CN"/>
            </w:rPr>
            <w:t>Riesgos</w:t>
          </w:r>
          <w:r>
            <w:tab/>
          </w:r>
          <w:r>
            <w:fldChar w:fldCharType="begin"/>
          </w:r>
          <w:r>
            <w:instrText xml:space="preserve"> PAGEREF _Toc1889928107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_Toc311794021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6. </w:t>
          </w:r>
          <w:r>
            <w:rPr>
              <w:rFonts w:hint="default" w:ascii="Arial" w:hAnsi="Arial" w:cs="Arial"/>
              <w:szCs w:val="28"/>
              <w:lang w:val="zh-CN"/>
            </w:rPr>
            <w:t>Evaluación numérica</w:t>
          </w:r>
          <w:r>
            <w:tab/>
          </w:r>
          <w:r>
            <w:fldChar w:fldCharType="begin"/>
          </w:r>
          <w:r>
            <w:instrText xml:space="preserve"> PAGEREF _Toc311794021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_Toc1767148379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rPr>
            <w:t xml:space="preserve">7. </w:t>
          </w:r>
          <w:r>
            <w:rPr>
              <w:rFonts w:hint="default" w:ascii="Arial" w:hAnsi="Arial" w:cs="Arial"/>
              <w:szCs w:val="28"/>
              <w:lang w:val="zh-CN"/>
            </w:rPr>
            <w:t>Conclusión</w:t>
          </w:r>
          <w:r>
            <w:tab/>
          </w:r>
          <w:r>
            <w:fldChar w:fldCharType="begin"/>
          </w:r>
          <w:r>
            <w:instrText xml:space="preserve"> PAGEREF _Toc1767148379 \h </w:instrText>
          </w:r>
          <w:r>
            <w:fldChar w:fldCharType="separate"/>
          </w:r>
          <w:r>
            <w:t>6</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_Toc2075299729 </w:instrText>
          </w:r>
          <w:r>
            <w:rPr>
              <w:rFonts w:hint="default" w:ascii="Arial" w:hAnsi="Arial" w:cs="Arial"/>
              <w:bCs/>
            </w:rPr>
            <w:fldChar w:fldCharType="separate"/>
          </w:r>
          <w:r>
            <w:rPr>
              <w:rFonts w:hint="default" w:ascii="Arial" w:hAnsi="Arial" w:cs="Arial"/>
              <w:bCs/>
              <w:szCs w:val="36"/>
              <w:lang w:val="zh-CN"/>
            </w:rPr>
            <w:t>Aplicación 2 – Migración de Aplicaciones no Modernizadas</w:t>
          </w:r>
          <w:r>
            <w:tab/>
          </w:r>
          <w:r>
            <w:fldChar w:fldCharType="begin"/>
          </w:r>
          <w:r>
            <w:instrText xml:space="preserve"> PAGEREF _Toc2075299729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_Toc1319959000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_Toc1319959000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_Toc267547836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_Toc267547836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_Toc1814354917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_Toc1814354917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_Toc1669485878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_Toc1669485878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_Toc1375903035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_Toc1375903035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_Toc754507571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_Toc754507571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_Toc1576108266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_Toc1576108266 \h </w:instrText>
          </w:r>
          <w:r>
            <w:fldChar w:fldCharType="separate"/>
          </w:r>
          <w:r>
            <w:t>8</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_Toc225160343 </w:instrText>
          </w:r>
          <w:r>
            <w:rPr>
              <w:rFonts w:hint="default" w:ascii="Arial" w:hAnsi="Arial" w:cs="Arial"/>
              <w:bCs/>
            </w:rPr>
            <w:fldChar w:fldCharType="separate"/>
          </w:r>
          <w:r>
            <w:rPr>
              <w:rFonts w:hint="default" w:ascii="Arial" w:hAnsi="Arial" w:cs="Arial"/>
              <w:bCs/>
              <w:szCs w:val="36"/>
              <w:lang w:val="zh-CN"/>
            </w:rPr>
            <w:t>Aplicación 3 – Plataforma de Analítica de Campañas Comerciales</w:t>
          </w:r>
          <w:r>
            <w:tab/>
          </w:r>
          <w:r>
            <w:fldChar w:fldCharType="begin"/>
          </w:r>
          <w:r>
            <w:instrText xml:space="preserve"> PAGEREF _Toc225160343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_Toc894197162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_Toc894197162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_Toc1962231131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_Toc1962231131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_Toc1498005388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_Toc1498005388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_Toc1989132209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_Toc1989132209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_Toc1601645089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_Toc1601645089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_Toc1427814592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_Toc1427814592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_Toc2075855566 </w:instrText>
          </w:r>
          <w:r>
            <w:rPr>
              <w:rFonts w:hint="default" w:ascii="Arial" w:hAnsi="Arial" w:cs="Arial"/>
              <w:bCs/>
            </w:rPr>
            <w:fldChar w:fldCharType="separate"/>
          </w:r>
          <w:r>
            <w:rPr>
              <w:rFonts w:hint="default" w:ascii="Arial" w:hAnsi="Arial" w:cs="Arial"/>
              <w:lang w:val="zh-CN"/>
            </w:rPr>
            <w:t xml:space="preserve">7. </w:t>
          </w:r>
          <w:r>
            <w:rPr>
              <w:rFonts w:hint="default" w:ascii="Arial" w:hAnsi="Arial" w:cs="Arial"/>
              <w:szCs w:val="28"/>
              <w:lang w:val="zh-CN"/>
            </w:rPr>
            <w:t>Conclusión</w:t>
          </w:r>
          <w:r>
            <w:tab/>
          </w:r>
          <w:r>
            <w:fldChar w:fldCharType="begin"/>
          </w:r>
          <w:r>
            <w:instrText xml:space="preserve"> PAGEREF _Toc2075855566 \h </w:instrText>
          </w:r>
          <w:r>
            <w:fldChar w:fldCharType="separate"/>
          </w:r>
          <w:r>
            <w:t>10</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_Toc1740330452 </w:instrText>
          </w:r>
          <w:r>
            <w:rPr>
              <w:rFonts w:hint="default" w:ascii="Arial" w:hAnsi="Arial" w:cs="Arial"/>
              <w:bCs/>
            </w:rPr>
            <w:fldChar w:fldCharType="separate"/>
          </w:r>
          <w:r>
            <w:rPr>
              <w:rFonts w:hint="default" w:ascii="Arial" w:hAnsi="Arial" w:cs="Arial" w:eastAsiaTheme="majorAscii"/>
              <w:bCs/>
              <w:lang w:val="zh-CN"/>
            </w:rPr>
            <w:t>A</w:t>
          </w:r>
          <w:r>
            <w:rPr>
              <w:rFonts w:hint="default" w:ascii="Arial" w:hAnsi="Arial" w:cs="Arial" w:eastAsiaTheme="majorAscii"/>
              <w:bCs/>
              <w:szCs w:val="36"/>
              <w:lang w:val="zh-CN"/>
            </w:rPr>
            <w:t>plicación 4 – Plataforma de Procesamiento de Datos Operacionales</w:t>
          </w:r>
          <w:r>
            <w:tab/>
          </w:r>
          <w:r>
            <w:fldChar w:fldCharType="begin"/>
          </w:r>
          <w:r>
            <w:instrText xml:space="preserve"> PAGEREF _Toc1740330452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_Toc1115159548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_Toc1115159548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_Toc1116092736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_Toc1116092736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_Toc863195547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_Toc863195547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_Toc1510941801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_Toc1510941801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_Toc1928962936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_Toc1928962936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_Toc506347374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_Toc506347374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_Toc610832901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_Toc610832901 \h </w:instrText>
          </w:r>
          <w:r>
            <w:fldChar w:fldCharType="separate"/>
          </w:r>
          <w:r>
            <w:t>12</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_Toc674129111 </w:instrText>
          </w:r>
          <w:r>
            <w:rPr>
              <w:rFonts w:hint="default" w:ascii="Arial" w:hAnsi="Arial" w:cs="Arial"/>
              <w:bCs/>
            </w:rPr>
            <w:fldChar w:fldCharType="separate"/>
          </w:r>
          <w:r>
            <w:rPr>
              <w:rFonts w:hint="default" w:ascii="Arial" w:hAnsi="Arial" w:cs="Arial"/>
              <w:bCs/>
              <w:szCs w:val="36"/>
              <w:lang w:val="pt-BR"/>
            </w:rPr>
            <w:t>Aplicación 5 – Sistema Legacy de Gestión de Recursos Humanos</w:t>
          </w:r>
          <w:r>
            <w:tab/>
          </w:r>
          <w:r>
            <w:fldChar w:fldCharType="begin"/>
          </w:r>
          <w:r>
            <w:instrText xml:space="preserve"> PAGEREF _Toc674129111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_Toc1536325187 </w:instrText>
          </w:r>
          <w:r>
            <w:rPr>
              <w:rFonts w:hint="default" w:ascii="Arial" w:hAnsi="Arial" w:cs="Arial"/>
              <w:bCs/>
            </w:rPr>
            <w:fldChar w:fldCharType="separate"/>
          </w:r>
          <w:r>
            <w:rPr>
              <w:rFonts w:hint="default" w:ascii="Arial" w:hAnsi="Arial" w:cs="Arial"/>
              <w:szCs w:val="28"/>
              <w:lang w:val="pt-BR"/>
            </w:rPr>
            <w:t>1. Descubrimiento de la aplicación</w:t>
          </w:r>
          <w:r>
            <w:tab/>
          </w:r>
          <w:r>
            <w:fldChar w:fldCharType="begin"/>
          </w:r>
          <w:r>
            <w:instrText xml:space="preserve"> PAGEREF _Toc1536325187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_Toc452014654 </w:instrText>
          </w:r>
          <w:r>
            <w:rPr>
              <w:rFonts w:hint="default" w:ascii="Arial" w:hAnsi="Arial" w:cs="Arial"/>
              <w:bCs/>
            </w:rPr>
            <w:fldChar w:fldCharType="separate"/>
          </w:r>
          <w:r>
            <w:rPr>
              <w:rFonts w:hint="default" w:ascii="Arial" w:hAnsi="Arial" w:cs="Arial"/>
              <w:szCs w:val="28"/>
              <w:lang w:val="pt-BR"/>
            </w:rPr>
            <w:t xml:space="preserve">2. </w:t>
          </w:r>
          <w:r>
            <w:rPr>
              <w:rFonts w:hint="default" w:ascii="Arial" w:hAnsi="Arial" w:cs="Arial"/>
              <w:szCs w:val="28"/>
              <w:lang w:val="zh-CN"/>
            </w:rPr>
            <w:t>Métricas relevantes</w:t>
          </w:r>
          <w:r>
            <w:tab/>
          </w:r>
          <w:r>
            <w:fldChar w:fldCharType="begin"/>
          </w:r>
          <w:r>
            <w:instrText xml:space="preserve"> PAGEREF _Toc452014654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_Toc144281671 </w:instrText>
          </w:r>
          <w:r>
            <w:rPr>
              <w:rFonts w:hint="default" w:ascii="Arial" w:hAnsi="Arial" w:cs="Arial"/>
              <w:bCs/>
            </w:rPr>
            <w:fldChar w:fldCharType="separate"/>
          </w:r>
          <w:r>
            <w:rPr>
              <w:rFonts w:hint="default" w:ascii="Arial" w:hAnsi="Arial" w:cs="Arial"/>
              <w:szCs w:val="28"/>
              <w:lang w:val="pt-BR"/>
            </w:rPr>
            <w:t>3. Evaluación y decisión (6 R’s)</w:t>
          </w:r>
          <w:r>
            <w:tab/>
          </w:r>
          <w:r>
            <w:fldChar w:fldCharType="begin"/>
          </w:r>
          <w:r>
            <w:instrText xml:space="preserve"> PAGEREF _Toc144281671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_Toc1278769647 </w:instrText>
          </w:r>
          <w:r>
            <w:rPr>
              <w:rFonts w:hint="default" w:ascii="Arial" w:hAnsi="Arial" w:cs="Arial"/>
              <w:bCs/>
            </w:rPr>
            <w:fldChar w:fldCharType="separate"/>
          </w:r>
          <w:r>
            <w:rPr>
              <w:rFonts w:hint="default" w:ascii="Arial" w:hAnsi="Arial" w:cs="Arial"/>
              <w:szCs w:val="28"/>
              <w:lang w:val="pt-BR"/>
            </w:rPr>
            <w:t>4. Beneficios</w:t>
          </w:r>
          <w:r>
            <w:tab/>
          </w:r>
          <w:r>
            <w:fldChar w:fldCharType="begin"/>
          </w:r>
          <w:r>
            <w:instrText xml:space="preserve"> PAGEREF _Toc1278769647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_Toc763808675 </w:instrText>
          </w:r>
          <w:r>
            <w:rPr>
              <w:rFonts w:hint="default" w:ascii="Arial" w:hAnsi="Arial" w:cs="Arial"/>
              <w:bCs/>
            </w:rPr>
            <w:fldChar w:fldCharType="separate"/>
          </w:r>
          <w:r>
            <w:rPr>
              <w:rFonts w:hint="default" w:ascii="Arial" w:hAnsi="Arial" w:cs="Arial"/>
              <w:szCs w:val="28"/>
              <w:lang w:val="pt-BR"/>
            </w:rPr>
            <w:t>5. Riesgos</w:t>
          </w:r>
          <w:r>
            <w:tab/>
          </w:r>
          <w:r>
            <w:fldChar w:fldCharType="begin"/>
          </w:r>
          <w:r>
            <w:instrText xml:space="preserve"> PAGEREF _Toc763808675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_Toc1911430050 </w:instrText>
          </w:r>
          <w:r>
            <w:rPr>
              <w:rFonts w:hint="default" w:ascii="Arial" w:hAnsi="Arial" w:cs="Arial"/>
              <w:bCs/>
            </w:rPr>
            <w:fldChar w:fldCharType="separate"/>
          </w:r>
          <w:r>
            <w:rPr>
              <w:rFonts w:hint="default" w:ascii="Arial" w:hAnsi="Arial" w:cs="Arial"/>
              <w:szCs w:val="28"/>
              <w:lang w:val="pt-BR"/>
            </w:rPr>
            <w:t xml:space="preserve">6. </w:t>
          </w:r>
          <w:r>
            <w:rPr>
              <w:rFonts w:hint="default" w:ascii="Arial" w:hAnsi="Arial" w:cs="Arial"/>
              <w:szCs w:val="28"/>
              <w:lang w:val="pt-BR" w:eastAsia="en-US"/>
            </w:rPr>
            <w:t>Evaluación numérica</w:t>
          </w:r>
          <w:r>
            <w:tab/>
          </w:r>
          <w:r>
            <w:fldChar w:fldCharType="begin"/>
          </w:r>
          <w:r>
            <w:instrText xml:space="preserve"> PAGEREF _Toc1911430050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_Toc1206585728 </w:instrText>
          </w:r>
          <w:r>
            <w:rPr>
              <w:rFonts w:hint="default" w:ascii="Arial" w:hAnsi="Arial" w:cs="Arial"/>
              <w:bCs/>
            </w:rPr>
            <w:fldChar w:fldCharType="separate"/>
          </w:r>
          <w:r>
            <w:rPr>
              <w:rFonts w:hint="default" w:ascii="Arial" w:hAnsi="Arial" w:cs="Arial"/>
              <w:szCs w:val="28"/>
              <w:lang w:val="pt-BR" w:eastAsia="en-US"/>
            </w:rPr>
            <w:t>7. Conclusión</w:t>
          </w:r>
          <w:r>
            <w:tab/>
          </w:r>
          <w:r>
            <w:fldChar w:fldCharType="begin"/>
          </w:r>
          <w:r>
            <w:instrText xml:space="preserve"> PAGEREF _Toc1206585728 \h </w:instrText>
          </w:r>
          <w:r>
            <w:fldChar w:fldCharType="separate"/>
          </w:r>
          <w:r>
            <w:t>14</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_Toc2083767675 </w:instrText>
          </w:r>
          <w:r>
            <w:rPr>
              <w:rFonts w:hint="default" w:ascii="Arial" w:hAnsi="Arial" w:cs="Arial"/>
              <w:bCs/>
            </w:rPr>
            <w:fldChar w:fldCharType="separate"/>
          </w:r>
          <w:r>
            <w:rPr>
              <w:rFonts w:hint="default" w:ascii="Arial" w:hAnsi="Arial" w:cs="Arial"/>
              <w:bCs/>
              <w:szCs w:val="36"/>
              <w:lang w:val="pt-BR"/>
            </w:rPr>
            <w:t>Aplicación 6 – Herramienta interna de Reportes Obsoletos</w:t>
          </w:r>
          <w:r>
            <w:tab/>
          </w:r>
          <w:r>
            <w:fldChar w:fldCharType="begin"/>
          </w:r>
          <w:r>
            <w:instrText xml:space="preserve"> PAGEREF _Toc2083767675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_Toc31494239 </w:instrText>
          </w:r>
          <w:r>
            <w:rPr>
              <w:rFonts w:hint="default" w:ascii="Arial" w:hAnsi="Arial" w:cs="Arial"/>
              <w:bCs/>
            </w:rPr>
            <w:fldChar w:fldCharType="separate"/>
          </w:r>
          <w:r>
            <w:rPr>
              <w:rFonts w:hint="default" w:ascii="Arial" w:hAnsi="Arial" w:cs="Arial"/>
              <w:szCs w:val="28"/>
              <w:lang w:val="pt-BR" w:eastAsia="en-US"/>
            </w:rPr>
            <w:t>1. Descubrimiento de la aplicación</w:t>
          </w:r>
          <w:r>
            <w:tab/>
          </w:r>
          <w:r>
            <w:fldChar w:fldCharType="begin"/>
          </w:r>
          <w:r>
            <w:instrText xml:space="preserve"> PAGEREF _Toc31494239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_Toc873456997 </w:instrText>
          </w:r>
          <w:r>
            <w:rPr>
              <w:rFonts w:hint="default" w:ascii="Arial" w:hAnsi="Arial" w:cs="Arial"/>
              <w:bCs/>
            </w:rPr>
            <w:fldChar w:fldCharType="separate"/>
          </w:r>
          <w:r>
            <w:rPr>
              <w:rFonts w:hint="default" w:ascii="Arial" w:hAnsi="Arial" w:cs="Arial"/>
              <w:szCs w:val="28"/>
              <w:lang w:val="pt-BR" w:eastAsia="en-US"/>
            </w:rPr>
            <w:t xml:space="preserve">2. </w:t>
          </w:r>
          <w:r>
            <w:rPr>
              <w:rFonts w:hint="default" w:ascii="Arial" w:hAnsi="Arial" w:cs="Arial"/>
              <w:szCs w:val="28"/>
              <w:lang w:val="zh-CN" w:eastAsia="en-US"/>
            </w:rPr>
            <w:t>Métricas relevantes</w:t>
          </w:r>
          <w:r>
            <w:tab/>
          </w:r>
          <w:r>
            <w:fldChar w:fldCharType="begin"/>
          </w:r>
          <w:r>
            <w:instrText xml:space="preserve"> PAGEREF _Toc873456997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_Toc1605769905 </w:instrText>
          </w:r>
          <w:r>
            <w:rPr>
              <w:rFonts w:hint="default" w:ascii="Arial" w:hAnsi="Arial" w:cs="Arial"/>
              <w:bCs/>
            </w:rPr>
            <w:fldChar w:fldCharType="separate"/>
          </w:r>
          <w:r>
            <w:rPr>
              <w:rFonts w:hint="default" w:ascii="Arial" w:hAnsi="Arial" w:cs="Arial"/>
              <w:szCs w:val="28"/>
              <w:lang w:val="zh-CN" w:eastAsia="en-US"/>
            </w:rPr>
            <w:t>3. Evaluación y decisión (6 R’s)</w:t>
          </w:r>
          <w:r>
            <w:tab/>
          </w:r>
          <w:r>
            <w:fldChar w:fldCharType="begin"/>
          </w:r>
          <w:r>
            <w:instrText xml:space="preserve"> PAGEREF _Toc1605769905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_Toc1407397274 </w:instrText>
          </w:r>
          <w:r>
            <w:rPr>
              <w:rFonts w:hint="default" w:ascii="Arial" w:hAnsi="Arial" w:cs="Arial"/>
              <w:bCs/>
            </w:rPr>
            <w:fldChar w:fldCharType="separate"/>
          </w:r>
          <w:r>
            <w:rPr>
              <w:rFonts w:hint="default" w:ascii="Arial" w:hAnsi="Arial" w:cs="Arial"/>
              <w:szCs w:val="28"/>
              <w:lang w:val="zh-CN" w:eastAsia="en-US"/>
            </w:rPr>
            <w:t>4. Beneficios</w:t>
          </w:r>
          <w:r>
            <w:tab/>
          </w:r>
          <w:r>
            <w:fldChar w:fldCharType="begin"/>
          </w:r>
          <w:r>
            <w:instrText xml:space="preserve"> PAGEREF _Toc1407397274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_Toc1627964569 </w:instrText>
          </w:r>
          <w:r>
            <w:rPr>
              <w:rFonts w:hint="default" w:ascii="Arial" w:hAnsi="Arial" w:cs="Arial"/>
              <w:bCs/>
            </w:rPr>
            <w:fldChar w:fldCharType="separate"/>
          </w:r>
          <w:r>
            <w:rPr>
              <w:rFonts w:hint="default" w:ascii="Arial" w:hAnsi="Arial" w:cs="Arial"/>
              <w:szCs w:val="28"/>
              <w:lang w:val="zh-CN" w:eastAsia="en-US"/>
            </w:rPr>
            <w:t>5. Riegos</w:t>
          </w:r>
          <w:r>
            <w:tab/>
          </w:r>
          <w:r>
            <w:fldChar w:fldCharType="begin"/>
          </w:r>
          <w:r>
            <w:instrText xml:space="preserve"> PAGEREF _Toc1627964569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_Toc1034394523 </w:instrText>
          </w:r>
          <w:r>
            <w:rPr>
              <w:rFonts w:hint="default" w:ascii="Arial" w:hAnsi="Arial" w:cs="Arial"/>
              <w:bCs/>
            </w:rPr>
            <w:fldChar w:fldCharType="separate"/>
          </w:r>
          <w:r>
            <w:rPr>
              <w:rFonts w:hint="default" w:ascii="Arial" w:hAnsi="Arial" w:cs="Arial"/>
              <w:szCs w:val="28"/>
              <w:lang w:val="zh-CN" w:eastAsia="en-US"/>
            </w:rPr>
            <w:t>6. Evaluación numérica</w:t>
          </w:r>
          <w:r>
            <w:tab/>
          </w:r>
          <w:r>
            <w:fldChar w:fldCharType="begin"/>
          </w:r>
          <w:r>
            <w:instrText xml:space="preserve"> PAGEREF _Toc1034394523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_Toc1632557618 </w:instrText>
          </w:r>
          <w:r>
            <w:rPr>
              <w:rFonts w:hint="default" w:ascii="Arial" w:hAnsi="Arial" w:cs="Arial"/>
              <w:bCs/>
            </w:rPr>
            <w:fldChar w:fldCharType="separate"/>
          </w:r>
          <w:r>
            <w:rPr>
              <w:rFonts w:hint="default" w:ascii="Arial" w:hAnsi="Arial" w:cs="Arial"/>
              <w:szCs w:val="28"/>
              <w:lang w:val="zh-CN" w:eastAsia="en-US"/>
            </w:rPr>
            <w:t>7. Conclusión</w:t>
          </w:r>
          <w:r>
            <w:tab/>
          </w:r>
          <w:r>
            <w:fldChar w:fldCharType="begin"/>
          </w:r>
          <w:r>
            <w:instrText xml:space="preserve"> PAGEREF _Toc1632557618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_Toc374678083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7 – </w:t>
          </w:r>
          <w:r>
            <w:rPr>
              <w:rFonts w:hint="default" w:ascii="Arial" w:hAnsi="Arial" w:cs="Arial" w:eastAsiaTheme="majorEastAsia"/>
              <w:bCs/>
              <w:kern w:val="2"/>
              <w:szCs w:val="36"/>
              <w:lang w:val="en-US" w:eastAsia="zh-CN" w:bidi="ar-SA"/>
              <w14:ligatures w14:val="standardContextual"/>
            </w:rPr>
            <w:t>SIGEF</w:t>
          </w:r>
          <w:r>
            <w:rPr>
              <w:rFonts w:hint="default" w:ascii="Arial" w:hAnsi="Arial" w:cs="Arial" w:eastAsiaTheme="majorEastAsia"/>
              <w:bCs/>
              <w:kern w:val="2"/>
              <w:szCs w:val="36"/>
              <w:lang w:val="zh-CN" w:eastAsia="zh-CN" w:bidi="ar-SA"/>
              <w14:ligatures w14:val="standardContextual"/>
            </w:rPr>
            <w:t>:</w:t>
          </w:r>
          <w:r>
            <w:rPr>
              <w:rFonts w:hint="default" w:ascii="Arial" w:hAnsi="Arial" w:cs="Arial" w:eastAsiaTheme="majorEastAsia"/>
              <w:bCs/>
              <w:kern w:val="2"/>
              <w:szCs w:val="36"/>
              <w:lang w:val="en-US" w:eastAsia="zh-CN" w:bidi="ar-SA"/>
              <w14:ligatures w14:val="standardContextual"/>
            </w:rPr>
            <w:t xml:space="preserve"> Sistema Integrado de Gestión Financiera</w:t>
          </w:r>
          <w:r>
            <w:tab/>
          </w:r>
          <w:r>
            <w:fldChar w:fldCharType="begin"/>
          </w:r>
          <w:r>
            <w:instrText xml:space="preserve"> PAGEREF _Toc374678083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_Toc849142006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eastAsiaTheme="majorEastAsia"/>
              <w:kern w:val="2"/>
              <w:szCs w:val="28"/>
              <w:lang w:val="zh-CN" w:eastAsia="en-US" w:bidi="ar-SA"/>
              <w14:ligatures w14:val="standardContextual"/>
            </w:rPr>
            <w:t>Descubrimiento de la aplicación</w:t>
          </w:r>
          <w:r>
            <w:tab/>
          </w:r>
          <w:r>
            <w:fldChar w:fldCharType="begin"/>
          </w:r>
          <w:r>
            <w:instrText xml:space="preserve"> PAGEREF _Toc849142006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_Toc983079358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2. </w:t>
          </w:r>
          <w:r>
            <w:rPr>
              <w:rFonts w:hint="default" w:ascii="Arial" w:hAnsi="Arial" w:cs="Arial" w:eastAsiaTheme="majorEastAsia"/>
              <w:kern w:val="2"/>
              <w:szCs w:val="28"/>
              <w:lang w:val="zh-CN" w:eastAsia="en-US" w:bidi="ar-SA"/>
              <w14:ligatures w14:val="standardContextual"/>
            </w:rPr>
            <w:t>Métricas relevantes</w:t>
          </w:r>
          <w:r>
            <w:tab/>
          </w:r>
          <w:r>
            <w:fldChar w:fldCharType="begin"/>
          </w:r>
          <w:r>
            <w:instrText xml:space="preserve"> PAGEREF _Toc983079358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_Toc216326644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3. </w:t>
          </w:r>
          <w:r>
            <w:rPr>
              <w:rFonts w:hint="default" w:ascii="Arial" w:hAnsi="Arial" w:cs="Arial" w:eastAsiaTheme="majorEastAsia"/>
              <w:kern w:val="2"/>
              <w:szCs w:val="28"/>
              <w:lang w:val="zh-CN" w:eastAsia="en-US" w:bidi="ar-SA"/>
              <w14:ligatures w14:val="standardContextual"/>
            </w:rPr>
            <w:t>Evaluación y decisión (6 R’s)</w:t>
          </w:r>
          <w:r>
            <w:tab/>
          </w:r>
          <w:r>
            <w:fldChar w:fldCharType="begin"/>
          </w:r>
          <w:r>
            <w:instrText xml:space="preserve"> PAGEREF _Toc216326644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_Toc303303448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4. </w:t>
          </w:r>
          <w:r>
            <w:rPr>
              <w:rFonts w:hint="default" w:ascii="Arial" w:hAnsi="Arial" w:cs="Arial" w:eastAsiaTheme="majorEastAsia"/>
              <w:kern w:val="2"/>
              <w:szCs w:val="28"/>
              <w:lang w:val="zh-CN" w:eastAsia="en-US" w:bidi="ar-SA"/>
              <w14:ligatures w14:val="standardContextual"/>
            </w:rPr>
            <w:t>Beneficios</w:t>
          </w:r>
          <w:r>
            <w:tab/>
          </w:r>
          <w:r>
            <w:fldChar w:fldCharType="begin"/>
          </w:r>
          <w:r>
            <w:instrText xml:space="preserve"> PAGEREF _Toc303303448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_Toc263410302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5. </w:t>
          </w:r>
          <w:r>
            <w:rPr>
              <w:rFonts w:hint="default" w:ascii="Arial" w:hAnsi="Arial" w:cs="Arial" w:eastAsiaTheme="majorEastAsia"/>
              <w:kern w:val="2"/>
              <w:szCs w:val="28"/>
              <w:lang w:val="zh-CN" w:eastAsia="en-US" w:bidi="ar-SA"/>
              <w14:ligatures w14:val="standardContextual"/>
            </w:rPr>
            <w:t>Riesgos</w:t>
          </w:r>
          <w:r>
            <w:tab/>
          </w:r>
          <w:r>
            <w:fldChar w:fldCharType="begin"/>
          </w:r>
          <w:r>
            <w:instrText xml:space="preserve"> PAGEREF _Toc263410302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_Toc144698563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6. </w:t>
          </w:r>
          <w:r>
            <w:rPr>
              <w:rFonts w:hint="default" w:ascii="Arial" w:hAnsi="Arial" w:cs="Arial" w:eastAsiaTheme="majorEastAsia"/>
              <w:kern w:val="2"/>
              <w:szCs w:val="28"/>
              <w:lang w:val="zh-CN" w:eastAsia="en-US" w:bidi="ar-SA"/>
              <w14:ligatures w14:val="standardContextual"/>
            </w:rPr>
            <w:t>Evaluación numérica</w:t>
          </w:r>
          <w:r>
            <w:tab/>
          </w:r>
          <w:r>
            <w:fldChar w:fldCharType="begin"/>
          </w:r>
          <w:r>
            <w:instrText xml:space="preserve"> PAGEREF _Toc144698563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_Toc2043633900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7. </w:t>
          </w:r>
          <w:r>
            <w:rPr>
              <w:rFonts w:hint="default" w:ascii="Arial" w:hAnsi="Arial" w:cs="Arial"/>
              <w:szCs w:val="28"/>
              <w:lang w:val="zh-CN"/>
            </w:rPr>
            <w:t>C</w:t>
          </w:r>
          <w:r>
            <w:rPr>
              <w:rFonts w:hint="default" w:ascii="Arial" w:hAnsi="Arial" w:cs="Arial" w:eastAsiaTheme="majorEastAsia"/>
              <w:kern w:val="2"/>
              <w:szCs w:val="28"/>
              <w:lang w:val="zh-CN" w:eastAsia="en-US" w:bidi="ar-SA"/>
              <w14:ligatures w14:val="standardContextual"/>
            </w:rPr>
            <w:t>onclusión</w:t>
          </w:r>
          <w:r>
            <w:tab/>
          </w:r>
          <w:r>
            <w:fldChar w:fldCharType="begin"/>
          </w:r>
          <w:r>
            <w:instrText xml:space="preserve"> PAGEREF _Toc2043633900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_Toc1378569850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8 – </w:t>
          </w:r>
          <w:r>
            <w:rPr>
              <w:rFonts w:hint="default" w:ascii="Arial" w:hAnsi="Arial" w:cs="Arial" w:eastAsiaTheme="majorEastAsia"/>
              <w:bCs/>
              <w:kern w:val="2"/>
              <w:szCs w:val="36"/>
              <w:lang w:val="en-US" w:eastAsia="zh-CN" w:bidi="ar-SA"/>
              <w14:ligatures w14:val="standardContextual"/>
            </w:rPr>
            <w:t>GESTDOC – Sistema de Gestión Documental Corporativo</w:t>
          </w:r>
          <w:r>
            <w:tab/>
          </w:r>
          <w:r>
            <w:fldChar w:fldCharType="begin"/>
          </w:r>
          <w:r>
            <w:instrText xml:space="preserve"> PAGEREF _Toc1378569850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_Toc1260791299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lang w:val="zh-CN" w:eastAsia="en-US"/>
            </w:rPr>
            <w:t>Descubrimiento de la aplicación</w:t>
          </w:r>
          <w:r>
            <w:tab/>
          </w:r>
          <w:r>
            <w:fldChar w:fldCharType="begin"/>
          </w:r>
          <w:r>
            <w:instrText xml:space="preserve"> PAGEREF _Toc1260791299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_Toc759345799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_Toc759345799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_Toc742028003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_Toc742028003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_Toc1042270587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cs="Arial"/>
              <w:lang w:val="zh-CN" w:eastAsia="en-US"/>
            </w:rPr>
            <w:t xml:space="preserve">Beneficios </w:t>
          </w:r>
          <w:r>
            <w:tab/>
          </w:r>
          <w:r>
            <w:fldChar w:fldCharType="begin"/>
          </w:r>
          <w:r>
            <w:instrText xml:space="preserve"> PAGEREF _Toc1042270587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_Toc1265693174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_Toc1265693174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_Toc1352860904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_Toc1352860904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_Toc1716399699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 xml:space="preserve">Conclusión </w:t>
          </w:r>
          <w:r>
            <w:tab/>
          </w:r>
          <w:r>
            <w:fldChar w:fldCharType="begin"/>
          </w:r>
          <w:r>
            <w:instrText xml:space="preserve"> PAGEREF _Toc1716399699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_Toc654534713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9 – </w:t>
          </w:r>
          <w:r>
            <w:rPr>
              <w:rFonts w:hint="default" w:ascii="Arial" w:hAnsi="Arial" w:cs="Arial" w:eastAsiaTheme="majorEastAsia"/>
              <w:bCs/>
              <w:kern w:val="2"/>
              <w:szCs w:val="36"/>
              <w:lang w:val="en-US" w:eastAsia="zh-CN" w:bidi="ar-SA"/>
              <w14:ligatures w14:val="standardContextual"/>
            </w:rPr>
            <w:t>Plataforma de Monitoreo Operacional</w:t>
          </w:r>
          <w:r>
            <w:tab/>
          </w:r>
          <w:r>
            <w:fldChar w:fldCharType="begin"/>
          </w:r>
          <w:r>
            <w:instrText xml:space="preserve"> PAGEREF _Toc654534713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_Toc1804875558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_Toc1804875558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_Toc1860681370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_Toc1860681370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_Toc1933304360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_Toc1933304360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_Toc421200585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rPr>
            <w:t xml:space="preserve">4. </w:t>
          </w:r>
          <w:r>
            <w:rPr>
              <w:rFonts w:hint="default" w:ascii="Arial" w:hAnsi="Arial" w:cs="Arial"/>
              <w:szCs w:val="22"/>
              <w:lang w:val="zh-CN" w:eastAsia="en-US"/>
            </w:rPr>
            <w:t xml:space="preserve">Beneficios </w:t>
          </w:r>
          <w:r>
            <w:tab/>
          </w:r>
          <w:r>
            <w:fldChar w:fldCharType="begin"/>
          </w:r>
          <w:r>
            <w:instrText xml:space="preserve"> PAGEREF _Toc421200585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_Toc1624627773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5. </w:t>
          </w:r>
          <w:r>
            <w:rPr>
              <w:rFonts w:hint="default" w:ascii="Arial" w:hAnsi="Arial" w:cs="Arial"/>
              <w:szCs w:val="22"/>
              <w:lang w:val="zh-CN" w:eastAsia="en-US"/>
            </w:rPr>
            <w:t xml:space="preserve">Riesgos </w:t>
          </w:r>
          <w:r>
            <w:tab/>
          </w:r>
          <w:r>
            <w:fldChar w:fldCharType="begin"/>
          </w:r>
          <w:r>
            <w:instrText xml:space="preserve"> PAGEREF _Toc1624627773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_Toc992406441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6. </w:t>
          </w:r>
          <w:r>
            <w:rPr>
              <w:rFonts w:hint="default" w:ascii="Arial" w:hAnsi="Arial" w:cs="Arial"/>
              <w:szCs w:val="22"/>
              <w:lang w:val="zh-CN" w:eastAsia="en-US"/>
            </w:rPr>
            <w:t>Evaluación numérica</w:t>
          </w:r>
          <w:r>
            <w:tab/>
          </w:r>
          <w:r>
            <w:fldChar w:fldCharType="begin"/>
          </w:r>
          <w:r>
            <w:instrText xml:space="preserve"> PAGEREF _Toc992406441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_Toc357484612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7. </w:t>
          </w:r>
          <w:r>
            <w:rPr>
              <w:rFonts w:hint="default" w:ascii="Arial" w:hAnsi="Arial" w:cs="Arial"/>
              <w:szCs w:val="22"/>
              <w:lang w:val="zh-CN" w:eastAsia="en-US"/>
            </w:rPr>
            <w:t>Conclusión</w:t>
          </w:r>
          <w:r>
            <w:tab/>
          </w:r>
          <w:r>
            <w:fldChar w:fldCharType="begin"/>
          </w:r>
          <w:r>
            <w:instrText xml:space="preserve"> PAGEREF _Toc357484612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_Toc1656122012 </w:instrText>
          </w:r>
          <w:r>
            <w:rPr>
              <w:rFonts w:hint="default" w:ascii="Arial" w:hAnsi="Arial" w:cs="Arial"/>
              <w:bCs/>
            </w:rPr>
            <w:fldChar w:fldCharType="separate"/>
          </w:r>
          <w:r>
            <w:rPr>
              <w:rFonts w:hint="default" w:ascii="Arial" w:hAnsi="Arial" w:cs="Arial"/>
            </w:rPr>
            <w:t>Aplicación 10: SCADA-ENERGY – Sistema de Supervisión y Control Operacional</w:t>
          </w:r>
          <w:r>
            <w:tab/>
          </w:r>
          <w:r>
            <w:fldChar w:fldCharType="begin"/>
          </w:r>
          <w:r>
            <w:instrText xml:space="preserve"> PAGEREF _Toc1656122012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_Toc1865863438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_Toc1865863438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_Toc1963254518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eastAsia="SimSun" w:cs="Arial"/>
              <w:lang w:val="zh-CN" w:eastAsia="en-US"/>
            </w:rPr>
            <w:t>Métricas relevantes</w:t>
          </w:r>
          <w:r>
            <w:tab/>
          </w:r>
          <w:r>
            <w:fldChar w:fldCharType="begin"/>
          </w:r>
          <w:r>
            <w:instrText xml:space="preserve"> PAGEREF _Toc1963254518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_Toc916035638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eastAsia="SimSun" w:cs="Arial"/>
              <w:lang w:val="zh-CN" w:eastAsia="en-US"/>
            </w:rPr>
            <w:t xml:space="preserve">Evaluación y decisión </w:t>
          </w:r>
          <w:r>
            <w:rPr>
              <w:rFonts w:hint="default" w:ascii="Arial" w:hAnsi="Arial" w:eastAsia="SimSun" w:cs="Arial"/>
              <w:lang w:eastAsia="en-US"/>
            </w:rPr>
            <w:t>(</w:t>
          </w:r>
          <w:r>
            <w:rPr>
              <w:rFonts w:hint="default" w:ascii="Arial" w:hAnsi="Arial" w:eastAsia="SimSun" w:cs="Arial"/>
              <w:lang w:val="zh-CN" w:eastAsia="en-US"/>
            </w:rPr>
            <w:t>6 R’s)</w:t>
          </w:r>
          <w:r>
            <w:tab/>
          </w:r>
          <w:r>
            <w:fldChar w:fldCharType="begin"/>
          </w:r>
          <w:r>
            <w:instrText xml:space="preserve"> PAGEREF _Toc916035638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_Toc1346344359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eastAsia="SimSun" w:cs="Arial"/>
              <w:lang w:val="zh-CN" w:eastAsia="en-US"/>
            </w:rPr>
            <w:t>Beneficios</w:t>
          </w:r>
          <w:r>
            <w:tab/>
          </w:r>
          <w:r>
            <w:fldChar w:fldCharType="begin"/>
          </w:r>
          <w:r>
            <w:instrText xml:space="preserve"> PAGEREF _Toc1346344359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_Toc850165393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eastAsia="SimSun" w:cs="Arial"/>
              <w:lang w:val="zh-CN" w:eastAsia="en-US"/>
            </w:rPr>
            <w:t>Riesgos</w:t>
          </w:r>
          <w:r>
            <w:tab/>
          </w:r>
          <w:r>
            <w:fldChar w:fldCharType="begin"/>
          </w:r>
          <w:r>
            <w:instrText xml:space="preserve"> PAGEREF _Toc850165393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_Toc401109608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eastAsia="SimSun" w:cs="Arial"/>
              <w:lang w:val="zh-CN" w:eastAsia="en-US"/>
            </w:rPr>
            <w:t>Evaluación numérica</w:t>
          </w:r>
          <w:r>
            <w:tab/>
          </w:r>
          <w:r>
            <w:fldChar w:fldCharType="begin"/>
          </w:r>
          <w:r>
            <w:instrText xml:space="preserve"> PAGEREF _Toc401109608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_Toc1721022442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eastAsia="SimSun" w:cs="Arial"/>
              <w:lang w:val="zh-CN" w:eastAsia="en-US"/>
            </w:rPr>
            <w:t>Conclusión</w:t>
          </w:r>
          <w:r>
            <w:tab/>
          </w:r>
          <w:r>
            <w:fldChar w:fldCharType="begin"/>
          </w:r>
          <w:r>
            <w:instrText xml:space="preserve"> PAGEREF _Toc1721022442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_Toc1699307400 </w:instrText>
          </w:r>
          <w:r>
            <w:rPr>
              <w:rFonts w:hint="default" w:ascii="Arial" w:hAnsi="Arial" w:cs="Arial"/>
              <w:bCs/>
            </w:rPr>
            <w:fldChar w:fldCharType="separate"/>
          </w:r>
          <w:r>
            <w:rPr>
              <w:rFonts w:hint="default" w:ascii="Arial" w:hAnsi="Arial" w:cs="Arial"/>
            </w:rPr>
            <w:t>Aplicación 1</w:t>
          </w:r>
          <w:r>
            <w:rPr>
              <w:rFonts w:hint="default" w:cs="Arial"/>
            </w:rPr>
            <w:t>1</w:t>
          </w:r>
          <w:r>
            <w:rPr>
              <w:rFonts w:hint="default" w:ascii="Arial" w:hAnsi="Arial" w:cs="Arial"/>
            </w:rPr>
            <w:t>: Plataforma de backup y recuperación de desastres</w:t>
          </w:r>
          <w:r>
            <w:tab/>
          </w:r>
          <w:r>
            <w:fldChar w:fldCharType="begin"/>
          </w:r>
          <w:r>
            <w:instrText xml:space="preserve"> PAGEREF _Toc1699307400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_Toc1384188966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_Toc1384188966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_Toc1937349087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eastAsia="SimSun" w:cs="Arial"/>
              <w:lang w:val="zh-CN" w:eastAsia="en-US"/>
            </w:rPr>
            <w:t xml:space="preserve">Métricas relevantes </w:t>
          </w:r>
          <w:r>
            <w:tab/>
          </w:r>
          <w:r>
            <w:fldChar w:fldCharType="begin"/>
          </w:r>
          <w:r>
            <w:instrText xml:space="preserve"> PAGEREF _Toc1937349087 \h </w:instrText>
          </w:r>
          <w:r>
            <w:fldChar w:fldCharType="separate"/>
          </w:r>
          <w:r>
            <w:t>25</w:t>
          </w:r>
          <w:r>
            <w:fldChar w:fldCharType="end"/>
          </w:r>
          <w:r>
            <w:rPr>
              <w:rFonts w:hint="default" w:ascii="Arial" w:hAnsi="Arial" w:cs="Arial"/>
              <w:bCs/>
            </w:rPr>
            <w:fldChar w:fldCharType="end"/>
          </w:r>
          <w:bookmarkStart w:id="88" w:name="_GoBack"/>
          <w:bookmarkEnd w:id="88"/>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_Toc2002610848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eastAsia="SimSun" w:cs="Arial"/>
              <w:lang w:val="zh-CN" w:eastAsia="en-US"/>
            </w:rPr>
            <w:t>Evaluación y decisión (6 R’s)</w:t>
          </w:r>
          <w:r>
            <w:tab/>
          </w:r>
          <w:r>
            <w:fldChar w:fldCharType="begin"/>
          </w:r>
          <w:r>
            <w:instrText xml:space="preserve"> PAGEREF _Toc2002610848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_Toc1647599268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4. </w:t>
          </w:r>
          <w:r>
            <w:rPr>
              <w:rFonts w:hint="default" w:ascii="Arial" w:hAnsi="Arial" w:eastAsia="SimSun" w:cs="Arial"/>
              <w:lang w:val="zh-CN" w:eastAsia="en-US"/>
            </w:rPr>
            <w:t xml:space="preserve">Beneficios </w:t>
          </w:r>
          <w:r>
            <w:tab/>
          </w:r>
          <w:r>
            <w:fldChar w:fldCharType="begin"/>
          </w:r>
          <w:r>
            <w:instrText xml:space="preserve"> PAGEREF _Toc1647599268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_Toc2082047650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5. </w:t>
          </w:r>
          <w:r>
            <w:rPr>
              <w:rFonts w:hint="default" w:ascii="Arial" w:hAnsi="Arial" w:eastAsia="SimSun" w:cs="Arial"/>
              <w:lang w:val="zh-CN" w:eastAsia="en-US"/>
            </w:rPr>
            <w:t xml:space="preserve">Riesgos </w:t>
          </w:r>
          <w:r>
            <w:tab/>
          </w:r>
          <w:r>
            <w:fldChar w:fldCharType="begin"/>
          </w:r>
          <w:r>
            <w:instrText xml:space="preserve"> PAGEREF _Toc2082047650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_Toc1898761100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eastAsia="SimSun" w:cs="Arial"/>
              <w:lang w:val="zh-CN" w:eastAsia="en-US"/>
            </w:rPr>
            <w:t xml:space="preserve">Evaluación Numérica </w:t>
          </w:r>
          <w:r>
            <w:tab/>
          </w:r>
          <w:r>
            <w:fldChar w:fldCharType="begin"/>
          </w:r>
          <w:r>
            <w:instrText xml:space="preserve"> PAGEREF _Toc1898761100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_Toc878685470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7. </w:t>
          </w:r>
          <w:r>
            <w:rPr>
              <w:rFonts w:hint="default" w:ascii="Arial" w:hAnsi="Arial" w:eastAsia="SimSun" w:cs="Arial"/>
              <w:lang w:val="zh-CN" w:eastAsia="en-US"/>
            </w:rPr>
            <w:t xml:space="preserve">Conclusión </w:t>
          </w:r>
          <w:r>
            <w:tab/>
          </w:r>
          <w:r>
            <w:fldChar w:fldCharType="begin"/>
          </w:r>
          <w:r>
            <w:instrText xml:space="preserve"> PAGEREF _Toc878685470 \h </w:instrText>
          </w:r>
          <w:r>
            <w:fldChar w:fldCharType="separate"/>
          </w:r>
          <w:r>
            <w:t>26</w:t>
          </w:r>
          <w:r>
            <w:fldChar w:fldCharType="end"/>
          </w:r>
          <w:r>
            <w:rPr>
              <w:rFonts w:hint="default" w:ascii="Arial" w:hAnsi="Arial" w:cs="Arial"/>
              <w:bCs/>
            </w:rPr>
            <w:fldChar w:fldCharType="end"/>
          </w:r>
        </w:p>
        <w:p>
          <w:pPr>
            <w:rPr>
              <w:rFonts w:hint="default" w:ascii="Arial" w:hAnsi="Arial" w:cs="Arial"/>
            </w:rPr>
          </w:pPr>
          <w:r>
            <w:rPr>
              <w:rFonts w:hint="default" w:ascii="Arial" w:hAnsi="Arial" w:cs="Arial"/>
              <w:bCs/>
            </w:rPr>
            <w:fldChar w:fldCharType="end"/>
          </w:r>
        </w:p>
      </w:sdtContent>
    </w:sdt>
    <w:p>
      <w:pPr>
        <w:rPr>
          <w:rFonts w:hint="default" w:ascii="Arial" w:hAnsi="Arial" w:cs="Arial"/>
        </w:rPr>
      </w:pPr>
      <w:r>
        <w:rPr>
          <w:rFonts w:hint="default" w:ascii="Arial" w:hAnsi="Arial" w:cs="Arial"/>
        </w:rPr>
        <w:br w:type="page"/>
      </w:r>
    </w:p>
    <w:p>
      <w:pPr>
        <w:pStyle w:val="2"/>
        <w:rPr>
          <w:rFonts w:hint="default" w:ascii="Arial" w:hAnsi="Arial" w:cs="Arial"/>
          <w:b/>
          <w:bCs/>
          <w:color w:val="auto"/>
          <w:sz w:val="36"/>
          <w:szCs w:val="36"/>
          <w:lang w:val="zh-CN"/>
        </w:rPr>
      </w:pPr>
      <w:bookmarkStart w:id="0" w:name="_Toc1247374748"/>
      <w:r>
        <w:rPr>
          <w:rFonts w:hint="default" w:ascii="Arial" w:hAnsi="Arial" w:cs="Arial"/>
          <w:b/>
          <w:bCs/>
          <w:color w:val="auto"/>
          <w:sz w:val="36"/>
          <w:szCs w:val="36"/>
          <w:lang w:val="zh-CN"/>
        </w:rPr>
        <w:t>Aplicación 1 – Portal de Venta de Seguros</w:t>
      </w:r>
      <w:bookmarkEnd w:id="0"/>
    </w:p>
    <w:p>
      <w:pPr>
        <w:pStyle w:val="3"/>
        <w:numPr>
          <w:ilvl w:val="0"/>
          <w:numId w:val="1"/>
        </w:numPr>
        <w:rPr>
          <w:rFonts w:hint="default" w:ascii="Arial" w:hAnsi="Arial" w:cs="Arial"/>
          <w:color w:val="auto"/>
          <w:sz w:val="28"/>
          <w:szCs w:val="28"/>
          <w:lang w:val="zh-CN"/>
        </w:rPr>
      </w:pPr>
      <w:bookmarkStart w:id="1" w:name="_Toc892649823"/>
      <w:r>
        <w:rPr>
          <w:rFonts w:hint="default" w:ascii="Arial" w:hAnsi="Arial" w:cs="Arial"/>
          <w:color w:val="auto"/>
          <w:sz w:val="28"/>
          <w:szCs w:val="28"/>
          <w:lang w:val="zh-CN"/>
        </w:rPr>
        <w:t>Descubrimiento de la aplicación</w:t>
      </w:r>
      <w:bookmarkEnd w:id="1"/>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El Portal de Venta de Seguros es una aplicación orientada a la captación de clientes y generación de propuestas comerciales personalizadas. Su objetivo principal es ofrecer productos de seguros adaptados a la ubicación geográfica del cliente, teniendo en cuenta factores regionales y normativos.</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Usuarios externos: clientes finales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Departamentos internos: Comercial, Marketing y Riesgos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Volumen aproximado: miles de usuarios concurrentes en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Usuarios externos (web)</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Personal comercial interno para seguimiento de propuestas</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Uso continuo 24x7</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Picos elevados en campañas comerciales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Desarrollo interno con apoyo de proveedor externo</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Arquitectura web moderna</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Aplicación activa y estratégica</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Requisitos elevados de seguridad y cumplimiento normativo</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Integración con servicios externos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Frontends web</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Balanceadores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Base de datos corporativa on-premise</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Integración con APIs externas (Google Maps, reCAPTCHA)</w:t>
      </w:r>
    </w:p>
    <w:p>
      <w:pPr>
        <w:pStyle w:val="3"/>
        <w:numPr>
          <w:ilvl w:val="0"/>
          <w:numId w:val="1"/>
        </w:numPr>
        <w:rPr>
          <w:rFonts w:hint="default" w:ascii="Arial" w:hAnsi="Arial" w:cs="Arial"/>
          <w:color w:val="auto"/>
          <w:sz w:val="28"/>
          <w:szCs w:val="28"/>
          <w:lang w:val="zh-CN"/>
        </w:rPr>
      </w:pPr>
      <w:bookmarkStart w:id="2" w:name="_Toc1029977813"/>
      <w:r>
        <w:rPr>
          <w:rFonts w:hint="default" w:ascii="Arial" w:hAnsi="Arial" w:cs="Arial"/>
          <w:color w:val="auto"/>
          <w:sz w:val="28"/>
          <w:szCs w:val="28"/>
          <w:lang w:val="zh-CN"/>
        </w:rPr>
        <w:t>Métricas relevantes</w:t>
      </w:r>
      <w:bookmarkEnd w:id="2"/>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Disponibilidad: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Sensibilidad del dato: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Escalabilidad: Media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Dependencia del DC: Alta (datos y compliance)</w:t>
      </w:r>
    </w:p>
    <w:p>
      <w:p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3" w:name="_Toc1988665400"/>
      <w:r>
        <w:rPr>
          <w:rFonts w:hint="default" w:ascii="Arial" w:hAnsi="Arial" w:cs="Arial"/>
          <w:color w:val="auto"/>
          <w:sz w:val="28"/>
          <w:szCs w:val="28"/>
          <w:lang w:val="zh-CN"/>
        </w:rPr>
        <w:t>Evaluación y decisión (6 R’s)</w:t>
      </w:r>
      <w:bookmarkEnd w:id="3"/>
    </w:p>
    <w:p>
      <w:pPr>
        <w:ind w:left="708" w:leftChars="0"/>
        <w:rPr>
          <w:rFonts w:hint="default" w:ascii="Arial" w:hAnsi="Arial" w:cs="Arial"/>
          <w:b/>
          <w:bCs/>
          <w:lang w:val="zh-CN"/>
        </w:rPr>
      </w:pPr>
      <w:r>
        <w:rPr>
          <w:rFonts w:hint="default" w:ascii="Arial" w:hAnsi="Arial" w:cs="Arial"/>
          <w:b/>
          <w:bCs/>
          <w:lang w:val="zh-CN"/>
        </w:rPr>
        <w:t>Decisión tomada: Retain</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La aplicación mantiene sus Frontends, balanceadores y base de datos en el Datacenter corporativo. Se integran servicios Cloud externos (APIs de Google Maps y reCAPTCHA) de forma controlada mediante claves y restricciones por URL.</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sz w:val="22"/>
          <w:szCs w:val="22"/>
          <w:lang w:val="zh-CN"/>
        </w:rPr>
      </w:pPr>
      <w:r>
        <w:rPr>
          <w:rFonts w:hint="default" w:ascii="Arial" w:hAnsi="Arial" w:cs="Arial"/>
          <w:sz w:val="22"/>
          <w:szCs w:val="22"/>
          <w:lang w:val="zh-CN"/>
        </w:rPr>
        <w:t>Requisitos regulatorios estrictos</w:t>
      </w:r>
    </w:p>
    <w:p>
      <w:pPr>
        <w:ind w:left="708" w:leftChars="0"/>
        <w:rPr>
          <w:rFonts w:hint="default" w:ascii="Arial" w:hAnsi="Arial" w:cs="Arial"/>
          <w:sz w:val="22"/>
          <w:szCs w:val="22"/>
          <w:lang w:val="zh-CN"/>
        </w:rPr>
      </w:pPr>
      <w:r>
        <w:rPr>
          <w:rFonts w:hint="default" w:ascii="Arial" w:hAnsi="Arial" w:cs="Arial"/>
          <w:sz w:val="22"/>
          <w:szCs w:val="22"/>
          <w:lang w:val="zh-CN"/>
        </w:rPr>
        <w:t>Necesidad de control total sobre datos sensibles</w:t>
      </w:r>
    </w:p>
    <w:p>
      <w:pPr>
        <w:ind w:left="708" w:leftChars="0"/>
        <w:rPr>
          <w:rFonts w:hint="default" w:ascii="Arial" w:hAnsi="Arial" w:cs="Arial"/>
          <w:sz w:val="22"/>
          <w:szCs w:val="22"/>
          <w:lang w:val="zh-CN"/>
        </w:rPr>
      </w:pPr>
      <w:r>
        <w:rPr>
          <w:rFonts w:hint="default" w:ascii="Arial" w:hAnsi="Arial" w:cs="Arial"/>
          <w:sz w:val="22"/>
          <w:szCs w:val="22"/>
          <w:lang w:val="zh-CN"/>
        </w:rPr>
        <w:t>Uso puntual de servicios cloud sin mover la aplicación core</w:t>
      </w:r>
    </w:p>
    <w:p>
      <w:pPr>
        <w:ind w:left="708" w:leftChars="0"/>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4" w:name="_Toc1617636208"/>
      <w:r>
        <w:rPr>
          <w:rFonts w:hint="default" w:ascii="Arial" w:hAnsi="Arial" w:cs="Arial"/>
          <w:color w:val="auto"/>
          <w:sz w:val="28"/>
          <w:szCs w:val="28"/>
          <w:lang w:val="zh-CN"/>
        </w:rPr>
        <w:t>Beneficios</w:t>
      </w:r>
      <w:bookmarkEnd w:id="4"/>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Cumplimiento normativo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Personalización regional del servicio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Reducción de fraude y bots</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Control total de la arquitectura</w:t>
      </w:r>
    </w:p>
    <w:p>
      <w:pPr>
        <w:pStyle w:val="40"/>
        <w:numPr>
          <w:ilvl w:val="0"/>
          <w:numId w:val="9"/>
        </w:numPr>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5" w:name="_Toc1889928107"/>
      <w:r>
        <w:rPr>
          <w:rFonts w:hint="default" w:ascii="Arial" w:hAnsi="Arial" w:cs="Arial"/>
          <w:color w:val="auto"/>
          <w:sz w:val="28"/>
          <w:szCs w:val="28"/>
          <w:lang w:val="zh-CN"/>
        </w:rPr>
        <w:t>Riesgos</w:t>
      </w:r>
      <w:bookmarkEnd w:id="5"/>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Dependencia de APIs externas</w:t>
      </w:r>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Costes de licenciamiento</w:t>
      </w:r>
    </w:p>
    <w:p>
      <w:pPr>
        <w:pStyle w:val="40"/>
        <w:numPr>
          <w:ilvl w:val="0"/>
          <w:numId w:val="10"/>
        </w:numPr>
        <w:rPr>
          <w:rFonts w:hint="default" w:ascii="Arial" w:hAnsi="Arial" w:cs="Arial"/>
          <w:lang w:val="zh-CN"/>
        </w:rPr>
      </w:pPr>
      <w:r>
        <w:rPr>
          <w:rFonts w:hint="default" w:ascii="Arial" w:hAnsi="Arial" w:cs="Arial"/>
          <w:sz w:val="22"/>
          <w:szCs w:val="22"/>
          <w:lang w:val="zh-CN"/>
        </w:rPr>
        <w:t>Limitaciones de escalado on-premise</w:t>
      </w:r>
    </w:p>
    <w:p>
      <w:pPr>
        <w:pStyle w:val="40"/>
        <w:numPr>
          <w:ilvl w:val="0"/>
          <w:numId w:val="10"/>
        </w:num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6" w:name="_Toc311794021"/>
      <w:r>
        <w:rPr>
          <w:rFonts w:hint="default" w:ascii="Arial" w:hAnsi="Arial" w:cs="Arial"/>
          <w:color w:val="auto"/>
          <w:sz w:val="28"/>
          <w:szCs w:val="28"/>
          <w:lang w:val="zh-CN"/>
        </w:rPr>
        <w:t>Evaluación numérica</w:t>
      </w:r>
      <w:bookmarkEnd w:id="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rPr>
          <w:rFonts w:hint="default" w:ascii="Arial" w:hAnsi="Arial" w:cs="Arial"/>
          <w:lang w:val="zh-CN"/>
        </w:rPr>
      </w:pPr>
    </w:p>
    <w:p>
      <w:pPr>
        <w:pStyle w:val="3"/>
        <w:numPr>
          <w:ilvl w:val="0"/>
          <w:numId w:val="1"/>
        </w:numPr>
        <w:rPr>
          <w:rFonts w:hint="default" w:ascii="Arial" w:hAnsi="Arial" w:cs="Arial"/>
          <w:color w:val="auto"/>
          <w:lang w:val="zh-CN"/>
        </w:rPr>
      </w:pPr>
      <w:bookmarkStart w:id="7" w:name="_Toc1767148379"/>
      <w:r>
        <w:rPr>
          <w:rFonts w:hint="default" w:ascii="Arial" w:hAnsi="Arial" w:cs="Arial"/>
          <w:color w:val="auto"/>
          <w:sz w:val="28"/>
          <w:szCs w:val="28"/>
          <w:lang w:val="zh-CN"/>
        </w:rPr>
        <w:t>Conclusión</w:t>
      </w:r>
      <w:bookmarkEnd w:id="7"/>
    </w:p>
    <w:p>
      <w:pPr>
        <w:rPr>
          <w:rFonts w:hint="default" w:ascii="Arial" w:hAnsi="Arial" w:cs="Arial"/>
          <w:sz w:val="22"/>
          <w:szCs w:val="22"/>
          <w:lang w:val="zh-CN"/>
        </w:rPr>
      </w:pPr>
      <w:r>
        <w:rPr>
          <w:rFonts w:hint="default" w:ascii="Arial" w:hAnsi="Arial" w:cs="Arial"/>
          <w:sz w:val="22"/>
          <w:szCs w:val="22"/>
          <w:lang w:val="zh-CN"/>
        </w:rPr>
        <w:t>La decisión Retain permite explotar capacidades Cloud sin comprometer seguridad ni cumplimiento, encajando en una estrategia híbrida madura.</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b/>
          <w:bCs/>
          <w:color w:val="auto"/>
          <w:sz w:val="36"/>
          <w:szCs w:val="36"/>
          <w:lang w:val="zh-CN"/>
        </w:rPr>
      </w:pPr>
      <w:bookmarkStart w:id="8" w:name="_Toc2075299729"/>
      <w:r>
        <w:rPr>
          <w:rFonts w:hint="default" w:ascii="Arial" w:hAnsi="Arial" w:cs="Arial"/>
          <w:b/>
          <w:bCs/>
          <w:color w:val="auto"/>
          <w:sz w:val="36"/>
          <w:szCs w:val="36"/>
          <w:lang w:val="zh-CN"/>
        </w:rPr>
        <w:t>Aplicación 2 – Migración de Aplicaciones no Modernizadas</w:t>
      </w:r>
      <w:bookmarkEnd w:id="8"/>
    </w:p>
    <w:p>
      <w:pPr>
        <w:pStyle w:val="3"/>
        <w:numPr>
          <w:ilvl w:val="0"/>
          <w:numId w:val="11"/>
        </w:numPr>
        <w:rPr>
          <w:rFonts w:hint="default" w:ascii="Arial" w:hAnsi="Arial" w:cs="Arial"/>
          <w:color w:val="auto"/>
          <w:sz w:val="28"/>
          <w:szCs w:val="28"/>
          <w:lang w:val="zh-CN"/>
        </w:rPr>
      </w:pPr>
      <w:bookmarkStart w:id="9" w:name="_Toc1319959000"/>
      <w:r>
        <w:rPr>
          <w:rFonts w:hint="default" w:ascii="Arial" w:hAnsi="Arial" w:cs="Arial"/>
          <w:color w:val="auto"/>
          <w:sz w:val="28"/>
          <w:szCs w:val="28"/>
          <w:lang w:val="zh-CN"/>
        </w:rPr>
        <w:t>Descubrimiento de la aplicación</w:t>
      </w:r>
      <w:bookmarkEnd w:id="9"/>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Con el objetivo de liberar capacidad en el datacenter y avanzar en la transición al Cloud, se identifican aplicaciones legacy sin roadmap de modernización ni dependencias críticas que puedan migrarse de forma directa.</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Usuarios internos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Departamentos: IT, Operaciones y Soporte</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Entre 50 y 200 usuarios por aplicación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Usuarios corporativos</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Administradores IT</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Uso diario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Cargas estables y predecibles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Desarrollo interno y aplicaciones heredadas</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Arquitecturas tradicionales basadas en VMware</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Estables</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Sin evolución funcional prevista</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Coste elevado de mantenimiento on-premise</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Máquinas virtuales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Red corporativa</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Integración con identidad corporativa</w:t>
      </w:r>
    </w:p>
    <w:p>
      <w:pPr>
        <w:pStyle w:val="3"/>
        <w:numPr>
          <w:ilvl w:val="0"/>
          <w:numId w:val="11"/>
        </w:numPr>
        <w:rPr>
          <w:rFonts w:hint="default" w:ascii="Arial" w:hAnsi="Arial" w:cs="Arial"/>
          <w:color w:val="auto"/>
          <w:sz w:val="28"/>
          <w:szCs w:val="28"/>
          <w:lang w:val="zh-CN"/>
        </w:rPr>
      </w:pPr>
      <w:bookmarkStart w:id="10" w:name="_Toc267547836"/>
      <w:r>
        <w:rPr>
          <w:rFonts w:hint="default" w:ascii="Arial" w:hAnsi="Arial" w:cs="Arial"/>
          <w:color w:val="auto"/>
          <w:sz w:val="28"/>
          <w:szCs w:val="28"/>
          <w:lang w:val="zh-CN"/>
        </w:rPr>
        <w:t>Métricas relevantes</w:t>
      </w:r>
      <w:bookmarkEnd w:id="10"/>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Criticidad: Media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Escalabilidad requerida: Baja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Dependencias externas: Muy bajas</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Coste on-premise: Alto</w:t>
      </w:r>
    </w:p>
    <w:p>
      <w:pPr>
        <w:pStyle w:val="3"/>
        <w:numPr>
          <w:ilvl w:val="0"/>
          <w:numId w:val="11"/>
        </w:numPr>
        <w:rPr>
          <w:rFonts w:hint="default" w:ascii="Arial" w:hAnsi="Arial" w:cs="Arial"/>
          <w:color w:val="auto"/>
          <w:sz w:val="28"/>
          <w:szCs w:val="28"/>
          <w:lang w:val="zh-CN"/>
        </w:rPr>
      </w:pPr>
      <w:bookmarkStart w:id="11" w:name="_Toc1814354917"/>
      <w:r>
        <w:rPr>
          <w:rFonts w:hint="default" w:ascii="Arial" w:hAnsi="Arial" w:cs="Arial"/>
          <w:color w:val="auto"/>
          <w:sz w:val="28"/>
          <w:szCs w:val="28"/>
          <w:lang w:val="zh-CN"/>
        </w:rPr>
        <w:t>Evaluación y decisión (6 R’s)</w:t>
      </w:r>
      <w:bookmarkEnd w:id="11"/>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Rehost (Lift &amp; Shift)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directa de las máquinas virtuales al Google Cloud VMware Engine, manteniendo arquitectura, sistemas operativos y configuraciones actuales. Todo el tráfico continúa pasando por on-premise, sin salida directa a internet.</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Reducción rápida de consumo de datacenter</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Bajo riesgo</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Sin cambios en la aplicación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Integración con Entra ID y redes corporativas</w:t>
      </w:r>
    </w:p>
    <w:p>
      <w:pPr>
        <w:pStyle w:val="40"/>
        <w:numPr>
          <w:ilvl w:val="0"/>
          <w:numId w:val="19"/>
        </w:numPr>
        <w:ind w:left="1416" w:leftChars="0"/>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2" w:name="_Toc1669485878"/>
      <w:r>
        <w:rPr>
          <w:rFonts w:hint="default" w:ascii="Arial" w:hAnsi="Arial" w:cs="Arial"/>
          <w:color w:val="auto"/>
          <w:sz w:val="28"/>
          <w:szCs w:val="28"/>
          <w:lang w:val="zh-CN"/>
        </w:rPr>
        <w:t>Beneficios</w:t>
      </w:r>
      <w:bookmarkEnd w:id="12"/>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Liberación de espacio físico</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Continuidad operativa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Reducción de costes de infraestructura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Base para futuras decisiones de modernización</w:t>
      </w:r>
    </w:p>
    <w:p>
      <w:pPr>
        <w:pStyle w:val="40"/>
        <w:numPr>
          <w:ilvl w:val="0"/>
          <w:numId w:val="20"/>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3" w:name="_Toc1375903035"/>
      <w:r>
        <w:rPr>
          <w:rFonts w:hint="default" w:ascii="Arial" w:hAnsi="Arial" w:cs="Arial"/>
          <w:color w:val="auto"/>
          <w:sz w:val="28"/>
          <w:szCs w:val="28"/>
          <w:lang w:val="zh-CN"/>
        </w:rPr>
        <w:t>Riesgos</w:t>
      </w:r>
      <w:bookmarkEnd w:id="13"/>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Arrastre de deuda técnica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Costes Cloud si no se optimiza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No mejora funcional inmediata</w:t>
      </w:r>
    </w:p>
    <w:p>
      <w:pPr>
        <w:pStyle w:val="40"/>
        <w:numPr>
          <w:ilvl w:val="0"/>
          <w:numId w:val="21"/>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4" w:name="_Toc754507571"/>
      <w:r>
        <w:rPr>
          <w:rFonts w:hint="default" w:ascii="Arial" w:hAnsi="Arial" w:cs="Arial"/>
          <w:color w:val="auto"/>
          <w:sz w:val="28"/>
          <w:szCs w:val="28"/>
          <w:lang w:val="zh-CN"/>
        </w:rPr>
        <w:t>Evaluación numérica</w:t>
      </w:r>
      <w:bookmarkEnd w:id="1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pStyle w:val="3"/>
        <w:numPr>
          <w:ilvl w:val="0"/>
          <w:numId w:val="0"/>
        </w:numPr>
        <w:ind w:left="360" w:leftChars="0"/>
        <w:rPr>
          <w:rFonts w:hint="default" w:ascii="Arial" w:hAnsi="Arial" w:cs="Arial"/>
          <w:color w:val="auto"/>
          <w:sz w:val="28"/>
          <w:szCs w:val="28"/>
          <w:lang w:val="zh-CN"/>
        </w:rPr>
      </w:pPr>
      <w:r>
        <w:rPr>
          <w:rFonts w:hint="default" w:ascii="Arial" w:hAnsi="Arial" w:cs="Arial"/>
          <w:color w:val="auto"/>
          <w:sz w:val="28"/>
          <w:szCs w:val="28"/>
        </w:rPr>
        <w:t xml:space="preserve"> </w:t>
      </w:r>
    </w:p>
    <w:p>
      <w:pPr>
        <w:pStyle w:val="3"/>
        <w:numPr>
          <w:ilvl w:val="0"/>
          <w:numId w:val="11"/>
        </w:numPr>
        <w:rPr>
          <w:rFonts w:hint="default" w:ascii="Arial" w:hAnsi="Arial" w:cs="Arial"/>
          <w:color w:val="auto"/>
          <w:sz w:val="28"/>
          <w:szCs w:val="28"/>
          <w:lang w:val="zh-CN"/>
        </w:rPr>
      </w:pPr>
      <w:bookmarkStart w:id="15" w:name="_Toc1576108266"/>
      <w:r>
        <w:rPr>
          <w:rFonts w:hint="default" w:ascii="Arial" w:hAnsi="Arial" w:cs="Arial"/>
          <w:color w:val="auto"/>
          <w:sz w:val="28"/>
          <w:szCs w:val="28"/>
          <w:lang w:val="zh-CN"/>
        </w:rPr>
        <w:t>Conclusión</w:t>
      </w:r>
      <w:bookmarkEnd w:id="15"/>
    </w:p>
    <w:p>
      <w:pPr>
        <w:rPr>
          <w:rFonts w:hint="default" w:ascii="Arial" w:hAnsi="Arial" w:cs="Arial"/>
          <w:sz w:val="22"/>
          <w:szCs w:val="22"/>
          <w:lang w:val="zh-CN"/>
        </w:rPr>
      </w:pPr>
      <w:r>
        <w:rPr>
          <w:rFonts w:hint="default" w:ascii="Arial" w:hAnsi="Arial" w:cs="Arial"/>
          <w:sz w:val="22"/>
          <w:szCs w:val="22"/>
          <w:lang w:val="zh-CN"/>
        </w:rPr>
        <w:t>El Rehost es la opción más eficiente para avanzar rápidamente en la transición al cloud sin comprometer la estabilidad.</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color w:val="auto"/>
          <w:sz w:val="36"/>
          <w:szCs w:val="36"/>
          <w:lang w:val="zh-CN"/>
        </w:rPr>
      </w:pPr>
      <w:bookmarkStart w:id="16" w:name="_Toc225160343"/>
      <w:r>
        <w:rPr>
          <w:rFonts w:hint="default" w:ascii="Arial" w:hAnsi="Arial" w:cs="Arial"/>
          <w:b/>
          <w:bCs/>
          <w:color w:val="auto"/>
          <w:sz w:val="36"/>
          <w:szCs w:val="36"/>
          <w:lang w:val="zh-CN"/>
        </w:rPr>
        <w:t>Aplicación 3 – Plataforma de Analítica de Campañas Comerciales</w:t>
      </w:r>
      <w:bookmarkEnd w:id="16"/>
    </w:p>
    <w:p>
      <w:pPr>
        <w:pStyle w:val="3"/>
        <w:numPr>
          <w:ilvl w:val="0"/>
          <w:numId w:val="22"/>
        </w:numPr>
        <w:rPr>
          <w:rFonts w:hint="default" w:ascii="Arial" w:hAnsi="Arial" w:cs="Arial"/>
          <w:color w:val="auto"/>
          <w:sz w:val="28"/>
          <w:szCs w:val="28"/>
          <w:lang w:val="zh-CN"/>
        </w:rPr>
      </w:pPr>
      <w:bookmarkStart w:id="17" w:name="_Toc894197162"/>
      <w:r>
        <w:rPr>
          <w:rFonts w:hint="default" w:ascii="Arial" w:hAnsi="Arial" w:cs="Arial"/>
          <w:color w:val="auto"/>
          <w:sz w:val="28"/>
          <w:szCs w:val="28"/>
          <w:lang w:val="zh-CN"/>
        </w:rPr>
        <w:t>Descubrimiento de la aplicación</w:t>
      </w:r>
      <w:bookmarkEnd w:id="17"/>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Esta plataforma permite analizar el rendimiento de campañas comerciales mediante procesos batch y generación de informes para áreas de negocio.</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150 usuarios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Marketing, Comercial y Dirección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Analistas</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Usuarios de negocio (lectura)</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Uso semanal y mensual</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Procesos intensivos en cierres de campaña</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Proveedor externo</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Arquitectura orientada a reporting</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Funcional</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Escalabilidad limitada</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Infraestructura infrautilizada fuera de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Servidores batch</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Base de datos analítica</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Almacenamiento histórico</w:t>
      </w:r>
    </w:p>
    <w:p>
      <w:p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18" w:name="_Toc1962231131"/>
      <w:r>
        <w:rPr>
          <w:rFonts w:hint="default" w:ascii="Arial" w:hAnsi="Arial" w:cs="Arial"/>
          <w:color w:val="auto"/>
          <w:sz w:val="28"/>
          <w:szCs w:val="28"/>
          <w:lang w:val="zh-CN"/>
        </w:rPr>
        <w:t>Métricas relevantes</w:t>
      </w:r>
      <w:bookmarkEnd w:id="18"/>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Volumen de datos: Alto</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Latencia requerida: Baja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Elasticidad: Alta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Sensibilidad del dato: Media</w:t>
      </w:r>
    </w:p>
    <w:p>
      <w:pPr>
        <w:pStyle w:val="3"/>
        <w:numPr>
          <w:ilvl w:val="0"/>
          <w:numId w:val="22"/>
        </w:numPr>
        <w:rPr>
          <w:rFonts w:hint="default" w:ascii="Arial" w:hAnsi="Arial" w:cs="Arial"/>
          <w:color w:val="auto"/>
          <w:sz w:val="28"/>
          <w:szCs w:val="28"/>
          <w:lang w:val="zh-CN"/>
        </w:rPr>
      </w:pPr>
      <w:bookmarkStart w:id="19" w:name="_Toc1498005388"/>
      <w:r>
        <w:rPr>
          <w:rFonts w:hint="default" w:ascii="Arial" w:hAnsi="Arial" w:cs="Arial"/>
          <w:color w:val="auto"/>
          <w:sz w:val="28"/>
          <w:szCs w:val="28"/>
          <w:lang w:val="zh-CN"/>
        </w:rPr>
        <w:t>Evaluación y decisión (6 R’s)</w:t>
      </w:r>
      <w:bookmarkEnd w:id="19"/>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Replatform</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de la capa de procesamiento y analítica a servicios gestionados en Google Cloud, manteniendo las fuentes críticas de datos en el datacenter.</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Reducción de costes fijos</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Escalabilidad bajo demanda</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Mejora de tiempos de procesamiento</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Sin rediseño completo de la aplicación</w:t>
      </w:r>
    </w:p>
    <w:p>
      <w:pPr>
        <w:pStyle w:val="40"/>
        <w:numPr>
          <w:ilvl w:val="0"/>
          <w:numId w:val="30"/>
        </w:numPr>
        <w:ind w:left="1416" w:leftChars="0"/>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0" w:name="_Toc1989132209"/>
      <w:r>
        <w:rPr>
          <w:rFonts w:hint="default" w:ascii="Arial" w:hAnsi="Arial" w:cs="Arial"/>
          <w:color w:val="auto"/>
          <w:sz w:val="28"/>
          <w:szCs w:val="28"/>
          <w:lang w:val="zh-CN"/>
        </w:rPr>
        <w:t>Beneficios</w:t>
      </w:r>
      <w:bookmarkEnd w:id="20"/>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Optimización de costes</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Mayor agilidad</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Mejor soporte a picos de carga</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Preparación para analítica avanzada</w:t>
      </w:r>
    </w:p>
    <w:p>
      <w:pPr>
        <w:pStyle w:val="40"/>
        <w:numPr>
          <w:ilvl w:val="0"/>
          <w:numId w:val="31"/>
        </w:numPr>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1" w:name="_Toc1601645089"/>
      <w:r>
        <w:rPr>
          <w:rFonts w:hint="default" w:ascii="Arial" w:hAnsi="Arial" w:cs="Arial"/>
          <w:color w:val="auto"/>
          <w:sz w:val="28"/>
          <w:szCs w:val="28"/>
          <w:lang w:val="zh-CN"/>
        </w:rPr>
        <w:t>Riesgos</w:t>
      </w:r>
      <w:bookmarkEnd w:id="21"/>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Ajuste de procesos existentes</w:t>
      </w:r>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Curva de aprendizaje cloud</w:t>
      </w:r>
    </w:p>
    <w:p>
      <w:pPr>
        <w:pStyle w:val="40"/>
        <w:numPr>
          <w:ilvl w:val="0"/>
          <w:numId w:val="32"/>
        </w:numPr>
        <w:rPr>
          <w:rFonts w:hint="default" w:ascii="Arial" w:hAnsi="Arial" w:cs="Arial"/>
          <w:lang w:val="zh-CN"/>
        </w:rPr>
      </w:pPr>
      <w:r>
        <w:rPr>
          <w:rFonts w:hint="default" w:ascii="Arial" w:hAnsi="Arial" w:cs="Arial"/>
          <w:sz w:val="22"/>
          <w:szCs w:val="22"/>
          <w:lang w:val="zh-CN"/>
        </w:rPr>
        <w:t>Control del consumo</w:t>
      </w:r>
    </w:p>
    <w:p>
      <w:pPr>
        <w:pStyle w:val="40"/>
        <w:numPr>
          <w:ilvl w:val="0"/>
          <w:numId w:val="32"/>
        </w:num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22" w:name="_Toc1427814592"/>
      <w:r>
        <w:rPr>
          <w:rFonts w:hint="default" w:ascii="Arial" w:hAnsi="Arial" w:cs="Arial"/>
          <w:color w:val="auto"/>
          <w:sz w:val="28"/>
          <w:szCs w:val="28"/>
          <w:lang w:val="zh-CN"/>
        </w:rPr>
        <w:t>Evaluación numérica</w:t>
      </w:r>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3</w:t>
            </w:r>
          </w:p>
        </w:tc>
      </w:tr>
    </w:tbl>
    <w:p>
      <w:pPr>
        <w:rPr>
          <w:rFonts w:hint="default" w:ascii="Arial" w:hAnsi="Arial" w:cs="Arial"/>
          <w:lang w:val="zh-CN"/>
        </w:rPr>
      </w:pPr>
    </w:p>
    <w:p>
      <w:pPr>
        <w:pStyle w:val="3"/>
        <w:numPr>
          <w:ilvl w:val="0"/>
          <w:numId w:val="22"/>
        </w:numPr>
        <w:rPr>
          <w:rFonts w:hint="default" w:ascii="Arial" w:hAnsi="Arial" w:cs="Arial"/>
          <w:lang w:val="zh-CN"/>
        </w:rPr>
      </w:pPr>
      <w:bookmarkStart w:id="23" w:name="_Toc2075855566"/>
      <w:r>
        <w:rPr>
          <w:rFonts w:hint="default" w:ascii="Arial" w:hAnsi="Arial" w:cs="Arial"/>
          <w:color w:val="auto"/>
          <w:sz w:val="28"/>
          <w:szCs w:val="28"/>
          <w:lang w:val="zh-CN"/>
        </w:rPr>
        <w:t>Conclusión</w:t>
      </w:r>
      <w:bookmarkEnd w:id="23"/>
    </w:p>
    <w:p>
      <w:pPr>
        <w:rPr>
          <w:rFonts w:hint="default" w:ascii="Arial" w:hAnsi="Arial" w:cs="Arial"/>
          <w:lang w:val="zh-CN"/>
        </w:rPr>
      </w:pPr>
      <w:r>
        <w:rPr>
          <w:rFonts w:hint="default" w:ascii="Arial" w:hAnsi="Arial" w:cs="Arial"/>
          <w:sz w:val="22"/>
          <w:szCs w:val="22"/>
          <w:lang w:val="zh-CN"/>
        </w:rPr>
        <w:t>La opción Replatform permite modernizar parcialmente la aplicación, obteniendo beneficios claros sin asumir riesgos excesivos.</w:t>
      </w: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pStyle w:val="2"/>
        <w:rPr>
          <w:rFonts w:hint="default" w:ascii="Arial" w:hAnsi="Arial" w:cs="Arial" w:eastAsiaTheme="majorAscii"/>
          <w:b/>
          <w:bCs/>
          <w:color w:val="auto"/>
          <w:sz w:val="36"/>
          <w:szCs w:val="36"/>
          <w:lang w:val="zh-CN"/>
        </w:rPr>
      </w:pPr>
      <w:bookmarkStart w:id="24" w:name="_Toc1740330452"/>
      <w:r>
        <w:rPr>
          <w:rFonts w:hint="default" w:ascii="Arial" w:hAnsi="Arial" w:cs="Arial" w:eastAsiaTheme="majorAscii"/>
          <w:b/>
          <w:bCs/>
          <w:color w:val="auto"/>
          <w:lang w:val="zh-CN"/>
        </w:rPr>
        <w:t>A</w:t>
      </w:r>
      <w:r>
        <w:rPr>
          <w:rFonts w:hint="default" w:ascii="Arial" w:hAnsi="Arial" w:cs="Arial" w:eastAsiaTheme="majorAscii"/>
          <w:b/>
          <w:bCs/>
          <w:color w:val="auto"/>
          <w:sz w:val="36"/>
          <w:szCs w:val="36"/>
          <w:lang w:val="zh-CN"/>
        </w:rPr>
        <w:t>plicación 4 – Plataforma de Procesamiento de Datos Operacionales</w:t>
      </w:r>
      <w:bookmarkEnd w:id="24"/>
    </w:p>
    <w:p>
      <w:pPr>
        <w:pStyle w:val="3"/>
        <w:numPr>
          <w:ilvl w:val="0"/>
          <w:numId w:val="33"/>
        </w:numPr>
        <w:rPr>
          <w:rFonts w:hint="default" w:ascii="Arial" w:hAnsi="Arial" w:cs="Arial"/>
          <w:color w:val="auto"/>
          <w:sz w:val="28"/>
          <w:szCs w:val="28"/>
          <w:lang w:val="zh-CN"/>
        </w:rPr>
      </w:pPr>
      <w:bookmarkStart w:id="25" w:name="_Toc1115159548"/>
      <w:r>
        <w:rPr>
          <w:rFonts w:hint="default" w:ascii="Arial" w:hAnsi="Arial" w:cs="Arial"/>
          <w:color w:val="auto"/>
          <w:sz w:val="28"/>
          <w:szCs w:val="28"/>
          <w:lang w:val="zh-CN"/>
        </w:rPr>
        <w:t>Descubrimiento de la aplicación</w:t>
      </w:r>
      <w:bookmarkEnd w:id="25"/>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Motivación de la aplicación</w:t>
      </w:r>
    </w:p>
    <w:p>
      <w:pPr>
        <w:ind w:left="708" w:leftChars="0"/>
        <w:rPr>
          <w:rFonts w:hint="default" w:ascii="Arial" w:hAnsi="Arial" w:eastAsia="Times New Roman" w:cs="Arial"/>
          <w:sz w:val="22"/>
          <w:szCs w:val="22"/>
          <w:lang w:val="zh-CN"/>
        </w:rPr>
      </w:pPr>
      <w:r>
        <w:rPr>
          <w:rFonts w:hint="default" w:ascii="Arial" w:hAnsi="Arial" w:eastAsia="Times New Roman" w:cs="Arial"/>
          <w:sz w:val="22"/>
          <w:szCs w:val="22"/>
          <w:lang w:val="zh-CN"/>
        </w:rPr>
        <w:t>Esta aplicación se utiliza para procesar grandes volúmenes de datos operacionales generados por distintos sistemas internos. Actualmente realiza procesos batch y validaciones que requieren escalabilidad variable según la carga del trabajo</w:t>
      </w:r>
    </w:p>
    <w:p>
      <w:pPr>
        <w:ind w:left="708" w:leftChars="0"/>
        <w:rPr>
          <w:rFonts w:hint="default" w:ascii="Arial" w:hAnsi="Arial" w:cs="Arial"/>
          <w:sz w:val="22"/>
          <w:szCs w:val="22"/>
        </w:rPr>
      </w:pPr>
      <w:r>
        <w:rPr>
          <w:rFonts w:hint="default" w:ascii="Arial" w:hAnsi="Arial" w:eastAsia="Times New Roman" w:cs="Arial"/>
          <w:b/>
          <w:bCs/>
          <w:sz w:val="22"/>
          <w:szCs w:val="22"/>
          <w:lang w:val="zh-CN"/>
        </w:rPr>
        <w:t>Números de usuarios / Departamentos</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0"/>
        <w:gridCol w:w="36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Usuarios internos</w:t>
            </w:r>
          </w:p>
        </w:tc>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Departamentos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Analistas de datos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Operaciones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Ingenieros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IT</w:t>
            </w:r>
          </w:p>
        </w:tc>
      </w:tr>
    </w:tbl>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Aproximadamente 80 usuarios.</w:t>
      </w:r>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Tipología de usuario</w:t>
      </w:r>
    </w:p>
    <w:p>
      <w:pPr>
        <w:pStyle w:val="40"/>
        <w:numPr>
          <w:ilvl w:val="0"/>
          <w:numId w:val="3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Usuarios Técnicos y analistas.</w:t>
      </w:r>
    </w:p>
    <w:p>
      <w:pPr>
        <w:ind w:left="708" w:leftChars="0"/>
        <w:rPr>
          <w:rFonts w:hint="default" w:ascii="Arial" w:hAnsi="Arial" w:cs="Arial"/>
          <w:sz w:val="22"/>
          <w:szCs w:val="22"/>
        </w:rPr>
      </w:pPr>
      <w:r>
        <w:rPr>
          <w:rFonts w:hint="default" w:ascii="Arial" w:hAnsi="Arial" w:eastAsia="Times New Roman" w:cs="Arial"/>
          <w:b/>
          <w:bCs/>
          <w:sz w:val="22"/>
          <w:szCs w:val="22"/>
          <w:lang w:val="zh-CN"/>
        </w:rPr>
        <w:t>Frecuencia de uso</w:t>
      </w:r>
    </w:p>
    <w:p>
      <w:pPr>
        <w:pStyle w:val="40"/>
        <w:numPr>
          <w:ilvl w:val="0"/>
          <w:numId w:val="35"/>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Procesos diarios y picos intensivos en cierres operativos.</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3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eastAsia="Times New Roman" w:cs="Arial"/>
          <w:b/>
          <w:bCs/>
          <w:sz w:val="22"/>
          <w:szCs w:val="22"/>
          <w:lang w:val="zh-CN"/>
        </w:rPr>
        <w:t>Estado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Funcional, pero con limitaciones de escalabilidad y alto consumo de recursos on-premise.</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 procesamiento</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Base de datos locales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Almacenamiento temporal</w:t>
      </w:r>
    </w:p>
    <w:p>
      <w:pPr>
        <w:pStyle w:val="40"/>
        <w:numPr>
          <w:ilvl w:val="0"/>
          <w:numId w:val="37"/>
        </w:numPr>
        <w:ind w:left="1416" w:leftChars="0"/>
        <w:rPr>
          <w:rFonts w:hint="default" w:ascii="Arial" w:hAnsi="Arial" w:eastAsia="Times New Roman"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6" w:name="_Toc1116092736"/>
      <w:r>
        <w:rPr>
          <w:rFonts w:hint="default" w:ascii="Arial" w:hAnsi="Arial" w:cs="Arial"/>
          <w:color w:val="auto"/>
          <w:sz w:val="28"/>
          <w:szCs w:val="28"/>
          <w:lang w:val="zh-CN"/>
        </w:rPr>
        <w:t>Métricas relevantes</w:t>
      </w:r>
      <w:bookmarkEnd w:id="26"/>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Volumen de datos: Alto</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Elasticidad requerida: Alta</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Latencia requerida: Media</w:t>
      </w:r>
    </w:p>
    <w:p>
      <w:pPr>
        <w:pStyle w:val="40"/>
        <w:numPr>
          <w:ilvl w:val="0"/>
          <w:numId w:val="38"/>
        </w:numPr>
        <w:rPr>
          <w:rFonts w:hint="default" w:ascii="Arial" w:hAnsi="Arial" w:eastAsia="Times New Roman" w:cs="Arial"/>
          <w:b w:val="0"/>
          <w:bCs w:val="0"/>
          <w:lang w:val="zh-CN"/>
        </w:rPr>
      </w:pPr>
      <w:r>
        <w:rPr>
          <w:rFonts w:hint="default" w:ascii="Arial" w:hAnsi="Arial" w:eastAsia="Times New Roman" w:cs="Arial"/>
          <w:b w:val="0"/>
          <w:bCs w:val="0"/>
          <w:sz w:val="22"/>
          <w:szCs w:val="22"/>
          <w:lang w:val="zh-CN"/>
        </w:rPr>
        <w:t>Dependencia del DC: Media</w:t>
      </w:r>
    </w:p>
    <w:p>
      <w:pPr>
        <w:pStyle w:val="40"/>
        <w:numPr>
          <w:ilvl w:val="0"/>
          <w:numId w:val="38"/>
        </w:numPr>
        <w:rPr>
          <w:rFonts w:hint="default" w:ascii="Arial" w:hAnsi="Arial" w:eastAsia="Times New Roman" w:cs="Arial"/>
          <w:b w:val="0"/>
          <w:bCs w:val="0"/>
          <w:lang w:val="zh-CN"/>
        </w:rPr>
      </w:pPr>
    </w:p>
    <w:p>
      <w:pPr>
        <w:pStyle w:val="3"/>
        <w:numPr>
          <w:ilvl w:val="0"/>
          <w:numId w:val="33"/>
        </w:numPr>
        <w:rPr>
          <w:rFonts w:hint="default" w:ascii="Arial" w:hAnsi="Arial" w:cs="Arial"/>
          <w:color w:val="auto"/>
          <w:sz w:val="28"/>
          <w:szCs w:val="28"/>
          <w:lang w:val="zh-CN"/>
        </w:rPr>
      </w:pPr>
      <w:bookmarkStart w:id="27" w:name="_Toc863195547"/>
      <w:r>
        <w:rPr>
          <w:rFonts w:hint="default" w:ascii="Arial" w:hAnsi="Arial" w:cs="Arial"/>
          <w:color w:val="auto"/>
          <w:sz w:val="28"/>
          <w:szCs w:val="28"/>
          <w:lang w:val="zh-CN"/>
        </w:rPr>
        <w:t>Evaluación y decisión (6 R’s)</w:t>
      </w:r>
      <w:bookmarkEnd w:id="27"/>
    </w:p>
    <w:p>
      <w:pPr>
        <w:ind w:left="708" w:leftChars="0"/>
        <w:rPr>
          <w:rFonts w:hint="default" w:ascii="Arial" w:hAnsi="Arial" w:cs="Arial"/>
          <w:sz w:val="22"/>
          <w:szCs w:val="22"/>
        </w:rPr>
      </w:pPr>
      <w:r>
        <w:rPr>
          <w:rFonts w:hint="default" w:ascii="Arial" w:hAnsi="Arial" w:cs="Arial"/>
          <w:b/>
          <w:bCs/>
          <w:sz w:val="22"/>
          <w:szCs w:val="22"/>
          <w:lang w:val="zh-CN"/>
        </w:rPr>
        <w:t>Decisión tomada: Refactor (Re – architect)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rPr>
      </w:pPr>
      <w:r>
        <w:rPr>
          <w:rFonts w:hint="default" w:ascii="Arial" w:hAnsi="Arial" w:cs="Arial"/>
          <w:b w:val="0"/>
          <w:bCs w:val="0"/>
          <w:sz w:val="22"/>
          <w:szCs w:val="22"/>
          <w:lang w:val="zh-CN"/>
        </w:rPr>
        <w:t>La aplicación se rediseña parcialmente para aprovechar servicios nativos de Google Cloud, migrando los procesos batch a servicios gestionados y desacoplando componentes monolíticos. Las fuentes de datos criticas permanecen en el Datacenter, conectadas mediante enlaces seguros.</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Necesidad de escalabilidad dinámica</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Reducción de carga en infraestructura local</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Preparación para futuras capacidades analíticas</w:t>
      </w:r>
    </w:p>
    <w:p>
      <w:pPr>
        <w:pStyle w:val="40"/>
        <w:numPr>
          <w:ilvl w:val="0"/>
          <w:numId w:val="39"/>
        </w:numPr>
        <w:ind w:left="156" w:leftChars="0"/>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8" w:name="_Toc1510941801"/>
      <w:r>
        <w:rPr>
          <w:rFonts w:hint="default" w:ascii="Arial" w:hAnsi="Arial" w:cs="Arial"/>
          <w:color w:val="auto"/>
          <w:sz w:val="28"/>
          <w:szCs w:val="28"/>
          <w:lang w:val="zh-CN"/>
        </w:rPr>
        <w:t>Beneficios</w:t>
      </w:r>
      <w:bookmarkEnd w:id="28"/>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Mayor elasticidad</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Optimización de tiempos de procesamiento</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Reducción de costos operativos</w:t>
      </w:r>
    </w:p>
    <w:p>
      <w:pPr>
        <w:pStyle w:val="40"/>
        <w:numPr>
          <w:ilvl w:val="0"/>
          <w:numId w:val="40"/>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9" w:name="_Toc1928962936"/>
      <w:r>
        <w:rPr>
          <w:rFonts w:hint="default" w:ascii="Arial" w:hAnsi="Arial" w:cs="Arial"/>
          <w:color w:val="auto"/>
          <w:sz w:val="28"/>
          <w:szCs w:val="28"/>
          <w:lang w:val="zh-CN"/>
        </w:rPr>
        <w:t>Riesgos</w:t>
      </w:r>
      <w:bookmarkEnd w:id="29"/>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Mayor complejidad técnica</w:t>
      </w:r>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Curva de aprendizaje del equipo</w:t>
      </w:r>
    </w:p>
    <w:p>
      <w:pPr>
        <w:pStyle w:val="40"/>
        <w:numPr>
          <w:ilvl w:val="0"/>
          <w:numId w:val="41"/>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30" w:name="_Toc506347374"/>
      <w:r>
        <w:rPr>
          <w:rFonts w:hint="default" w:ascii="Arial" w:hAnsi="Arial" w:cs="Arial"/>
          <w:color w:val="auto"/>
          <w:sz w:val="28"/>
          <w:szCs w:val="28"/>
          <w:lang w:val="zh-CN"/>
        </w:rPr>
        <w:t>Evaluación numérica</w:t>
      </w:r>
      <w:bookmarkEnd w:id="3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Coste / esfuerzo</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bl>
    <w:p>
      <w:pPr>
        <w:pStyle w:val="3"/>
        <w:numPr>
          <w:ilvl w:val="0"/>
          <w:numId w:val="0"/>
        </w:numPr>
        <w:ind w:left="360" w:leftChars="0"/>
        <w:rPr>
          <w:rFonts w:hint="default" w:ascii="Arial" w:hAnsi="Arial" w:cs="Arial"/>
          <w:color w:val="auto"/>
          <w:sz w:val="28"/>
          <w:szCs w:val="28"/>
          <w:lang w:val="zh-CN"/>
        </w:rPr>
      </w:pPr>
    </w:p>
    <w:p>
      <w:pPr>
        <w:pStyle w:val="3"/>
        <w:numPr>
          <w:ilvl w:val="0"/>
          <w:numId w:val="33"/>
        </w:numPr>
        <w:rPr>
          <w:rFonts w:hint="default" w:ascii="Arial" w:hAnsi="Arial" w:cs="Arial"/>
          <w:color w:val="auto"/>
          <w:sz w:val="28"/>
          <w:szCs w:val="28"/>
          <w:lang w:val="zh-CN"/>
        </w:rPr>
      </w:pPr>
      <w:bookmarkStart w:id="31" w:name="_Toc610832901"/>
      <w:r>
        <w:rPr>
          <w:rFonts w:hint="default" w:ascii="Arial" w:hAnsi="Arial" w:cs="Arial"/>
          <w:color w:val="auto"/>
          <w:sz w:val="28"/>
          <w:szCs w:val="28"/>
          <w:lang w:val="zh-CN"/>
        </w:rPr>
        <w:t>Conclusión</w:t>
      </w:r>
      <w:bookmarkEnd w:id="31"/>
    </w:p>
    <w:p>
      <w:pPr>
        <w:rPr>
          <w:rFonts w:hint="default" w:ascii="Arial" w:hAnsi="Arial" w:eastAsia="Times New Roman" w:cs="Arial"/>
          <w:b w:val="0"/>
          <w:bCs w:val="0"/>
          <w:lang w:val="zh-CN"/>
        </w:rPr>
      </w:pPr>
      <w:r>
        <w:rPr>
          <w:rFonts w:hint="default" w:ascii="Arial" w:hAnsi="Arial" w:cs="Arial"/>
          <w:b/>
          <w:bCs/>
          <w:lang w:val="zh-CN"/>
        </w:rPr>
        <w:t xml:space="preserve"> </w:t>
      </w:r>
      <w:r>
        <w:rPr>
          <w:rFonts w:hint="default" w:ascii="Arial" w:hAnsi="Arial" w:cs="Arial"/>
          <w:b w:val="0"/>
          <w:bCs w:val="0"/>
          <w:sz w:val="22"/>
          <w:szCs w:val="22"/>
          <w:lang w:val="zh-CN"/>
        </w:rPr>
        <w:t>La estrategia Refactor  permite modernizar la aplicación y aprovechar capacidades Cloud-native, mantenido un enfoque híbrido controlado.</w:t>
      </w: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pStyle w:val="2"/>
        <w:rPr>
          <w:rFonts w:hint="default" w:ascii="Arial" w:hAnsi="Arial" w:cs="Arial"/>
          <w:b/>
          <w:bCs/>
        </w:rPr>
      </w:pPr>
      <w:bookmarkStart w:id="32" w:name="_Toc674129111"/>
      <w:r>
        <w:rPr>
          <w:rFonts w:hint="default" w:ascii="Arial" w:hAnsi="Arial" w:cs="Arial"/>
          <w:b/>
          <w:bCs/>
          <w:color w:val="auto"/>
          <w:sz w:val="36"/>
          <w:szCs w:val="36"/>
          <w:lang w:val="pt-BR"/>
        </w:rPr>
        <w:t>Aplicación 5 – Sistema Legacy de Gestión de Recursos Humanos</w:t>
      </w:r>
      <w:bookmarkEnd w:id="32"/>
    </w:p>
    <w:p>
      <w:pPr>
        <w:pStyle w:val="3"/>
        <w:numPr>
          <w:ilvl w:val="0"/>
          <w:numId w:val="42"/>
        </w:numPr>
        <w:rPr>
          <w:rFonts w:hint="default" w:ascii="Arial" w:hAnsi="Arial" w:cs="Arial"/>
          <w:color w:val="auto"/>
          <w:sz w:val="28"/>
          <w:szCs w:val="28"/>
          <w:lang w:val="pt-BR"/>
        </w:rPr>
      </w:pPr>
      <w:bookmarkStart w:id="33" w:name="_Toc1536325187"/>
      <w:r>
        <w:rPr>
          <w:rFonts w:hint="default" w:ascii="Arial" w:hAnsi="Arial" w:cs="Arial"/>
          <w:color w:val="auto"/>
          <w:sz w:val="28"/>
          <w:szCs w:val="28"/>
          <w:lang w:val="pt-BR"/>
        </w:rPr>
        <w:t>Descubrimiento de la aplicación</w:t>
      </w:r>
      <w:bookmarkEnd w:id="33"/>
    </w:p>
    <w:p>
      <w:pPr>
        <w:ind w:left="708" w:leftChars="0"/>
        <w:rPr>
          <w:rFonts w:hint="default" w:ascii="Arial" w:hAnsi="Arial" w:cs="Arial"/>
          <w:b/>
          <w:bCs/>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sz w:val="22"/>
          <w:szCs w:val="22"/>
          <w:lang w:val="pt-BR"/>
        </w:rPr>
        <w:t>Sistema utilizado para la gestión de solicitudes internas, vacaciones, permisos, y datos básicos de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Números de usuarios / Departamentos</w:t>
      </w:r>
    </w:p>
    <w:p>
      <w:pPr>
        <w:pStyle w:val="40"/>
        <w:numPr>
          <w:ilvl w:val="0"/>
          <w:numId w:val="43"/>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Recursos Humanos</w:t>
      </w:r>
    </w:p>
    <w:p>
      <w:pPr>
        <w:pStyle w:val="40"/>
        <w:numPr>
          <w:ilvl w:val="0"/>
          <w:numId w:val="43"/>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Empleados</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Aproximadamente 300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w:t>
      </w:r>
    </w:p>
    <w:p>
      <w:pPr>
        <w:pStyle w:val="40"/>
        <w:numPr>
          <w:ilvl w:val="0"/>
          <w:numId w:val="44"/>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corporativos.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4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Diario</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46"/>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Desarrollo interno antiguo.</w:t>
      </w:r>
    </w:p>
    <w:p>
      <w:pPr>
        <w:ind w:left="708" w:leftChars="0"/>
        <w:rPr>
          <w:rFonts w:hint="default" w:ascii="Arial" w:hAnsi="Arial" w:cs="Arial"/>
          <w:sz w:val="22"/>
          <w:szCs w:val="22"/>
        </w:rPr>
      </w:pPr>
      <w:r>
        <w:rPr>
          <w:rFonts w:hint="default" w:ascii="Arial" w:hAnsi="Arial" w:eastAsia="Times New Roman" w:cs="Arial"/>
          <w:b/>
          <w:bCs/>
          <w:sz w:val="22"/>
          <w:szCs w:val="22"/>
          <w:lang w:val="pt-BR"/>
        </w:rPr>
        <w:t>Estado de la aplicación</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Aplicación Legacy</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Tecnología obsoleta</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Alto costo de mantenimiento</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48"/>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dedicados</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Base de datos local</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Soporte constante</w:t>
      </w:r>
    </w:p>
    <w:p>
      <w:pPr>
        <w:pStyle w:val="40"/>
        <w:numPr>
          <w:ilvl w:val="0"/>
          <w:numId w:val="48"/>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4" w:name="_Toc452014654"/>
      <w:r>
        <w:rPr>
          <w:rFonts w:hint="default" w:ascii="Arial" w:hAnsi="Arial" w:cs="Arial"/>
          <w:color w:val="auto"/>
          <w:sz w:val="28"/>
          <w:szCs w:val="28"/>
          <w:lang w:val="zh-CN"/>
        </w:rPr>
        <w:t>Métricas relevantes</w:t>
      </w:r>
      <w:bookmarkEnd w:id="34"/>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Criticidad: Media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Escalabilidad Requerida: Baja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Costo de mantenimiento: Alto</w:t>
      </w:r>
    </w:p>
    <w:p>
      <w:pPr>
        <w:rPr>
          <w:rFonts w:hint="default" w:ascii="Arial" w:hAnsi="Arial" w:eastAsia="Times New Roman" w:cs="Arial"/>
          <w:b w:val="0"/>
          <w:bCs w:val="0"/>
          <w:lang w:val="zh-CN"/>
        </w:rPr>
      </w:pPr>
    </w:p>
    <w:p>
      <w:pPr>
        <w:pStyle w:val="3"/>
        <w:numPr>
          <w:ilvl w:val="0"/>
          <w:numId w:val="42"/>
        </w:numPr>
        <w:rPr>
          <w:rFonts w:hint="default" w:ascii="Arial" w:hAnsi="Arial" w:cs="Arial"/>
          <w:color w:val="auto"/>
          <w:sz w:val="28"/>
          <w:szCs w:val="28"/>
          <w:lang w:val="pt-BR"/>
        </w:rPr>
      </w:pPr>
      <w:bookmarkStart w:id="35" w:name="_Toc144281671"/>
      <w:r>
        <w:rPr>
          <w:rFonts w:hint="default" w:ascii="Arial" w:hAnsi="Arial" w:cs="Arial"/>
          <w:color w:val="auto"/>
          <w:sz w:val="28"/>
          <w:szCs w:val="28"/>
          <w:lang w:val="pt-BR"/>
        </w:rPr>
        <w:t>Evaluación y decisión (6 R’s)</w:t>
      </w:r>
      <w:bookmarkEnd w:id="35"/>
    </w:p>
    <w:p>
      <w:pPr>
        <w:ind w:left="708" w:leftChars="0"/>
        <w:rPr>
          <w:rFonts w:hint="default" w:ascii="Arial" w:hAnsi="Arial" w:cs="Arial"/>
          <w:sz w:val="22"/>
          <w:szCs w:val="22"/>
        </w:rPr>
      </w:pPr>
      <w:r>
        <w:rPr>
          <w:rFonts w:hint="default" w:ascii="Arial" w:hAnsi="Arial" w:eastAsia="Times New Roman" w:cs="Arial"/>
          <w:b/>
          <w:bCs/>
          <w:sz w:val="22"/>
          <w:szCs w:val="22"/>
          <w:lang w:val="pt-BR"/>
        </w:rPr>
        <w:t>Decisión tomada: Replace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La aplicación se sustituye por una solución SaaS moderna desplegada en el ecosistema de Google Cloud, manteniendo únicamente integraciones necesarias durante el periodo de transición.</w:t>
      </w:r>
    </w:p>
    <w:p>
      <w:pPr>
        <w:ind w:left="708" w:leftChars="0"/>
        <w:rPr>
          <w:rFonts w:hint="default" w:ascii="Arial" w:hAnsi="Arial" w:cs="Arial"/>
          <w:b/>
          <w:bCs/>
          <w:sz w:val="22"/>
          <w:szCs w:val="22"/>
          <w:lang w:val="pt-BR"/>
        </w:rPr>
      </w:pPr>
      <w:r>
        <w:rPr>
          <w:rFonts w:hint="default" w:ascii="Arial" w:hAnsi="Arial" w:cs="Arial"/>
          <w:b/>
          <w:bCs/>
          <w:sz w:val="22"/>
          <w:szCs w:val="22"/>
          <w:lang w:val="pt-BR" w:eastAsia="en-US"/>
        </w:rPr>
        <w:t>Justificación</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Reducción de deuda técnica</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Mejora de experiencia de usuario</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Eliminación de infraestructura propia</w:t>
      </w:r>
    </w:p>
    <w:p>
      <w:pPr>
        <w:pStyle w:val="40"/>
        <w:numPr>
          <w:ilvl w:val="0"/>
          <w:numId w:val="50"/>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6" w:name="_Toc1278769647"/>
      <w:r>
        <w:rPr>
          <w:rFonts w:hint="default" w:ascii="Arial" w:hAnsi="Arial" w:cs="Arial"/>
          <w:color w:val="auto"/>
          <w:sz w:val="28"/>
          <w:szCs w:val="28"/>
          <w:lang w:val="pt-BR"/>
        </w:rPr>
        <w:t>Beneficios</w:t>
      </w:r>
      <w:bookmarkEnd w:id="36"/>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Menor costo operativo</w:t>
      </w:r>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Actualizaciones automáticas</w:t>
      </w:r>
    </w:p>
    <w:p>
      <w:pPr>
        <w:pStyle w:val="40"/>
        <w:numPr>
          <w:ilvl w:val="0"/>
          <w:numId w:val="51"/>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Alta disponibilidad</w:t>
      </w:r>
    </w:p>
    <w:p>
      <w:pPr>
        <w:pStyle w:val="40"/>
        <w:numPr>
          <w:ilvl w:val="0"/>
          <w:numId w:val="51"/>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7" w:name="_Toc763808675"/>
      <w:r>
        <w:rPr>
          <w:rFonts w:hint="default" w:ascii="Arial" w:hAnsi="Arial" w:cs="Arial"/>
          <w:color w:val="auto"/>
          <w:sz w:val="28"/>
          <w:szCs w:val="28"/>
          <w:lang w:val="pt-BR"/>
        </w:rPr>
        <w:t>Riesgos</w:t>
      </w:r>
      <w:bookmarkEnd w:id="37"/>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Dependencia del proveedor</w:t>
      </w:r>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Gestión del cambio organizacional</w:t>
      </w:r>
    </w:p>
    <w:p>
      <w:pPr>
        <w:pStyle w:val="40"/>
        <w:numPr>
          <w:ilvl w:val="0"/>
          <w:numId w:val="52"/>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8" w:name="_Toc1911430050"/>
      <w:r>
        <w:rPr>
          <w:rFonts w:hint="default" w:ascii="Arial" w:hAnsi="Arial" w:cs="Arial"/>
          <w:color w:val="auto"/>
          <w:sz w:val="28"/>
          <w:szCs w:val="28"/>
          <w:lang w:val="pt-BR" w:eastAsia="en-US"/>
        </w:rPr>
        <w:t>Evaluación numérica</w:t>
      </w:r>
      <w:bookmarkEnd w:id="3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pt-BR"/>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Tiempo de migración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bl>
    <w:p>
      <w:pPr>
        <w:rPr>
          <w:rFonts w:hint="default" w:ascii="Arial" w:hAnsi="Arial" w:eastAsia="Times New Roman" w:cs="Arial"/>
          <w:b w:val="0"/>
          <w:bCs w:val="0"/>
          <w:sz w:val="22"/>
          <w:szCs w:val="22"/>
          <w:lang w:val="zh-CN"/>
        </w:rPr>
      </w:pPr>
    </w:p>
    <w:p>
      <w:pPr>
        <w:pStyle w:val="3"/>
        <w:numPr>
          <w:ilvl w:val="0"/>
          <w:numId w:val="42"/>
        </w:numPr>
        <w:rPr>
          <w:rFonts w:hint="default" w:ascii="Arial" w:hAnsi="Arial" w:cs="Arial"/>
          <w:color w:val="auto"/>
          <w:sz w:val="28"/>
          <w:szCs w:val="28"/>
          <w:lang w:val="pt-BR" w:eastAsia="en-US"/>
        </w:rPr>
      </w:pPr>
      <w:bookmarkStart w:id="39" w:name="_Toc1206585728"/>
      <w:r>
        <w:rPr>
          <w:rFonts w:hint="default" w:ascii="Arial" w:hAnsi="Arial" w:cs="Arial"/>
          <w:color w:val="auto"/>
          <w:sz w:val="28"/>
          <w:szCs w:val="28"/>
          <w:lang w:val="pt-BR" w:eastAsia="en-US"/>
        </w:rPr>
        <w:t>Conclusión</w:t>
      </w:r>
      <w:bookmarkEnd w:id="39"/>
    </w:p>
    <w:p>
      <w:pPr>
        <w:rPr>
          <w:rFonts w:hint="default" w:ascii="Arial" w:hAnsi="Arial" w:cs="Arial"/>
          <w:sz w:val="22"/>
          <w:szCs w:val="22"/>
        </w:rPr>
      </w:pPr>
      <w:r>
        <w:rPr>
          <w:rFonts w:hint="default" w:ascii="Arial" w:hAnsi="Arial" w:eastAsia="Times New Roman" w:cs="Arial"/>
          <w:sz w:val="22"/>
          <w:szCs w:val="22"/>
          <w:lang w:val="pt-BR"/>
        </w:rPr>
        <w:t>La estrategia Replace permite modernizar procesos administrativos sin comprometer recursos internos, alineándose con una arquitectura híbrida eficiente.</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
        <w:rPr>
          <w:rFonts w:hint="default" w:ascii="Arial" w:hAnsi="Arial" w:cs="Arial"/>
          <w:b/>
          <w:bCs/>
          <w:color w:val="auto"/>
          <w:sz w:val="36"/>
          <w:szCs w:val="36"/>
          <w:lang w:val="pt-BR"/>
        </w:rPr>
      </w:pPr>
      <w:bookmarkStart w:id="40" w:name="_Toc2083767675"/>
      <w:r>
        <w:rPr>
          <w:rFonts w:hint="default" w:ascii="Arial" w:hAnsi="Arial" w:cs="Arial"/>
          <w:b/>
          <w:bCs/>
          <w:color w:val="auto"/>
          <w:sz w:val="36"/>
          <w:szCs w:val="36"/>
          <w:lang w:val="pt-BR"/>
        </w:rPr>
        <w:t>Aplicación 6 – Herramienta interna de Reportes Obsoletos</w:t>
      </w:r>
      <w:bookmarkEnd w:id="40"/>
    </w:p>
    <w:p>
      <w:pPr>
        <w:pStyle w:val="3"/>
        <w:numPr>
          <w:ilvl w:val="0"/>
          <w:numId w:val="53"/>
        </w:numPr>
        <w:rPr>
          <w:rFonts w:hint="default" w:ascii="Arial" w:hAnsi="Arial" w:cs="Arial"/>
          <w:color w:val="auto"/>
          <w:sz w:val="28"/>
          <w:szCs w:val="28"/>
          <w:lang w:val="pt-BR" w:eastAsia="en-US"/>
        </w:rPr>
      </w:pPr>
      <w:bookmarkStart w:id="41" w:name="_Toc31494239"/>
      <w:r>
        <w:rPr>
          <w:rFonts w:hint="default" w:ascii="Arial" w:hAnsi="Arial" w:cs="Arial"/>
          <w:color w:val="auto"/>
          <w:sz w:val="28"/>
          <w:szCs w:val="28"/>
          <w:lang w:val="pt-BR" w:eastAsia="en-US"/>
        </w:rPr>
        <w:t>Descubrimiento de la aplicación</w:t>
      </w:r>
      <w:bookmarkEnd w:id="41"/>
    </w:p>
    <w:p>
      <w:pPr>
        <w:ind w:left="708" w:leftChars="0"/>
        <w:rPr>
          <w:rFonts w:hint="default" w:ascii="Arial" w:hAnsi="Arial" w:cs="Arial"/>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Aplicación interna creada para generar reportes básicos que hoy han sido reemplazados por herramientas más modernas y centralizadas.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 de usuarios / Departamentos</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IT</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Gestión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Menos de 20 usuarios activos.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usuarios</w:t>
      </w:r>
    </w:p>
    <w:p>
      <w:pPr>
        <w:pStyle w:val="40"/>
        <w:numPr>
          <w:ilvl w:val="0"/>
          <w:numId w:val="5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internos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5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Uso esporádico</w:t>
      </w:r>
    </w:p>
    <w:p>
      <w:pPr>
        <w:ind w:left="708" w:leftChars="0"/>
        <w:rPr>
          <w:rFonts w:hint="default" w:ascii="Arial" w:hAnsi="Arial" w:cs="Arial"/>
          <w:sz w:val="22"/>
          <w:szCs w:val="22"/>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57"/>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cs="Arial"/>
          <w:b/>
          <w:bCs/>
          <w:sz w:val="22"/>
          <w:szCs w:val="22"/>
          <w:lang w:val="zh-CN"/>
        </w:rPr>
        <w:t>Estado de la aplicación</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Obsoleta</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Funcionalidad duplicada en otros sistemas</w:t>
      </w:r>
    </w:p>
    <w:p>
      <w:pPr>
        <w:ind w:left="708" w:leftChars="0"/>
        <w:rPr>
          <w:rFonts w:hint="default" w:ascii="Arial" w:hAnsi="Arial" w:cs="Arial"/>
          <w:sz w:val="22"/>
          <w:szCs w:val="22"/>
        </w:rPr>
      </w:pPr>
      <w:r>
        <w:rPr>
          <w:rFonts w:hint="default" w:ascii="Arial" w:hAnsi="Arial" w:cs="Arial"/>
          <w:b/>
          <w:bCs/>
          <w:sz w:val="22"/>
          <w:szCs w:val="22"/>
          <w:lang w:val="zh-CN"/>
        </w:rPr>
        <w:t>Recursos requeridos</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Servidor dedicado</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Almacenamiento local</w:t>
      </w:r>
    </w:p>
    <w:p>
      <w:pPr>
        <w:pStyle w:val="40"/>
        <w:numPr>
          <w:ilvl w:val="0"/>
          <w:numId w:val="59"/>
        </w:numPr>
        <w:ind w:left="1416" w:leftChars="0"/>
        <w:rPr>
          <w:rFonts w:hint="default" w:ascii="Arial" w:hAnsi="Arial" w:cs="Arial"/>
          <w:b w:val="0"/>
          <w:bCs w:val="0"/>
          <w:sz w:val="22"/>
          <w:szCs w:val="22"/>
          <w:lang w:val="zh-CN"/>
        </w:rPr>
      </w:pPr>
    </w:p>
    <w:p>
      <w:pPr>
        <w:pStyle w:val="3"/>
        <w:numPr>
          <w:ilvl w:val="0"/>
          <w:numId w:val="53"/>
        </w:numPr>
        <w:rPr>
          <w:rFonts w:hint="default" w:ascii="Arial" w:hAnsi="Arial" w:cs="Arial"/>
          <w:color w:val="auto"/>
          <w:sz w:val="28"/>
          <w:szCs w:val="28"/>
          <w:lang w:val="pt-BR" w:eastAsia="en-US"/>
        </w:rPr>
      </w:pPr>
      <w:bookmarkStart w:id="42" w:name="_Toc873456997"/>
      <w:r>
        <w:rPr>
          <w:rFonts w:hint="default" w:ascii="Arial" w:hAnsi="Arial" w:cs="Arial"/>
          <w:color w:val="auto"/>
          <w:sz w:val="28"/>
          <w:szCs w:val="28"/>
          <w:lang w:val="zh-CN" w:eastAsia="en-US"/>
        </w:rPr>
        <w:t>Métricas relevantes</w:t>
      </w:r>
      <w:bookmarkEnd w:id="42"/>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Valor de negocio: Bajo</w:t>
      </w:r>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Costo operativo: Medio</w:t>
      </w:r>
    </w:p>
    <w:p>
      <w:pPr>
        <w:pStyle w:val="40"/>
        <w:numPr>
          <w:ilvl w:val="0"/>
          <w:numId w:val="60"/>
        </w:numPr>
        <w:rPr>
          <w:rFonts w:hint="default" w:ascii="Arial" w:hAnsi="Arial" w:cs="Arial"/>
          <w:b w:val="0"/>
          <w:bCs w:val="0"/>
          <w:lang w:val="zh-CN"/>
        </w:rPr>
      </w:pPr>
      <w:r>
        <w:rPr>
          <w:rFonts w:hint="default" w:ascii="Arial" w:hAnsi="Arial" w:cs="Arial"/>
          <w:b w:val="0"/>
          <w:bCs w:val="0"/>
          <w:sz w:val="22"/>
          <w:szCs w:val="22"/>
          <w:lang w:val="zh-CN"/>
        </w:rPr>
        <w:t>Riesgo de seguridad: Creciente</w:t>
      </w:r>
    </w:p>
    <w:p>
      <w:pPr>
        <w:pStyle w:val="40"/>
        <w:numPr>
          <w:ilvl w:val="0"/>
          <w:numId w:val="0"/>
        </w:numPr>
        <w:spacing w:after="160" w:line="278" w:lineRule="auto"/>
        <w:contextualSpacing/>
        <w:rPr>
          <w:rFonts w:hint="default" w:ascii="Arial" w:hAnsi="Arial" w:cs="Arial"/>
          <w:b w:val="0"/>
          <w:bCs w:val="0"/>
          <w:lang w:val="zh-CN"/>
        </w:rPr>
      </w:pPr>
    </w:p>
    <w:p>
      <w:pPr>
        <w:pStyle w:val="3"/>
        <w:numPr>
          <w:ilvl w:val="0"/>
          <w:numId w:val="53"/>
        </w:numPr>
        <w:rPr>
          <w:rFonts w:hint="default" w:ascii="Arial" w:hAnsi="Arial" w:cs="Arial"/>
          <w:color w:val="auto"/>
          <w:sz w:val="28"/>
          <w:szCs w:val="28"/>
          <w:lang w:val="zh-CN" w:eastAsia="en-US"/>
        </w:rPr>
      </w:pPr>
      <w:bookmarkStart w:id="43" w:name="_Toc1605769905"/>
      <w:r>
        <w:rPr>
          <w:rFonts w:hint="default" w:ascii="Arial" w:hAnsi="Arial" w:cs="Arial"/>
          <w:color w:val="auto"/>
          <w:sz w:val="28"/>
          <w:szCs w:val="28"/>
          <w:lang w:val="zh-CN" w:eastAsia="en-US"/>
        </w:rPr>
        <w:t>Evaluación y decisión (6 R’s)</w:t>
      </w:r>
      <w:bookmarkEnd w:id="43"/>
    </w:p>
    <w:p>
      <w:pPr>
        <w:ind w:left="708" w:leftChars="0"/>
        <w:rPr>
          <w:rFonts w:hint="default" w:ascii="Arial" w:hAnsi="Arial" w:cs="Arial"/>
          <w:sz w:val="22"/>
          <w:szCs w:val="22"/>
        </w:rPr>
      </w:pPr>
      <w:r>
        <w:rPr>
          <w:rFonts w:hint="default" w:ascii="Arial" w:hAnsi="Arial" w:eastAsia="Times New Roman" w:cs="Arial"/>
          <w:b/>
          <w:bCs/>
          <w:sz w:val="22"/>
          <w:szCs w:val="22"/>
          <w:lang w:val="zh-CN"/>
        </w:rPr>
        <w:t>Decisión tomada: Retire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La aplicación se desactiva y se eliminan sus recursos, migrando cualquier información necesaria a plataformas activas y consolidadas.</w:t>
      </w:r>
    </w:p>
    <w:p>
      <w:pPr>
        <w:bidi w:val="0"/>
        <w:ind w:left="708" w:leftChars="0"/>
        <w:rPr>
          <w:rFonts w:hint="default" w:ascii="Arial" w:hAnsi="Arial" w:cs="Arial"/>
          <w:b/>
          <w:bCs/>
          <w:sz w:val="22"/>
          <w:szCs w:val="22"/>
          <w:lang w:val="zh-CN" w:eastAsia="en-US"/>
        </w:rPr>
      </w:pPr>
      <w:r>
        <w:rPr>
          <w:rFonts w:hint="default" w:ascii="Arial" w:hAnsi="Arial" w:cs="Arial"/>
          <w:b/>
          <w:bCs/>
          <w:sz w:val="22"/>
          <w:szCs w:val="22"/>
          <w:lang w:val="zh-CN" w:eastAsia="en-US"/>
        </w:rPr>
        <w:t>Justificación</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Bajo valor para el negocio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Costo innecesario de mantenimiento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Riesgo de seguridad por obsolescencia</w:t>
      </w:r>
    </w:p>
    <w:p>
      <w:pPr>
        <w:pStyle w:val="40"/>
        <w:numPr>
          <w:ilvl w:val="0"/>
          <w:numId w:val="61"/>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4" w:name="_Toc1407397274"/>
      <w:r>
        <w:rPr>
          <w:rFonts w:hint="default" w:ascii="Arial" w:hAnsi="Arial" w:cs="Arial"/>
          <w:color w:val="auto"/>
          <w:sz w:val="28"/>
          <w:szCs w:val="28"/>
          <w:lang w:val="zh-CN" w:eastAsia="en-US"/>
        </w:rPr>
        <w:t>Beneficios</w:t>
      </w:r>
      <w:bookmarkEnd w:id="44"/>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Reducción de costos</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Simplificación del ecosistema IT</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Menor superficie de ataque</w:t>
      </w:r>
    </w:p>
    <w:p>
      <w:pPr>
        <w:pStyle w:val="40"/>
        <w:numPr>
          <w:ilvl w:val="0"/>
          <w:numId w:val="62"/>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5" w:name="_Toc1627964569"/>
      <w:r>
        <w:rPr>
          <w:rFonts w:hint="default" w:ascii="Arial" w:hAnsi="Arial" w:cs="Arial"/>
          <w:color w:val="auto"/>
          <w:sz w:val="28"/>
          <w:szCs w:val="28"/>
          <w:lang w:val="zh-CN" w:eastAsia="en-US"/>
        </w:rPr>
        <w:t>Riegos</w:t>
      </w:r>
      <w:bookmarkEnd w:id="45"/>
    </w:p>
    <w:p>
      <w:pPr>
        <w:pStyle w:val="40"/>
        <w:numPr>
          <w:ilvl w:val="0"/>
          <w:numId w:val="63"/>
        </w:numPr>
        <w:rPr>
          <w:rFonts w:hint="default" w:ascii="Arial" w:hAnsi="Arial" w:cs="Arial"/>
          <w:sz w:val="22"/>
          <w:szCs w:val="22"/>
          <w:lang w:val="zh-CN"/>
        </w:rPr>
      </w:pPr>
      <w:r>
        <w:rPr>
          <w:rFonts w:hint="default" w:ascii="Arial" w:hAnsi="Arial" w:cs="Arial"/>
          <w:sz w:val="22"/>
          <w:szCs w:val="22"/>
          <w:lang w:val="zh-CN"/>
        </w:rPr>
        <w:t>Gestión de datos históricos</w:t>
      </w:r>
    </w:p>
    <w:p>
      <w:pPr>
        <w:pStyle w:val="40"/>
        <w:numPr>
          <w:ilvl w:val="0"/>
          <w:numId w:val="63"/>
        </w:numPr>
        <w:rPr>
          <w:rFonts w:hint="default" w:ascii="Arial" w:hAnsi="Arial"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6" w:name="_Toc1034394523"/>
      <w:r>
        <w:rPr>
          <w:rFonts w:hint="default" w:ascii="Arial" w:hAnsi="Arial" w:cs="Arial"/>
          <w:color w:val="auto"/>
          <w:sz w:val="28"/>
          <w:szCs w:val="28"/>
          <w:lang w:val="zh-CN" w:eastAsia="en-US"/>
        </w:rPr>
        <w:t>Evaluación numérica</w:t>
      </w:r>
      <w:bookmarkEnd w:id="4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bl>
    <w:p>
      <w:pPr>
        <w:ind w:left="0"/>
        <w:rPr>
          <w:rFonts w:hint="default" w:ascii="Arial" w:hAnsi="Arial" w:eastAsia="Times New Roman" w:cs="Arial"/>
          <w:lang w:val="zh-CN"/>
        </w:rPr>
      </w:pPr>
    </w:p>
    <w:p>
      <w:pPr>
        <w:pStyle w:val="3"/>
        <w:numPr>
          <w:ilvl w:val="0"/>
          <w:numId w:val="53"/>
        </w:numPr>
        <w:rPr>
          <w:rFonts w:hint="default" w:ascii="Arial" w:hAnsi="Arial" w:cs="Arial"/>
          <w:color w:val="auto"/>
          <w:sz w:val="28"/>
          <w:szCs w:val="28"/>
          <w:lang w:val="zh-CN" w:eastAsia="en-US"/>
        </w:rPr>
      </w:pPr>
      <w:bookmarkStart w:id="47" w:name="_Toc1632557618"/>
      <w:r>
        <w:rPr>
          <w:rFonts w:hint="default" w:ascii="Arial" w:hAnsi="Arial" w:cs="Arial"/>
          <w:color w:val="auto"/>
          <w:sz w:val="28"/>
          <w:szCs w:val="28"/>
          <w:lang w:val="zh-CN" w:eastAsia="en-US"/>
        </w:rPr>
        <w:t>Conclusión</w:t>
      </w:r>
      <w:bookmarkEnd w:id="47"/>
    </w:p>
    <w:p>
      <w:pPr>
        <w:rPr>
          <w:rFonts w:hint="default" w:ascii="Arial" w:hAnsi="Arial" w:eastAsia="Times New Roman" w:cs="Arial"/>
          <w:sz w:val="22"/>
          <w:szCs w:val="22"/>
          <w:lang w:val="zh-CN"/>
        </w:rPr>
      </w:pPr>
      <w:r>
        <w:rPr>
          <w:rFonts w:hint="default" w:ascii="Arial" w:hAnsi="Arial" w:eastAsia="Times New Roman" w:cs="Arial"/>
          <w:sz w:val="22"/>
          <w:szCs w:val="22"/>
          <w:lang w:val="zh-CN"/>
        </w:rPr>
        <w:t>La estrategia Retire permite optimizar el entorno tecnológico, eliminando aplicaciones que ya no aportan valor y fortaleciendo la arquitectura híbrida.</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5"/>
        <w:numPr>
          <w:ilvl w:val="-2"/>
          <w:numId w:val="0"/>
        </w:numPr>
        <w:bidi w:val="0"/>
        <w:ind w:left="352" w:leftChars="0"/>
        <w:rPr>
          <w:rFonts w:hint="default" w:ascii="Arial" w:hAnsi="Arial" w:cs="Arial" w:eastAsiaTheme="majorEastAsia"/>
          <w:b/>
          <w:bCs/>
          <w:color w:val="auto"/>
          <w:kern w:val="2"/>
          <w:sz w:val="36"/>
          <w:szCs w:val="36"/>
          <w:lang w:val="en-US" w:eastAsia="zh-CN" w:bidi="ar-SA"/>
          <w14:ligatures w14:val="standardContextual"/>
        </w:rPr>
      </w:pPr>
      <w:bookmarkStart w:id="48" w:name="_Toc374678083"/>
      <w:r>
        <w:rPr>
          <w:rFonts w:hint="default" w:ascii="Arial" w:hAnsi="Arial" w:cs="Arial" w:eastAsiaTheme="majorEastAsia"/>
          <w:b/>
          <w:bCs/>
          <w:color w:val="auto"/>
          <w:kern w:val="2"/>
          <w:sz w:val="36"/>
          <w:szCs w:val="36"/>
          <w:lang w:val="zh-CN" w:eastAsia="en-US" w:bidi="ar-SA"/>
          <w14:ligatures w14:val="standardContextual"/>
        </w:rPr>
        <w:t xml:space="preserve">Aplicación 7 – </w:t>
      </w:r>
      <w:r>
        <w:rPr>
          <w:rFonts w:hint="default" w:ascii="Arial" w:hAnsi="Arial" w:cs="Arial" w:eastAsiaTheme="majorEastAsia"/>
          <w:b/>
          <w:bCs/>
          <w:color w:val="auto"/>
          <w:kern w:val="2"/>
          <w:sz w:val="36"/>
          <w:szCs w:val="36"/>
          <w:lang w:val="en-US" w:eastAsia="zh-CN" w:bidi="ar-SA"/>
          <w14:ligatures w14:val="standardContextual"/>
        </w:rPr>
        <w:t>SIGEF</w:t>
      </w:r>
      <w:r>
        <w:rPr>
          <w:rFonts w:hint="default" w:ascii="Arial" w:hAnsi="Arial" w:cs="Arial" w:eastAsiaTheme="majorEastAsia"/>
          <w:b/>
          <w:bCs/>
          <w:color w:val="auto"/>
          <w:kern w:val="2"/>
          <w:sz w:val="36"/>
          <w:szCs w:val="36"/>
          <w:lang w:val="zh-CN" w:eastAsia="zh-CN" w:bidi="ar-SA"/>
          <w14:ligatures w14:val="standardContextual"/>
        </w:rPr>
        <w:t>:</w:t>
      </w:r>
      <w:r>
        <w:rPr>
          <w:rFonts w:hint="default" w:ascii="Arial" w:hAnsi="Arial" w:cs="Arial" w:eastAsiaTheme="majorEastAsia"/>
          <w:b/>
          <w:bCs/>
          <w:color w:val="auto"/>
          <w:kern w:val="2"/>
          <w:sz w:val="36"/>
          <w:szCs w:val="36"/>
          <w:lang w:val="en-US" w:eastAsia="zh-CN" w:bidi="ar-SA"/>
          <w14:ligatures w14:val="standardContextual"/>
        </w:rPr>
        <w:t xml:space="preserve"> Sistema Integrado de Gestión Financiera</w:t>
      </w:r>
      <w:bookmarkEnd w:id="48"/>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49" w:name="_Toc849142006"/>
      <w:r>
        <w:rPr>
          <w:rFonts w:hint="default" w:ascii="Arial" w:hAnsi="Arial" w:cs="Arial" w:eastAsiaTheme="majorEastAsia"/>
          <w:color w:val="auto"/>
          <w:kern w:val="2"/>
          <w:sz w:val="28"/>
          <w:szCs w:val="28"/>
          <w:lang w:val="zh-CN" w:eastAsia="en-US" w:bidi="ar-SA"/>
          <w14:ligatures w14:val="standardContextual"/>
        </w:rPr>
        <w:t>Descubrimiento de la aplicación</w:t>
      </w:r>
      <w:bookmarkEnd w:id="49"/>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El Sistema Integrado de Gestión Financiera (SIGEF) es una aplicación corporativa destinada a la administración de procesos contables, presupuestarios y financieros de la organización. Su principal objetivo es garantizar la correcta gestión de los recursos económicos y el cumplimiento de normativas fiscales y de auditoría.</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 xml:space="preserve">La aplicación es utilizada por aproximadamente 120 usuarios pertenecientes a los departamentos de Finanzas, Auditoría y Alta Dirección. </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 xml:space="preserve"> </w:t>
      </w:r>
      <w:r>
        <w:rPr>
          <w:rFonts w:hint="default" w:ascii="Arial" w:hAnsi="Arial" w:cs="Arial"/>
          <w:sz w:val="22"/>
          <w:szCs w:val="22"/>
          <w:lang w:val="en-US" w:eastAsia="zh-CN"/>
        </w:rPr>
        <w:t>Se trata de usuarios administrativos y analistas financieros</w:t>
      </w:r>
      <w:r>
        <w:rPr>
          <w:rFonts w:hint="default" w:ascii="Arial" w:hAnsi="Arial" w:cs="Arial"/>
          <w:sz w:val="22"/>
          <w:szCs w:val="22"/>
          <w:lang w:eastAsia="zh-CN"/>
        </w:rPr>
        <w:t>.</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eastAsia="zh-CN"/>
        </w:rPr>
        <w:t>D</w:t>
      </w:r>
      <w:r>
        <w:rPr>
          <w:rFonts w:hint="default" w:ascii="Arial" w:hAnsi="Arial" w:cs="Arial"/>
          <w:sz w:val="22"/>
          <w:szCs w:val="22"/>
          <w:lang w:val="en-US" w:eastAsia="zh-CN"/>
        </w:rPr>
        <w:t>iaria, con mayor intensidad durante los cierres contables mensuales y anuales.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SIGEF fue desarrollado inicialmente por un proveedor externo, con posteriores mantenimientos realizados por el equipo interno de TI.</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val="en-US" w:eastAsia="zh-CN"/>
        </w:rPr>
        <w:t>Actualmente se encuentra desplegado en infraestructura on-premise, con una arquitectura monolítica que presenta limitaciones en términos de escalabilidad y flexibilidad.</w:t>
      </w:r>
      <w:r>
        <w:rPr>
          <w:rFonts w:hint="default" w:ascii="Arial" w:hAnsi="Arial" w:cs="Arial"/>
          <w:sz w:val="22"/>
          <w:szCs w:val="22"/>
          <w:lang w:eastAsia="zh-CN"/>
        </w:rPr>
        <w:t xml:space="preserve"> </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Base de datos financiera: Amazon RDS / Azure SQL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Frontend web: EC2 / Azure VM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Balanceo de carga: ELB / Azure Load Balancer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Backups: AWS Backup / Azure Backup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Seguridad: AWS KMS / Azure Key Vault </w:t>
      </w:r>
    </w:p>
    <w:p>
      <w:pPr>
        <w:bidi w:val="0"/>
        <w:rPr>
          <w:rFonts w:hint="default" w:ascii="Arial" w:hAnsi="Arial" w:cs="Arial"/>
          <w:sz w:val="22"/>
          <w:szCs w:val="22"/>
          <w:lang w:val="en-US" w:eastAsia="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0" w:name="_Toc983079358"/>
      <w:r>
        <w:rPr>
          <w:rFonts w:hint="default" w:ascii="Arial" w:hAnsi="Arial" w:cs="Arial" w:eastAsiaTheme="majorEastAsia"/>
          <w:color w:val="auto"/>
          <w:kern w:val="2"/>
          <w:sz w:val="28"/>
          <w:szCs w:val="28"/>
          <w:lang w:val="zh-CN" w:eastAsia="en-US" w:bidi="ar-SA"/>
          <w14:ligatures w14:val="standardContextual"/>
        </w:rPr>
        <w:t>Métricas relevantes</w:t>
      </w:r>
      <w:bookmarkEnd w:id="50"/>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Tiempo medio de respuesta de consultas financieras;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 (SLA ≥ 99.9 %)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Cumplimiento de normativas regulatorias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Coste operativo de infraestructura</w:t>
      </w:r>
    </w:p>
    <w:p>
      <w:pPr>
        <w:numPr>
          <w:ilvl w:val="0"/>
          <w:numId w:val="0"/>
        </w:numPr>
        <w:tabs>
          <w:tab w:val="left" w:pos="420"/>
        </w:tabs>
        <w:bidi w:val="0"/>
        <w:ind w:left="42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1" w:name="_Toc216326644"/>
      <w:r>
        <w:rPr>
          <w:rFonts w:hint="default" w:ascii="Arial" w:hAnsi="Arial" w:cs="Arial" w:eastAsiaTheme="majorEastAsia"/>
          <w:color w:val="auto"/>
          <w:kern w:val="2"/>
          <w:sz w:val="28"/>
          <w:szCs w:val="28"/>
          <w:lang w:val="zh-CN" w:eastAsia="en-US" w:bidi="ar-SA"/>
          <w14:ligatures w14:val="standardContextual"/>
        </w:rPr>
        <w:t>Evaluación y decisión (6 R’s)</w:t>
      </w:r>
      <w:bookmarkEnd w:id="51"/>
    </w:p>
    <w:p>
      <w:pPr>
        <w:numPr>
          <w:ilvl w:val="0"/>
          <w:numId w:val="0"/>
        </w:numPr>
        <w:tabs>
          <w:tab w:val="left" w:pos="420"/>
        </w:tabs>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Re-platform</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Método</w:t>
      </w:r>
      <w:r>
        <w:rPr>
          <w:rFonts w:hint="default" w:ascii="Arial" w:hAnsi="Arial" w:cs="Arial"/>
          <w:b/>
          <w:bCs/>
          <w:sz w:val="22"/>
          <w:szCs w:val="22"/>
        </w:rPr>
        <w:t xml:space="preserve">: </w:t>
      </w:r>
      <w:r>
        <w:rPr>
          <w:rFonts w:hint="default" w:ascii="Arial" w:hAnsi="Arial" w:cs="Arial"/>
          <w:sz w:val="22"/>
          <w:szCs w:val="22"/>
          <w:lang w:val="en-US" w:eastAsia="zh-CN"/>
        </w:rPr>
        <w:t>Migración parcial a un entorno híbrido, manteniendo la base de datos financiera en una nube privada (on-premise) y desplegando la capa de presentación y generación de reportes en una nube pública.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b/>
          <w:bCs/>
          <w:sz w:val="22"/>
          <w:szCs w:val="22"/>
        </w:rPr>
        <w:t xml:space="preserve">: </w:t>
      </w:r>
      <w:r>
        <w:rPr>
          <w:rFonts w:hint="default" w:ascii="Arial" w:hAnsi="Arial" w:cs="Arial"/>
          <w:sz w:val="22"/>
          <w:szCs w:val="22"/>
        </w:rPr>
        <w:t>La sensibilidad de los datos financieros exige mantenerlos en un entorno controlado, mientras que las capas menos críticas pueden beneficiarse de la elasticidad y escalabilidad de la nube pública.</w:t>
      </w:r>
    </w:p>
    <w:p>
      <w:pPr>
        <w:bidi w:val="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2" w:name="_Toc303303448"/>
      <w:r>
        <w:rPr>
          <w:rFonts w:hint="default" w:ascii="Arial" w:hAnsi="Arial" w:cs="Arial" w:eastAsiaTheme="majorEastAsia"/>
          <w:color w:val="auto"/>
          <w:kern w:val="2"/>
          <w:sz w:val="28"/>
          <w:szCs w:val="28"/>
          <w:lang w:val="zh-CN" w:eastAsia="en-US" w:bidi="ar-SA"/>
          <w14:ligatures w14:val="standardContextual"/>
        </w:rPr>
        <w:t>Beneficios</w:t>
      </w:r>
      <w:bookmarkEnd w:id="52"/>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la escalabilidad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costos asociados a infraestructura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de la disponibilidad del servicio</w:t>
      </w:r>
    </w:p>
    <w:p>
      <w:pPr>
        <w:numPr>
          <w:ilvl w:val="0"/>
          <w:numId w:val="0"/>
        </w:numPr>
        <w:tabs>
          <w:tab w:val="left" w:pos="420"/>
        </w:tabs>
        <w:bidi w:val="0"/>
        <w:ind w:left="710" w:leftChars="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3" w:name="_Toc263410302"/>
      <w:r>
        <w:rPr>
          <w:rFonts w:hint="default" w:ascii="Arial" w:hAnsi="Arial" w:cs="Arial" w:eastAsiaTheme="majorEastAsia"/>
          <w:color w:val="auto"/>
          <w:kern w:val="2"/>
          <w:sz w:val="28"/>
          <w:szCs w:val="28"/>
          <w:lang w:val="zh-CN" w:eastAsia="en-US" w:bidi="ar-SA"/>
          <w14:ligatures w14:val="standardContextual"/>
        </w:rPr>
        <w:t>Riesgos</w:t>
      </w:r>
      <w:bookmarkEnd w:id="53"/>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Complejidad en la integración entre entornos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Posibles problemas de latencia entre componentes</w:t>
      </w:r>
    </w:p>
    <w:p>
      <w:pPr>
        <w:numPr>
          <w:ilvl w:val="0"/>
          <w:numId w:val="0"/>
        </w:numPr>
        <w:tabs>
          <w:tab w:val="left" w:pos="420"/>
        </w:tabs>
        <w:bidi w:val="0"/>
        <w:ind w:left="71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4" w:name="_Toc144698563"/>
      <w:r>
        <w:rPr>
          <w:rFonts w:hint="default" w:ascii="Arial" w:hAnsi="Arial" w:cs="Arial"/>
          <w:lang w:eastAsia="en-US"/>
        </w:rPr>
        <w:drawing>
          <wp:anchor distT="0" distB="0" distL="114300" distR="114300" simplePos="0" relativeHeight="251659264" behindDoc="1" locked="0" layoutInCell="1" allowOverlap="1">
            <wp:simplePos x="0" y="0"/>
            <wp:positionH relativeFrom="column">
              <wp:posOffset>-95250</wp:posOffset>
            </wp:positionH>
            <wp:positionV relativeFrom="paragraph">
              <wp:posOffset>344170</wp:posOffset>
            </wp:positionV>
            <wp:extent cx="2743200" cy="2201545"/>
            <wp:effectExtent l="0" t="0" r="0" b="8255"/>
            <wp:wrapTight wrapText="bothSides">
              <wp:wrapPolygon>
                <wp:start x="0" y="0"/>
                <wp:lineTo x="0" y="21494"/>
                <wp:lineTo x="21450" y="21494"/>
                <wp:lineTo x="21450" y="0"/>
                <wp:lineTo x="0" y="0"/>
              </wp:wrapPolygon>
            </wp:wrapTight>
            <wp:docPr id="5" name="Picture 5" descr="sig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igef"/>
                    <pic:cNvPicPr>
                      <a:picLocks noChangeAspect="1"/>
                    </pic:cNvPicPr>
                  </pic:nvPicPr>
                  <pic:blipFill>
                    <a:blip r:embed="rId8"/>
                    <a:stretch>
                      <a:fillRect/>
                    </a:stretch>
                  </pic:blipFill>
                  <pic:spPr>
                    <a:xfrm>
                      <a:off x="0" y="0"/>
                      <a:ext cx="2743200" cy="2201545"/>
                    </a:xfrm>
                    <a:prstGeom prst="rect">
                      <a:avLst/>
                    </a:prstGeom>
                  </pic:spPr>
                </pic:pic>
              </a:graphicData>
            </a:graphic>
          </wp:anchor>
        </w:drawing>
      </w:r>
      <w:r>
        <w:rPr>
          <w:rFonts w:hint="default" w:ascii="Arial" w:hAnsi="Arial" w:cs="Arial" w:eastAsiaTheme="majorEastAsia"/>
          <w:color w:val="auto"/>
          <w:kern w:val="2"/>
          <w:sz w:val="28"/>
          <w:szCs w:val="28"/>
          <w:lang w:val="zh-CN" w:eastAsia="en-US" w:bidi="ar-SA"/>
          <w14:ligatures w14:val="standardContextual"/>
        </w:rPr>
        <w:t>Evaluación numérica</w:t>
      </w:r>
      <w:bookmarkEnd w:id="54"/>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r>
        <w:rPr>
          <w:rFonts w:hint="default" w:ascii="Arial" w:hAnsi="Arial" w:eastAsia="SimSun" w:cs="Arial"/>
          <w:b w:val="0"/>
          <w:bCs w:val="0"/>
          <w:kern w:val="0"/>
          <w:sz w:val="22"/>
          <w:szCs w:val="22"/>
          <w:lang w:val="en-US" w:eastAsia="zh-CN" w:bidi="ar"/>
          <w14:ligatures w14:val="standardContextual"/>
        </w:rPr>
        <w:t>SIGEF presenta una migración de duración media–alta, con un incremento progresivo de costos. La inversión en habilidades técnicas se concentra en las fases iniciales, mientras que el costo monetario se intensifica en las etapas de consolidación del entorno híbrido.</w:t>
      </w:r>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5" w:name="_Toc2043633900"/>
      <w:r>
        <w:rPr>
          <w:rFonts w:hint="default" w:ascii="Arial" w:hAnsi="Arial" w:cs="Arial"/>
          <w:sz w:val="28"/>
          <w:szCs w:val="28"/>
          <w:lang w:val="zh-CN"/>
        </w:rPr>
        <w:t>C</w:t>
      </w:r>
      <w:r>
        <w:rPr>
          <w:rFonts w:hint="default" w:ascii="Arial" w:hAnsi="Arial" w:cs="Arial" w:eastAsiaTheme="majorEastAsia"/>
          <w:color w:val="auto"/>
          <w:kern w:val="2"/>
          <w:sz w:val="28"/>
          <w:szCs w:val="28"/>
          <w:lang w:val="zh-CN" w:eastAsia="en-US" w:bidi="ar-SA"/>
          <w14:ligatures w14:val="standardContextual"/>
        </w:rPr>
        <w:t>onclusión</w:t>
      </w:r>
      <w:bookmarkEnd w:id="55"/>
    </w:p>
    <w:p>
      <w:pPr>
        <w:bidi w:val="0"/>
        <w:rPr>
          <w:rFonts w:hint="default" w:ascii="Arial" w:hAnsi="Arial" w:cs="Arial"/>
          <w:sz w:val="22"/>
          <w:szCs w:val="22"/>
          <w:lang w:val="en-US" w:eastAsia="zh-CN"/>
        </w:rPr>
      </w:pPr>
      <w:r>
        <w:rPr>
          <w:rFonts w:hint="default" w:ascii="Arial" w:hAnsi="Arial" w:cs="Arial"/>
          <w:sz w:val="22"/>
          <w:szCs w:val="22"/>
          <w:lang w:val="en-US" w:eastAsia="zh-CN"/>
        </w:rPr>
        <w:t>La migración de SIGEF a un modelo de nube híbrida permite equilibrar los requerimientos regulatorios con la necesidad de modernización tecnológica, reduciendo riesgos sin incurrir en una reingeniería completa del sistema.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56" w:name="_Toc1378569850"/>
      <w:r>
        <w:rPr>
          <w:rFonts w:hint="default" w:ascii="Arial" w:hAnsi="Arial" w:cs="Arial" w:eastAsiaTheme="majorEastAsia"/>
          <w:b/>
          <w:bCs/>
          <w:color w:val="auto"/>
          <w:kern w:val="2"/>
          <w:sz w:val="36"/>
          <w:szCs w:val="36"/>
          <w:lang w:val="zh-CN" w:eastAsia="en-US" w:bidi="ar-SA"/>
          <w14:ligatures w14:val="standardContextual"/>
        </w:rPr>
        <w:t xml:space="preserve">Aplicación 8 – </w:t>
      </w:r>
      <w:r>
        <w:rPr>
          <w:rFonts w:hint="default" w:ascii="Arial" w:hAnsi="Arial" w:cs="Arial" w:eastAsiaTheme="majorEastAsia"/>
          <w:b/>
          <w:bCs/>
          <w:color w:val="auto"/>
          <w:kern w:val="2"/>
          <w:sz w:val="36"/>
          <w:szCs w:val="36"/>
          <w:lang w:val="en-US" w:eastAsia="zh-CN" w:bidi="ar-SA"/>
          <w14:ligatures w14:val="standardContextual"/>
        </w:rPr>
        <w:t>GESTDOC – Sistema de Gestión Documental Corporativo</w:t>
      </w:r>
      <w:bookmarkEnd w:id="56"/>
    </w:p>
    <w:p>
      <w:pPr>
        <w:numPr>
          <w:ilvl w:val="0"/>
          <w:numId w:val="66"/>
        </w:numPr>
        <w:bidi w:val="0"/>
        <w:ind w:left="720" w:leftChars="0" w:hanging="360" w:firstLineChars="0"/>
        <w:rPr>
          <w:rFonts w:hint="default" w:ascii="Arial" w:hAnsi="Arial" w:cs="Arial" w:eastAsiaTheme="majorEastAsia"/>
          <w:color w:val="auto"/>
          <w:kern w:val="2"/>
          <w:sz w:val="28"/>
          <w:szCs w:val="28"/>
          <w:lang w:val="zh-CN" w:eastAsia="en-US" w:bidi="ar-SA"/>
          <w14:ligatures w14:val="standardContextual"/>
        </w:rPr>
      </w:pPr>
      <w:bookmarkStart w:id="57" w:name="_Toc1260791299"/>
      <w:r>
        <w:rPr>
          <w:rStyle w:val="46"/>
          <w:rFonts w:hint="default" w:ascii="Arial" w:hAnsi="Arial" w:cs="Arial"/>
          <w:lang w:val="zh-CN" w:eastAsia="en-US"/>
        </w:rPr>
        <w:t>Descubrimiento de la aplicación</w:t>
      </w:r>
      <w:bookmarkEnd w:id="57"/>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 xml:space="preserve"> </w:t>
      </w:r>
      <w:r>
        <w:rPr>
          <w:rFonts w:hint="default" w:ascii="Arial" w:hAnsi="Arial" w:cs="Arial"/>
          <w:sz w:val="22"/>
          <w:szCs w:val="22"/>
          <w:lang w:val="en-US" w:eastAsia="zh-CN"/>
        </w:rPr>
        <w:t>GESTDOC es una plataforma destinada a la gestión, almacenamiento y recuperación de documentos corporativos, tales como contratos, políticas internas, manuales operativos y expedientes digitales. La motivación principal de la aplicación es mejorar la eficiencia operativa y garantizar la trazabilidad documental.</w:t>
      </w:r>
    </w:p>
    <w:p>
      <w:pPr>
        <w:bidi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El sistema es utilizado por aproximadamente 350 usuarios distribuidos en los departamentos Legal, Compras, Recursos Humanos y Operaciones.</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lang w:eastAsia="zh-CN"/>
        </w:rPr>
        <w:t>P</w:t>
      </w:r>
      <w:r>
        <w:rPr>
          <w:rFonts w:hint="default" w:ascii="Arial" w:hAnsi="Arial" w:cs="Arial"/>
          <w:sz w:val="22"/>
          <w:szCs w:val="22"/>
          <w:lang w:val="en-US" w:eastAsia="zh-CN"/>
        </w:rPr>
        <w:t>ersonal administrativo, jefaturas y personal legal.</w:t>
      </w:r>
    </w:p>
    <w:p>
      <w:pPr>
        <w:bidi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val="en-US" w:eastAsia="zh-CN"/>
        </w:rPr>
        <w:t>La frecuencia de uso es alta y constante a lo largo de la jornada laboral.</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La aplicación fue desarrollada internamente</w:t>
      </w:r>
    </w:p>
    <w:p>
      <w:pPr>
        <w:bidi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A</w:t>
      </w:r>
      <w:r>
        <w:rPr>
          <w:rFonts w:hint="default" w:ascii="Arial" w:hAnsi="Arial" w:cs="Arial"/>
          <w:sz w:val="22"/>
          <w:szCs w:val="22"/>
          <w:lang w:val="en-US" w:eastAsia="zh-CN"/>
        </w:rPr>
        <w:t xml:space="preserve">ctualmente </w:t>
      </w:r>
      <w:r>
        <w:rPr>
          <w:rFonts w:hint="default" w:ascii="Arial" w:hAnsi="Arial" w:cs="Arial"/>
          <w:sz w:val="22"/>
          <w:szCs w:val="22"/>
          <w:lang w:eastAsia="zh-CN"/>
        </w:rPr>
        <w:t xml:space="preserve">se encuentra </w:t>
      </w:r>
      <w:r>
        <w:rPr>
          <w:rFonts w:hint="default" w:ascii="Arial" w:hAnsi="Arial" w:cs="Arial"/>
          <w:sz w:val="22"/>
          <w:szCs w:val="22"/>
          <w:lang w:val="en-US" w:eastAsia="zh-CN"/>
        </w:rPr>
        <w:t>desplegada en servidores locales.</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Almacenamiento documental: Amazon S3 / Azure Blob</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identidades: AWS IAM / Azure Entra ID</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Cifrado: SSE-S3 / Azure Storage Encryption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Acceso híbrido: VPN Gateway / AWS Site-to-Site VPN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Backup: S3 Lifecycle / Azure Backup Vault</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58" w:name="_Toc759345799"/>
      <w:r>
        <w:rPr>
          <w:rStyle w:val="46"/>
          <w:rFonts w:hint="default" w:ascii="Arial" w:hAnsi="Arial" w:cs="Arial"/>
          <w:lang w:val="zh-CN" w:eastAsia="en-US"/>
        </w:rPr>
        <w:t>Métricas relevantes</w:t>
      </w:r>
    </w:p>
    <w:bookmarkEnd w:id="58"/>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acceso a documentos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Seguridad y control de accesos</w:t>
      </w:r>
    </w:p>
    <w:p>
      <w:pPr>
        <w:numPr>
          <w:ilvl w:val="0"/>
          <w:numId w:val="0"/>
        </w:numPr>
        <w:bidi w:val="0"/>
        <w:ind w:left="360" w:leftChars="0"/>
        <w:rPr>
          <w:rStyle w:val="46"/>
          <w:rFonts w:hint="default" w:ascii="Arial" w:hAnsi="Arial" w:cs="Arial"/>
          <w:lang w:val="zh-CN" w:eastAsia="en-US"/>
        </w:rPr>
      </w:pPr>
    </w:p>
    <w:p>
      <w:pPr>
        <w:numPr>
          <w:ilvl w:val="0"/>
          <w:numId w:val="66"/>
        </w:numPr>
        <w:bidi w:val="0"/>
        <w:ind w:left="720" w:leftChars="0" w:hanging="360" w:firstLineChars="0"/>
        <w:rPr>
          <w:rStyle w:val="46"/>
          <w:rFonts w:hint="default" w:ascii="Arial" w:hAnsi="Arial" w:cs="Arial"/>
          <w:lang w:val="zh-CN" w:eastAsia="en-US"/>
        </w:rPr>
      </w:pPr>
      <w:bookmarkStart w:id="59" w:name="_Toc742028003"/>
      <w:r>
        <w:rPr>
          <w:rStyle w:val="46"/>
          <w:rFonts w:hint="default" w:ascii="Arial" w:hAnsi="Arial" w:cs="Arial"/>
          <w:lang w:val="zh-CN" w:eastAsia="en-US"/>
        </w:rPr>
        <w:t>Evaluación y decisión (6 R’s)</w:t>
      </w:r>
    </w:p>
    <w:bookmarkEnd w:id="59"/>
    <w:p>
      <w:pPr>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Re-host</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Migración directa de la aplicación y sus datos a una infraestructura de nube híbrida, utilizando servicios de almacenamiento en la nube pública y manteniendo los servicios de autenticación en la nube privada.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aplicación no requiere cambios significativos en su arquitectura, y la migración rápida permite resolver problemas de capacidad y disponibilidad con bajo riesgo.</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60" w:name="_Toc1042270587"/>
      <w:r>
        <w:rPr>
          <w:rStyle w:val="46"/>
          <w:rFonts w:hint="default" w:ascii="Arial" w:hAnsi="Arial" w:cs="Arial"/>
          <w:lang w:val="zh-CN" w:eastAsia="en-US"/>
        </w:rPr>
        <w:t xml:space="preserve">Beneficios </w:t>
      </w:r>
    </w:p>
    <w:bookmarkEnd w:id="60"/>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prácticamente ilimitada para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el acceso remoto seguro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carga en la infraestructura local</w:t>
      </w:r>
    </w:p>
    <w:p>
      <w:pPr>
        <w:numPr>
          <w:ilvl w:val="0"/>
          <w:numId w:val="66"/>
        </w:numPr>
        <w:bidi w:val="0"/>
        <w:ind w:left="720" w:leftChars="0" w:hanging="360" w:firstLineChars="0"/>
        <w:rPr>
          <w:rStyle w:val="46"/>
          <w:rFonts w:hint="default" w:ascii="Arial" w:hAnsi="Arial" w:cs="Arial"/>
          <w:lang w:val="zh-CN" w:eastAsia="en-US"/>
        </w:rPr>
      </w:pPr>
      <w:bookmarkStart w:id="61" w:name="_Toc1265693174"/>
      <w:r>
        <w:rPr>
          <w:rStyle w:val="46"/>
          <w:rFonts w:hint="default" w:ascii="Arial" w:hAnsi="Arial" w:cs="Arial"/>
          <w:lang w:val="zh-CN" w:eastAsia="en-US"/>
        </w:rPr>
        <w:t xml:space="preserve">Riesgos </w:t>
      </w:r>
    </w:p>
    <w:bookmarkEnd w:id="61"/>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Dependencia del proveedor de nube</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Necesidad de reforzar políticas de seguridad documental</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2" w:name="_Toc1352860904"/>
      <w:r>
        <w:rPr>
          <w:rStyle w:val="46"/>
          <w:rFonts w:hint="default" w:ascii="Arial" w:hAnsi="Arial" w:cs="Arial"/>
          <w:lang w:val="zh-CN" w:eastAsia="en-US"/>
        </w:rPr>
        <w:t>Evaluación numérica</w:t>
      </w:r>
    </w:p>
    <w:bookmarkEnd w:id="62"/>
    <w:p>
      <w:pPr>
        <w:numPr>
          <w:ilvl w:val="0"/>
          <w:numId w:val="0"/>
        </w:numPr>
        <w:bidi w:val="0"/>
        <w:ind w:left="360" w:leftChars="0"/>
        <w:rPr>
          <w:rFonts w:hint="default" w:ascii="Arial" w:hAnsi="Arial" w:cs="Arial"/>
          <w:sz w:val="22"/>
          <w:szCs w:val="22"/>
        </w:rPr>
      </w:pPr>
      <w:r>
        <w:rPr>
          <w:rStyle w:val="46"/>
          <w:rFonts w:hint="default" w:ascii="Arial" w:hAnsi="Arial" w:cs="Arial"/>
          <w:sz w:val="22"/>
          <w:szCs w:val="22"/>
          <w:lang w:eastAsia="en-US"/>
        </w:rPr>
        <w:drawing>
          <wp:anchor distT="0" distB="0" distL="114300" distR="114300" simplePos="0" relativeHeight="251660288" behindDoc="1" locked="0" layoutInCell="1" allowOverlap="1">
            <wp:simplePos x="0" y="0"/>
            <wp:positionH relativeFrom="column">
              <wp:posOffset>228600</wp:posOffset>
            </wp:positionH>
            <wp:positionV relativeFrom="paragraph">
              <wp:posOffset>0</wp:posOffset>
            </wp:positionV>
            <wp:extent cx="2743200" cy="2201545"/>
            <wp:effectExtent l="0" t="0" r="0" b="8255"/>
            <wp:wrapTight wrapText="bothSides">
              <wp:wrapPolygon>
                <wp:start x="0" y="0"/>
                <wp:lineTo x="0" y="21494"/>
                <wp:lineTo x="21450" y="21494"/>
                <wp:lineTo x="21450" y="0"/>
                <wp:lineTo x="0" y="0"/>
              </wp:wrapPolygon>
            </wp:wrapTight>
            <wp:docPr id="6" name="Picture 6" descr="gest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stdoc"/>
                    <pic:cNvPicPr>
                      <a:picLocks noChangeAspect="1"/>
                    </pic:cNvPicPr>
                  </pic:nvPicPr>
                  <pic:blipFill>
                    <a:blip r:embed="rId9"/>
                    <a:stretch>
                      <a:fillRect/>
                    </a:stretch>
                  </pic:blipFill>
                  <pic:spPr>
                    <a:xfrm>
                      <a:off x="0" y="0"/>
                      <a:ext cx="2743200" cy="220154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 xml:space="preserve">GESTDOC representa un escenario de migración de corta duración y bajo impacto organizacional. La baja necesidad de especialización técnica confirma que la estrategia de tipo </w:t>
      </w:r>
      <w:r>
        <w:rPr>
          <w:rStyle w:val="13"/>
          <w:rFonts w:hint="default" w:ascii="Arial" w:hAnsi="Arial" w:eastAsia="SimSun" w:cs="Arial"/>
          <w:kern w:val="0"/>
          <w:sz w:val="22"/>
          <w:szCs w:val="22"/>
          <w:lang w:val="en-US" w:eastAsia="zh-CN" w:bidi="ar"/>
          <w14:ligatures w14:val="standardContextual"/>
        </w:rPr>
        <w:t>Re-host</w:t>
      </w:r>
      <w:r>
        <w:rPr>
          <w:rFonts w:hint="default" w:ascii="Arial" w:hAnsi="Arial" w:eastAsia="SimSun" w:cs="Arial"/>
          <w:kern w:val="0"/>
          <w:sz w:val="22"/>
          <w:szCs w:val="22"/>
          <w:lang w:val="en-US" w:eastAsia="zh-CN" w:bidi="ar"/>
          <w14:ligatures w14:val="standardContextual"/>
        </w:rPr>
        <w:t xml:space="preserve"> es adecuada para este tipo de aplicaciones.</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3" w:name="_Toc1716399699"/>
      <w:r>
        <w:rPr>
          <w:rStyle w:val="46"/>
          <w:rFonts w:hint="default" w:ascii="Arial" w:hAnsi="Arial" w:cs="Arial"/>
          <w:lang w:val="zh-CN" w:eastAsia="en-US"/>
        </w:rPr>
        <w:t xml:space="preserve">Conclusión </w:t>
      </w:r>
    </w:p>
    <w:bookmarkEnd w:id="63"/>
    <w:p>
      <w:pPr>
        <w:bidi w:val="0"/>
        <w:rPr>
          <w:rFonts w:hint="default" w:ascii="Arial" w:hAnsi="Arial" w:cs="Arial"/>
          <w:sz w:val="22"/>
          <w:szCs w:val="22"/>
          <w:lang w:val="zh-CN"/>
        </w:rPr>
      </w:pPr>
      <w:r>
        <w:rPr>
          <w:rFonts w:hint="default" w:ascii="Arial" w:hAnsi="Arial" w:cs="Arial"/>
          <w:sz w:val="22"/>
          <w:szCs w:val="22"/>
          <w:lang w:val="en-US" w:eastAsia="zh-CN"/>
        </w:rPr>
        <w:t>GESTDOC es un candidato adecuado para una migración temprana a nube híbrida, ya que permite obtener beneficios inmediatos en capacidad y disponibilidad sin introducir una complejidad técnica elevada.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64" w:name="_Toc654534713"/>
      <w:r>
        <w:rPr>
          <w:rFonts w:hint="default" w:ascii="Arial" w:hAnsi="Arial" w:cs="Arial" w:eastAsiaTheme="majorEastAsia"/>
          <w:b/>
          <w:bCs/>
          <w:color w:val="auto"/>
          <w:kern w:val="2"/>
          <w:sz w:val="36"/>
          <w:szCs w:val="36"/>
          <w:lang w:val="zh-CN" w:eastAsia="en-US" w:bidi="ar-SA"/>
          <w14:ligatures w14:val="standardContextual"/>
        </w:rPr>
        <w:t xml:space="preserve">Aplicación 9 – </w:t>
      </w:r>
      <w:r>
        <w:rPr>
          <w:rFonts w:hint="default" w:ascii="Arial" w:hAnsi="Arial" w:cs="Arial" w:eastAsiaTheme="majorEastAsia"/>
          <w:b/>
          <w:bCs/>
          <w:color w:val="auto"/>
          <w:kern w:val="2"/>
          <w:sz w:val="36"/>
          <w:szCs w:val="36"/>
          <w:lang w:val="en-US" w:eastAsia="zh-CN" w:bidi="ar-SA"/>
          <w14:ligatures w14:val="standardContextual"/>
        </w:rPr>
        <w:t>Plataforma de Monitoreo Operacional</w:t>
      </w:r>
      <w:bookmarkEnd w:id="64"/>
    </w:p>
    <w:p>
      <w:pPr>
        <w:numPr>
          <w:ilvl w:val="0"/>
          <w:numId w:val="67"/>
        </w:numPr>
        <w:bidi w:val="0"/>
        <w:ind w:left="720" w:leftChars="0" w:hanging="360" w:firstLineChars="0"/>
        <w:rPr>
          <w:rStyle w:val="46"/>
          <w:rFonts w:hint="default" w:ascii="Arial" w:hAnsi="Arial" w:cs="Arial"/>
          <w:lang w:val="zh-CN" w:eastAsia="en-US"/>
        </w:rPr>
      </w:pPr>
      <w:bookmarkStart w:id="65" w:name="_Toc1804875558"/>
      <w:r>
        <w:rPr>
          <w:rStyle w:val="46"/>
          <w:rFonts w:hint="default" w:ascii="Arial" w:hAnsi="Arial" w:cs="Arial"/>
          <w:lang w:val="zh-CN" w:eastAsia="en-US"/>
        </w:rPr>
        <w:t xml:space="preserve">Descubrimiento de la aplicación </w:t>
      </w:r>
    </w:p>
    <w:bookmarkEnd w:id="65"/>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M</w:t>
      </w:r>
      <w:r>
        <w:rPr>
          <w:rFonts w:hint="default" w:ascii="Arial" w:hAnsi="Arial" w:cs="Arial"/>
          <w:sz w:val="22"/>
          <w:szCs w:val="22"/>
          <w:lang w:eastAsia="zh-CN"/>
        </w:rPr>
        <w:t>onit</w:t>
      </w:r>
      <w:r>
        <w:rPr>
          <w:rFonts w:hint="default" w:ascii="Arial" w:hAnsi="Arial" w:cs="Arial"/>
          <w:sz w:val="22"/>
          <w:szCs w:val="22"/>
          <w:lang w:val="en-US" w:eastAsia="zh-CN"/>
        </w:rPr>
        <w:t>-O</w:t>
      </w:r>
      <w:r>
        <w:rPr>
          <w:rFonts w:hint="default" w:ascii="Arial" w:hAnsi="Arial" w:cs="Arial"/>
          <w:sz w:val="22"/>
          <w:szCs w:val="22"/>
          <w:lang w:eastAsia="zh-CN"/>
        </w:rPr>
        <w:t>ps</w:t>
      </w:r>
      <w:r>
        <w:rPr>
          <w:rFonts w:hint="default" w:ascii="Arial" w:hAnsi="Arial" w:cs="Arial"/>
          <w:sz w:val="22"/>
          <w:szCs w:val="22"/>
          <w:lang w:val="en-US" w:eastAsia="zh-CN"/>
        </w:rPr>
        <w:t xml:space="preserve"> es una plataforma crítica para el monitoreo de infraestructura tecnológica,</w:t>
      </w:r>
      <w:r>
        <w:rPr>
          <w:rFonts w:hint="default" w:ascii="Arial" w:hAnsi="Arial" w:cs="Arial"/>
          <w:sz w:val="22"/>
          <w:szCs w:val="22"/>
          <w:lang w:eastAsia="zh-CN"/>
        </w:rPr>
        <w:t xml:space="preserve"> </w:t>
      </w:r>
      <w:r>
        <w:rPr>
          <w:rFonts w:hint="default" w:ascii="Arial" w:hAnsi="Arial" w:cs="Arial"/>
          <w:sz w:val="22"/>
          <w:szCs w:val="22"/>
          <w:lang w:val="en-US" w:eastAsia="zh-CN"/>
        </w:rPr>
        <w:t>análisis de logs y generación de alertas en tiempo real. Su objetivo principal es</w:t>
      </w:r>
      <w:r>
        <w:rPr>
          <w:rFonts w:hint="default" w:ascii="Arial" w:hAnsi="Arial" w:cs="Arial"/>
          <w:sz w:val="22"/>
          <w:szCs w:val="22"/>
          <w:lang w:eastAsia="zh-CN"/>
        </w:rPr>
        <w:t xml:space="preserve"> </w:t>
      </w:r>
      <w:r>
        <w:rPr>
          <w:rFonts w:hint="default" w:ascii="Arial" w:hAnsi="Arial" w:cs="Arial"/>
          <w:sz w:val="22"/>
          <w:szCs w:val="22"/>
          <w:lang w:val="en-US" w:eastAsia="zh-CN"/>
        </w:rPr>
        <w:t>garantizar la continuidad operativa de los sistemas de la organización.</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eastAsia="zh-CN"/>
        </w:rPr>
        <w:t>E</w:t>
      </w:r>
      <w:r>
        <w:rPr>
          <w:rFonts w:hint="default" w:ascii="Arial" w:hAnsi="Arial" w:cs="Arial"/>
          <w:sz w:val="22"/>
          <w:szCs w:val="22"/>
          <w:lang w:val="en-US" w:eastAsia="zh-CN"/>
        </w:rPr>
        <w:t>s utilizada aproximadament</w:t>
      </w:r>
      <w:r>
        <w:rPr>
          <w:rFonts w:hint="default" w:ascii="Arial" w:hAnsi="Arial" w:cs="Arial"/>
          <w:sz w:val="22"/>
          <w:szCs w:val="22"/>
          <w:lang w:eastAsia="zh-CN"/>
        </w:rPr>
        <w:t>e por</w:t>
      </w:r>
      <w:r>
        <w:rPr>
          <w:rFonts w:hint="default" w:ascii="Arial" w:hAnsi="Arial" w:cs="Arial"/>
          <w:sz w:val="22"/>
          <w:szCs w:val="22"/>
          <w:lang w:val="en-US" w:eastAsia="zh-CN"/>
        </w:rPr>
        <w:t xml:space="preserve"> 40 usuarios del área de TI y Operaciones</w:t>
      </w:r>
      <w:r>
        <w:rPr>
          <w:rFonts w:hint="default" w:ascii="Arial" w:hAnsi="Arial" w:cs="Arial"/>
          <w:sz w:val="22"/>
          <w:szCs w:val="22"/>
          <w:lang w:eastAsia="zh-CN"/>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rPr>
        <w:t>Ingenieros SRE, DevOps, Desarrolladores, y Testers.</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Diaria, las </w:t>
      </w:r>
      <w:r>
        <w:rPr>
          <w:rFonts w:hint="default" w:ascii="Arial" w:hAnsi="Arial" w:cs="Arial"/>
          <w:sz w:val="22"/>
          <w:szCs w:val="22"/>
          <w:lang w:val="en-US" w:eastAsia="zh-CN"/>
        </w:rPr>
        <w:t>24 horas</w:t>
      </w:r>
      <w:r>
        <w:rPr>
          <w:rFonts w:hint="default" w:ascii="Arial" w:hAnsi="Arial" w:cs="Arial"/>
          <w:sz w:val="22"/>
          <w:szCs w:val="22"/>
          <w:lang w:eastAsia="zh-CN"/>
        </w:rPr>
        <w:t>.</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Es un conjunto de herramientas </w:t>
      </w:r>
      <w:r>
        <w:rPr>
          <w:rFonts w:hint="default" w:ascii="Arial" w:hAnsi="Arial" w:cs="Arial"/>
          <w:sz w:val="22"/>
          <w:szCs w:val="22"/>
          <w:lang w:val="en-US" w:eastAsia="zh-CN"/>
        </w:rPr>
        <w:t>basada</w:t>
      </w:r>
      <w:r>
        <w:rPr>
          <w:rFonts w:hint="default" w:ascii="Arial" w:hAnsi="Arial" w:cs="Arial"/>
          <w:sz w:val="22"/>
          <w:szCs w:val="22"/>
          <w:lang w:eastAsia="zh-CN"/>
        </w:rPr>
        <w:t>s</w:t>
      </w:r>
      <w:r>
        <w:rPr>
          <w:rFonts w:hint="default" w:ascii="Arial" w:hAnsi="Arial" w:cs="Arial"/>
          <w:sz w:val="22"/>
          <w:szCs w:val="22"/>
          <w:lang w:val="en-US" w:eastAsia="zh-CN"/>
        </w:rPr>
        <w:t xml:space="preserve"> en componentes de software open source, con desarrollos y configuraciones personalizadas realizadas internamente.</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L</w:t>
      </w:r>
      <w:r>
        <w:rPr>
          <w:rFonts w:hint="default" w:ascii="Arial" w:hAnsi="Arial" w:cs="Arial"/>
          <w:sz w:val="22"/>
          <w:szCs w:val="22"/>
          <w:lang w:val="en-US" w:eastAsia="zh-CN"/>
        </w:rPr>
        <w:t>a aplicación se encuentra desplegada en infraestructura local, lo que limita su capacidad de escalado ante picos de carga y grandes volúmenes de datos.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Agentes instalados en servidores físicos y virtuales: CloudWatch Agent / Azure Monitor Agent</w:t>
      </w:r>
    </w:p>
    <w:p>
      <w:pPr>
        <w:numPr>
          <w:ilvl w:val="0"/>
          <w:numId w:val="65"/>
        </w:numPr>
        <w:tabs>
          <w:tab w:val="left" w:pos="420"/>
          <w:tab w:val="clear" w:pos="840"/>
        </w:tabs>
        <w:bidi w:val="0"/>
        <w:ind w:left="1128" w:leftChars="0" w:hanging="418" w:firstLineChars="0"/>
        <w:rPr>
          <w:rFonts w:hint="default" w:ascii="Arial" w:hAnsi="Arial" w:cs="Arial"/>
          <w:sz w:val="22"/>
          <w:szCs w:val="22"/>
          <w:lang w:val="en-US" w:eastAsia="zh-CN"/>
        </w:rPr>
      </w:pPr>
      <w:r>
        <w:rPr>
          <w:rFonts w:hint="default" w:ascii="Arial" w:hAnsi="Arial" w:cs="Arial"/>
          <w:sz w:val="22"/>
          <w:szCs w:val="22"/>
          <w:lang w:val="en-US" w:eastAsia="zh-CN"/>
        </w:rPr>
        <w:t>Nodos de recolección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métricas: Amazon CloudWatch / Azure Monitor</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logs: Amazon OpenSearch Service / Azure Log Analytics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Visualización y dashboards: Amazon Managed Grafana o Azure Managed Grafana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alertas: CloudWatch Alarms / Azure Alerts</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lang w:val="zh-CN" w:eastAsia="en-US"/>
        </w:rPr>
      </w:pPr>
      <w:bookmarkStart w:id="66" w:name="_Toc1860681370"/>
      <w:r>
        <w:rPr>
          <w:rStyle w:val="46"/>
          <w:rFonts w:hint="default" w:ascii="Arial" w:hAnsi="Arial" w:cs="Arial"/>
          <w:lang w:val="zh-CN" w:eastAsia="en-US"/>
        </w:rPr>
        <w:t>Métricas relevantes</w:t>
      </w:r>
    </w:p>
    <w:bookmarkEnd w:id="66"/>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detección y notificación de incidentes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retención de logs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ante crecimiento de la infraestructura</w:t>
      </w:r>
    </w:p>
    <w:p>
      <w:pPr>
        <w:numPr>
          <w:ilvl w:val="0"/>
          <w:numId w:val="67"/>
        </w:numPr>
        <w:bidi w:val="0"/>
        <w:ind w:left="720" w:leftChars="0" w:hanging="360" w:firstLineChars="0"/>
        <w:rPr>
          <w:rStyle w:val="46"/>
          <w:rFonts w:hint="default" w:ascii="Arial" w:hAnsi="Arial" w:cs="Arial"/>
          <w:lang w:val="zh-CN" w:eastAsia="en-US"/>
        </w:rPr>
      </w:pPr>
      <w:bookmarkStart w:id="67" w:name="_Toc1933304360"/>
      <w:r>
        <w:rPr>
          <w:rStyle w:val="46"/>
          <w:rFonts w:hint="default" w:ascii="Arial" w:hAnsi="Arial" w:cs="Arial"/>
          <w:lang w:val="zh-CN" w:eastAsia="en-US"/>
        </w:rPr>
        <w:t>Evaluación y decisión (6 R’s)</w:t>
      </w:r>
    </w:p>
    <w:bookmarkEnd w:id="67"/>
    <w:p>
      <w:pPr>
        <w:bidi w:val="0"/>
        <w:ind w:left="708" w:leftChars="0"/>
        <w:rPr>
          <w:rFonts w:hint="default" w:ascii="Arial" w:hAnsi="Arial" w:cs="Arial"/>
          <w:sz w:val="22"/>
          <w:szCs w:val="22"/>
        </w:rPr>
      </w:pPr>
      <w:r>
        <w:rPr>
          <w:rFonts w:hint="default" w:ascii="Arial" w:hAnsi="Arial" w:cs="Arial"/>
          <w:b/>
          <w:bCs/>
          <w:sz w:val="22"/>
          <w:szCs w:val="22"/>
          <w:lang w:val="zh-CN"/>
        </w:rPr>
        <w:t xml:space="preserve">Decisión </w:t>
      </w:r>
      <w:r>
        <w:rPr>
          <w:rFonts w:hint="default" w:ascii="Arial" w:hAnsi="Arial" w:cs="Arial"/>
          <w:sz w:val="22"/>
          <w:szCs w:val="22"/>
          <w:lang w:val="zh-CN"/>
        </w:rPr>
        <w:t xml:space="preserve">tomada: </w:t>
      </w:r>
      <w:r>
        <w:rPr>
          <w:rFonts w:hint="default" w:ascii="Arial" w:hAnsi="Arial" w:cs="Arial"/>
          <w:sz w:val="22"/>
          <w:szCs w:val="22"/>
          <w:lang w:val="en-US" w:eastAsia="zh-CN"/>
        </w:rPr>
        <w:t>Refactor</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Rediseño de la aplicación hacia una arquitectura basada en microservicios desplegados en nube pública, manteniendo agentes de monitoreo en entornos locales.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naturaleza dinámica del monitoreo se beneficia significativamente de la elasticidad y los servicios avanzados de análisis ofrecidos por la nube.</w:t>
      </w:r>
    </w:p>
    <w:p>
      <w:pPr>
        <w:bidi w:val="0"/>
        <w:rPr>
          <w:rFonts w:hint="default" w:ascii="Arial" w:hAnsi="Arial" w:cs="Arial"/>
          <w:sz w:val="22"/>
          <w:szCs w:val="22"/>
          <w:lang w:val="en-US" w:eastAsia="zh-CN"/>
        </w:rPr>
      </w:pPr>
    </w:p>
    <w:p>
      <w:pPr>
        <w:numPr>
          <w:ilvl w:val="0"/>
          <w:numId w:val="67"/>
        </w:numPr>
        <w:bidi w:val="0"/>
        <w:ind w:left="720" w:leftChars="0" w:hanging="360" w:firstLineChars="0"/>
        <w:rPr>
          <w:rFonts w:hint="default" w:ascii="Arial" w:hAnsi="Arial" w:cs="Arial"/>
          <w:sz w:val="22"/>
          <w:szCs w:val="22"/>
          <w:lang w:val="zh-CN"/>
        </w:rPr>
      </w:pPr>
      <w:bookmarkStart w:id="68" w:name="_Toc421200585"/>
      <w:r>
        <w:rPr>
          <w:rStyle w:val="46"/>
          <w:rFonts w:hint="default" w:ascii="Arial" w:hAnsi="Arial" w:cs="Arial"/>
          <w:sz w:val="22"/>
          <w:szCs w:val="22"/>
          <w:lang w:val="zh-CN" w:eastAsia="en-US"/>
        </w:rPr>
        <w:t xml:space="preserve">Beneficios </w:t>
      </w:r>
      <w:bookmarkEnd w:id="68"/>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automática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 análisis y visualización de datos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Reducción de la carga operativa local</w:t>
      </w:r>
    </w:p>
    <w:p>
      <w:pPr>
        <w:bidi w:val="0"/>
        <w:rPr>
          <w:rFonts w:hint="default" w:ascii="Arial" w:hAnsi="Arial" w:cs="Arial"/>
          <w:sz w:val="22"/>
          <w:szCs w:val="22"/>
          <w:lang w:val="zh-CN"/>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69" w:name="_Toc1624627773"/>
      <w:r>
        <w:rPr>
          <w:rStyle w:val="46"/>
          <w:rFonts w:hint="default" w:ascii="Arial" w:hAnsi="Arial" w:cs="Arial"/>
          <w:sz w:val="22"/>
          <w:szCs w:val="22"/>
          <w:lang w:val="zh-CN" w:eastAsia="en-US"/>
        </w:rPr>
        <w:t xml:space="preserve">Riesgos </w:t>
      </w:r>
    </w:p>
    <w:bookmarkEnd w:id="69"/>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en la complejidad de la arquitectura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Mayor esfuerzo de implementación y capacitación</w:t>
      </w:r>
    </w:p>
    <w:p>
      <w:pPr>
        <w:numPr>
          <w:ilvl w:val="0"/>
          <w:numId w:val="0"/>
        </w:numPr>
        <w:tabs>
          <w:tab w:val="left" w:pos="420"/>
        </w:tabs>
        <w:bidi w:val="0"/>
        <w:ind w:left="710" w:leftChars="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0" w:name="_Toc992406441"/>
      <w:r>
        <w:rPr>
          <w:rStyle w:val="46"/>
          <w:rFonts w:hint="default" w:ascii="Arial" w:hAnsi="Arial" w:cs="Arial"/>
          <w:sz w:val="22"/>
          <w:szCs w:val="22"/>
          <w:lang w:val="zh-CN" w:eastAsia="en-US"/>
        </w:rPr>
        <w:t>Evaluación numérica</w:t>
      </w:r>
    </w:p>
    <w:bookmarkEnd w:id="70"/>
    <w:p>
      <w:pPr>
        <w:keepNext w:val="0"/>
        <w:keepLines w:val="0"/>
        <w:widowControl/>
        <w:suppressLineNumbers w:val="0"/>
        <w:jc w:val="left"/>
        <w:rPr>
          <w:rFonts w:hint="default" w:ascii="Arial" w:hAnsi="Arial" w:cs="Arial"/>
          <w:sz w:val="22"/>
          <w:szCs w:val="22"/>
        </w:rPr>
      </w:pPr>
      <w:r>
        <w:rPr>
          <w:rFonts w:hint="default" w:ascii="Arial" w:hAnsi="Arial" w:cs="Arial"/>
          <w:sz w:val="22"/>
          <w:szCs w:val="22"/>
        </w:rPr>
        <w:drawing>
          <wp:anchor distT="0" distB="0" distL="114300" distR="114300" simplePos="0" relativeHeight="251661312" behindDoc="1" locked="0" layoutInCell="1" allowOverlap="1">
            <wp:simplePos x="0" y="0"/>
            <wp:positionH relativeFrom="column">
              <wp:posOffset>0</wp:posOffset>
            </wp:positionH>
            <wp:positionV relativeFrom="paragraph">
              <wp:posOffset>0</wp:posOffset>
            </wp:positionV>
            <wp:extent cx="2743200" cy="2186305"/>
            <wp:effectExtent l="0" t="0" r="0" b="4445"/>
            <wp:wrapTight wrapText="bothSides">
              <wp:wrapPolygon>
                <wp:start x="0" y="0"/>
                <wp:lineTo x="0" y="21456"/>
                <wp:lineTo x="21450" y="21456"/>
                <wp:lineTo x="21450" y="0"/>
                <wp:lineTo x="0" y="0"/>
              </wp:wrapPolygon>
            </wp:wrapTight>
            <wp:docPr id="7" name="Picture 7" descr="mnit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nitops"/>
                    <pic:cNvPicPr>
                      <a:picLocks noChangeAspect="1"/>
                    </pic:cNvPicPr>
                  </pic:nvPicPr>
                  <pic:blipFill>
                    <a:blip r:embed="rId10"/>
                    <a:stretch>
                      <a:fillRect/>
                    </a:stretch>
                  </pic:blipFill>
                  <pic:spPr>
                    <a:xfrm>
                      <a:off x="0" y="0"/>
                      <a:ext cx="2743200" cy="218630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MONIT-OPS evidencia una migración de alta complejidad y larga duración. El crecimiento simultáneo del costo monetario y del costo en habilidades refleja la necesidad de personal especializado en observabilidad, automatización y arquitecturas cloud-native.</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1" w:name="_Toc357484612"/>
      <w:r>
        <w:rPr>
          <w:rStyle w:val="46"/>
          <w:rFonts w:hint="default" w:ascii="Arial" w:hAnsi="Arial" w:cs="Arial"/>
          <w:sz w:val="22"/>
          <w:szCs w:val="22"/>
          <w:lang w:val="zh-CN" w:eastAsia="en-US"/>
        </w:rPr>
        <w:t>Conclusión</w:t>
      </w:r>
    </w:p>
    <w:bookmarkEnd w:id="71"/>
    <w:p>
      <w:pPr>
        <w:bidi w:val="0"/>
        <w:rPr>
          <w:rFonts w:hint="default" w:ascii="Arial" w:hAnsi="Arial" w:cs="Arial"/>
          <w:sz w:val="22"/>
          <w:szCs w:val="22"/>
          <w:lang w:val="en-US" w:eastAsia="zh-CN"/>
        </w:rPr>
      </w:pPr>
      <w:r>
        <w:rPr>
          <w:rFonts w:hint="default" w:ascii="Arial" w:hAnsi="Arial" w:cs="Arial"/>
          <w:sz w:val="22"/>
          <w:szCs w:val="22"/>
          <w:lang w:val="en-US" w:eastAsia="zh-CN"/>
        </w:rPr>
        <w:t>Aunque la migración de MONIT-OPS implica un esfuerzo considerable, la adopción de un modelo híbrido refactorizado maximiza los beneficios estratégicos de la nube para un sistema crítico.</w:t>
      </w:r>
    </w:p>
    <w:p>
      <w:pPr>
        <w:pStyle w:val="25"/>
        <w:numPr>
          <w:ilvl w:val="0"/>
          <w:numId w:val="0"/>
        </w:numPr>
        <w:bidi w:val="0"/>
        <w:ind w:left="360" w:leftChars="0"/>
        <w:rPr>
          <w:rFonts w:hint="default" w:ascii="Arial" w:hAnsi="Arial" w:cs="Arial"/>
        </w:rPr>
      </w:pPr>
      <w:bookmarkStart w:id="72" w:name="_Toc1656122012"/>
      <w:r>
        <w:rPr>
          <w:rFonts w:hint="default" w:ascii="Arial" w:hAnsi="Arial" w:cs="Arial"/>
        </w:rPr>
        <w:t>Aplicación 10: SCADA-ENERGY – Sistema de Supervisión y Control Operacional</w:t>
      </w:r>
      <w:bookmarkEnd w:id="72"/>
    </w:p>
    <w:p>
      <w:pPr>
        <w:numPr>
          <w:ilvl w:val="0"/>
          <w:numId w:val="68"/>
        </w:numPr>
        <w:bidi w:val="0"/>
        <w:ind w:left="720" w:leftChars="0" w:hanging="360" w:firstLineChars="0"/>
        <w:rPr>
          <w:rStyle w:val="46"/>
          <w:rFonts w:hint="default" w:ascii="Arial" w:hAnsi="Arial" w:cs="Arial"/>
          <w:lang w:val="zh-CN" w:eastAsia="en-US"/>
        </w:rPr>
      </w:pPr>
      <w:bookmarkStart w:id="73" w:name="_Toc1865863438"/>
      <w:r>
        <w:rPr>
          <w:rStyle w:val="46"/>
          <w:rFonts w:hint="default" w:ascii="Arial" w:hAnsi="Arial" w:cs="Arial"/>
          <w:lang w:val="zh-CN" w:eastAsia="en-US"/>
        </w:rPr>
        <w:t xml:space="preserve">Descubrimiento de la aplicación </w:t>
      </w:r>
    </w:p>
    <w:bookmarkEnd w:id="73"/>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sz w:val="22"/>
          <w:szCs w:val="22"/>
        </w:rPr>
        <w:t>SCADA-ENERGY es una aplicación crítica utilizada para la supervisión, control y adquisición de datos en tiempo real de infraestructuras energéticas, tales como subestaciones, centros de distribución y sistemas de generación. Su motivación principal es garantizar la continuidad operativa, la detección temprana de fallos y la optimización del consumo energético.</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b w:val="0"/>
          <w:bCs w:val="0"/>
          <w:sz w:val="22"/>
          <w:szCs w:val="22"/>
        </w:rPr>
        <w:t>A</w:t>
      </w:r>
      <w:r>
        <w:rPr>
          <w:rFonts w:hint="default" w:ascii="Arial" w:hAnsi="Arial" w:cs="Arial"/>
          <w:sz w:val="22"/>
          <w:szCs w:val="22"/>
        </w:rPr>
        <w:t xml:space="preserve">proximadamente 60 usuarios del área de Operaciones, Ingeniería y Mantenimiento. </w:t>
      </w:r>
    </w:p>
    <w:p>
      <w:pPr>
        <w:pStyle w:val="17"/>
        <w:keepNext w:val="0"/>
        <w:keepLines w:val="0"/>
        <w:widowControl/>
        <w:suppressLineNumbers w:val="0"/>
        <w:ind w:left="708" w:leftChars="0"/>
        <w:rPr>
          <w:rFonts w:hint="default" w:ascii="Arial" w:hAnsi="Arial" w:cs="Arial"/>
          <w:b/>
          <w:bCs/>
          <w:sz w:val="22"/>
          <w:szCs w:val="22"/>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Los usuarios son operadores técnicos e ingenieros especializados.</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 La frecuencia de uso es continua (24/7).</w:t>
      </w:r>
    </w:p>
    <w:p>
      <w:pPr>
        <w:pStyle w:val="17"/>
        <w:keepNext w:val="0"/>
        <w:keepLines w:val="0"/>
        <w:widowControl/>
        <w:suppressLineNumbers w:val="0"/>
        <w:ind w:left="708" w:leftChars="0"/>
        <w:rPr>
          <w:rFonts w:hint="default" w:ascii="Arial" w:hAnsi="Arial" w:cs="Arial"/>
          <w:b/>
          <w:bCs/>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fue desarrollado por un proveedor especializado en sistemas industriales, con adaptaciones y mantenimientos realizados por el equipo de TI. </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rPr>
        <w:t>Actualmente, se encuentra desplegado en infraestructura on-premise, con fuerte dependencia de hardware específico y protocolos industriales.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Servidores de control SCADA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Base de datos de series temporales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Gateways industriales (OPC-UA, Modbus)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Red de baja latencia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Sistemas de respaldo y recuperación</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Infraestructura de ciberseguridad industrial</w:t>
      </w:r>
    </w:p>
    <w:p>
      <w:pPr>
        <w:numPr>
          <w:ilvl w:val="0"/>
          <w:numId w:val="0"/>
        </w:numPr>
        <w:bidi w:val="0"/>
        <w:ind w:left="360" w:leftChars="0"/>
        <w:rPr>
          <w:rStyle w:val="46"/>
          <w:rFonts w:hint="default" w:ascii="Arial" w:hAnsi="Arial" w:eastAsia="SimSun" w:cs="Arial"/>
          <w:sz w:val="22"/>
          <w:szCs w:val="22"/>
          <w:lang w:val="zh-CN" w:eastAsia="en-US"/>
        </w:rPr>
      </w:pPr>
    </w:p>
    <w:p>
      <w:pPr>
        <w:numPr>
          <w:ilvl w:val="0"/>
          <w:numId w:val="68"/>
        </w:numPr>
        <w:bidi w:val="0"/>
        <w:ind w:left="720" w:leftChars="0" w:hanging="360" w:firstLineChars="0"/>
        <w:rPr>
          <w:rStyle w:val="46"/>
          <w:rFonts w:hint="default" w:ascii="Arial" w:hAnsi="Arial" w:eastAsia="SimSun" w:cs="Arial"/>
          <w:lang w:val="zh-CN" w:eastAsia="en-US"/>
        </w:rPr>
      </w:pPr>
      <w:bookmarkStart w:id="74" w:name="_Toc1963254518"/>
      <w:r>
        <w:rPr>
          <w:rStyle w:val="46"/>
          <w:rFonts w:hint="default" w:ascii="Arial" w:hAnsi="Arial" w:eastAsia="SimSun" w:cs="Arial"/>
          <w:lang w:val="zh-CN" w:eastAsia="en-US"/>
        </w:rPr>
        <w:t>Métricas relevantes</w:t>
      </w:r>
    </w:p>
    <w:bookmarkEnd w:id="74"/>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Latencia de adquisición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Disponibilidad del sistema (≥ 99.99 %)</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Tiempo de detección de incidentes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Integridad y consistencia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Cumplimiento de normativas industriales</w:t>
      </w:r>
    </w:p>
    <w:p>
      <w:pPr>
        <w:pStyle w:val="17"/>
        <w:keepNext w:val="0"/>
        <w:keepLines w:val="0"/>
        <w:widowControl/>
        <w:numPr>
          <w:ilvl w:val="0"/>
          <w:numId w:val="0"/>
        </w:numPr>
        <w:suppressLineNumbers w:val="0"/>
        <w:tabs>
          <w:tab w:val="left" w:pos="420"/>
        </w:tabs>
        <w:ind w:left="840" w:leftChars="0" w:right="0" w:rightChars="0"/>
        <w:rPr>
          <w:rFonts w:hint="default" w:ascii="Arial" w:hAnsi="Arial" w:cs="Arial"/>
          <w:sz w:val="22"/>
          <w:szCs w:val="22"/>
        </w:rPr>
      </w:pPr>
    </w:p>
    <w:p>
      <w:pPr>
        <w:numPr>
          <w:ilvl w:val="0"/>
          <w:numId w:val="68"/>
        </w:numPr>
        <w:bidi w:val="0"/>
        <w:ind w:left="720" w:leftChars="0" w:hanging="360" w:firstLineChars="0"/>
        <w:rPr>
          <w:rStyle w:val="46"/>
          <w:rFonts w:hint="default" w:ascii="Arial" w:hAnsi="Arial" w:eastAsia="SimSun" w:cs="Arial"/>
          <w:lang w:val="zh-CN" w:eastAsia="en-US"/>
        </w:rPr>
      </w:pPr>
      <w:bookmarkStart w:id="75" w:name="_Toc916035638"/>
      <w:r>
        <w:rPr>
          <w:rStyle w:val="46"/>
          <w:rFonts w:hint="default" w:ascii="Arial" w:hAnsi="Arial" w:eastAsia="SimSun" w:cs="Arial"/>
          <w:lang w:val="zh-CN" w:eastAsia="en-US"/>
        </w:rPr>
        <w:t xml:space="preserve">Evaluación y decisión </w:t>
      </w:r>
      <w:r>
        <w:rPr>
          <w:rStyle w:val="46"/>
          <w:rFonts w:hint="default" w:ascii="Arial" w:hAnsi="Arial" w:eastAsia="SimSun" w:cs="Arial"/>
          <w:lang w:eastAsia="en-US"/>
        </w:rPr>
        <w:t>(</w:t>
      </w:r>
      <w:r>
        <w:rPr>
          <w:rStyle w:val="46"/>
          <w:rFonts w:hint="default" w:ascii="Arial" w:hAnsi="Arial" w:eastAsia="SimSun" w:cs="Arial"/>
          <w:lang w:val="zh-CN" w:eastAsia="en-US"/>
        </w:rPr>
        <w:t>6 R’s)</w:t>
      </w:r>
    </w:p>
    <w:bookmarkEnd w:id="75"/>
    <w:p>
      <w:pPr>
        <w:bidi w:val="0"/>
        <w:ind w:left="708" w:leftChars="0"/>
        <w:rPr>
          <w:rFonts w:hint="default" w:ascii="Arial" w:hAnsi="Arial" w:cs="Arial"/>
          <w:sz w:val="22"/>
          <w:szCs w:val="22"/>
        </w:rPr>
      </w:pPr>
      <w:r>
        <w:rPr>
          <w:rFonts w:hint="default" w:ascii="Arial" w:hAnsi="Arial" w:cs="Arial"/>
          <w:b/>
          <w:bCs/>
          <w:sz w:val="22"/>
          <w:szCs w:val="22"/>
        </w:rPr>
        <w:t>Decisión tomada:</w:t>
      </w:r>
      <w:r>
        <w:rPr>
          <w:rFonts w:hint="default" w:ascii="Arial" w:hAnsi="Arial" w:cs="Arial"/>
          <w:sz w:val="22"/>
          <w:szCs w:val="22"/>
        </w:rPr>
        <w:t xml:space="preserve"> Retain + Re-platform (estrategia híbrida)</w:t>
      </w:r>
    </w:p>
    <w:p>
      <w:pPr>
        <w:bidi w:val="0"/>
        <w:ind w:left="708" w:leftChars="0"/>
        <w:rPr>
          <w:rFonts w:hint="default" w:ascii="Arial" w:hAnsi="Arial" w:cs="Arial"/>
          <w:sz w:val="22"/>
          <w:szCs w:val="22"/>
        </w:rPr>
      </w:pPr>
      <w:r>
        <w:rPr>
          <w:rFonts w:hint="default" w:ascii="Arial" w:hAnsi="Arial" w:cs="Arial"/>
          <w:b/>
          <w:bCs/>
          <w:sz w:val="22"/>
          <w:szCs w:val="22"/>
        </w:rPr>
        <w:t>Método</w:t>
      </w:r>
      <w:r>
        <w:rPr>
          <w:rFonts w:hint="default" w:ascii="Arial" w:hAnsi="Arial" w:cs="Arial"/>
          <w:sz w:val="22"/>
          <w:szCs w:val="22"/>
        </w:rPr>
        <w:t>: Se mantiene el núcleo de control SCADA en infraestructura on-premise (Retain), mientras que las capas de análisis, almacenamiento histórico y visualización se migran a la nube pública mediante una estrategia de Re-platform.</w:t>
      </w:r>
    </w:p>
    <w:p>
      <w:pPr>
        <w:bidi w:val="0"/>
        <w:ind w:left="708" w:leftChars="0"/>
        <w:rPr>
          <w:rFonts w:hint="default" w:ascii="Arial" w:hAnsi="Arial" w:cs="Arial"/>
          <w:sz w:val="22"/>
          <w:szCs w:val="22"/>
        </w:rPr>
      </w:pPr>
      <w:r>
        <w:rPr>
          <w:rFonts w:hint="default" w:ascii="Arial" w:hAnsi="Arial" w:cs="Arial"/>
          <w:b/>
          <w:bCs/>
          <w:sz w:val="22"/>
          <w:szCs w:val="22"/>
        </w:rPr>
        <w:t>Justificación</w:t>
      </w:r>
      <w:r>
        <w:rPr>
          <w:rFonts w:hint="default" w:ascii="Arial" w:hAnsi="Arial" w:cs="Arial"/>
          <w:sz w:val="22"/>
          <w:szCs w:val="22"/>
        </w:rPr>
        <w:t>: Los sistemas de control en tiempo real requieren latencias extremadamente bajas y alta confiabilidad, lo cual justifica su permanencia local. Sin embargo, los componentes analíticos se benefician de la escalabilidad y capacidad de procesamiento de la nube.</w:t>
      </w:r>
    </w:p>
    <w:p>
      <w:pPr>
        <w:bidi w:val="0"/>
        <w:ind w:left="708" w:leftChars="0"/>
        <w:rPr>
          <w:rFonts w:hint="default" w:ascii="Arial" w:hAnsi="Arial" w:cs="Arial"/>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6" w:name="_Toc1346344359"/>
      <w:r>
        <w:rPr>
          <w:rStyle w:val="46"/>
          <w:rFonts w:hint="default" w:ascii="Arial" w:hAnsi="Arial" w:eastAsia="SimSun" w:cs="Arial"/>
          <w:color w:val="auto"/>
          <w:lang w:val="zh-CN" w:eastAsia="en-US"/>
        </w:rPr>
        <w:t>Beneficios</w:t>
      </w:r>
    </w:p>
    <w:bookmarkEnd w:id="76"/>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Mejora en la capacidad de análisis histórico y predictivo</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Reducción de costos en infraestructura de análisis local</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Escalabilidad para grandes volúmenes de datos</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Mayor resiliencia ante fallos</w:t>
      </w:r>
    </w:p>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7" w:name="_Toc850165393"/>
      <w:r>
        <w:rPr>
          <w:rStyle w:val="46"/>
          <w:rFonts w:hint="default" w:ascii="Arial" w:hAnsi="Arial" w:eastAsia="SimSun" w:cs="Arial"/>
          <w:color w:val="auto"/>
          <w:lang w:val="zh-CN" w:eastAsia="en-US"/>
        </w:rPr>
        <w:t>Riesgos</w:t>
      </w:r>
    </w:p>
    <w:bookmarkEnd w:id="77"/>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Complejidad de integración entre sistemas industriales y cloud</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Riesgos de ciberseguridad industrial</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Dependencia de conectividad híbrida estable</w:t>
      </w:r>
    </w:p>
    <w:p>
      <w:pPr>
        <w:pStyle w:val="17"/>
        <w:keepNext w:val="0"/>
        <w:keepLines w:val="0"/>
        <w:widowControl/>
        <w:suppressLineNumbers w:val="0"/>
        <w:ind w:left="72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8" w:name="_Toc401109608"/>
      <w:r>
        <w:rPr>
          <w:rStyle w:val="46"/>
          <w:rFonts w:hint="default" w:ascii="Arial" w:hAnsi="Arial" w:eastAsia="SimSun" w:cs="Arial"/>
          <w:color w:val="auto"/>
          <w:lang w:val="zh-CN" w:eastAsia="en-US"/>
        </w:rPr>
        <w:t>Evaluación numérica</w:t>
      </w:r>
    </w:p>
    <w:bookmarkEnd w:id="78"/>
    <w:tbl>
      <w:tblPr>
        <w:tblStyle w:val="20"/>
        <w:tblW w:w="2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09"/>
        <w:gridCol w:w="7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109" w:type="dxa"/>
            <w:vAlign w:val="center"/>
          </w:tcPr>
          <w:p>
            <w:pPr>
              <w:bidi w:val="0"/>
              <w:jc w:val="center"/>
              <w:rPr>
                <w:rFonts w:hint="default" w:ascii="Arial" w:hAnsi="Arial" w:cs="Arial"/>
                <w:b/>
                <w:bCs/>
                <w:sz w:val="22"/>
                <w:szCs w:val="22"/>
                <w:lang w:val="zh-CN" w:eastAsia="en-US"/>
              </w:rPr>
            </w:pPr>
            <w:r>
              <w:rPr>
                <w:rFonts w:hint="default" w:ascii="Arial" w:hAnsi="Arial" w:cs="Arial"/>
                <w:b/>
                <w:bCs/>
                <w:sz w:val="22"/>
                <w:szCs w:val="22"/>
                <w:lang w:val="en-US" w:eastAsia="zh-CN"/>
              </w:rPr>
              <w:t>Parámetro</w:t>
            </w:r>
          </w:p>
        </w:tc>
        <w:tc>
          <w:tcPr>
            <w:tcW w:w="755" w:type="dxa"/>
            <w:vAlign w:val="center"/>
          </w:tcPr>
          <w:p>
            <w:pPr>
              <w:bidi w:val="0"/>
              <w:jc w:val="center"/>
              <w:rPr>
                <w:rFonts w:hint="default" w:ascii="Arial" w:hAnsi="Arial" w:cs="Arial"/>
                <w:b/>
                <w:bCs/>
                <w:sz w:val="22"/>
                <w:szCs w:val="22"/>
                <w:lang w:val="zh-CN" w:eastAsia="en-US"/>
              </w:rPr>
            </w:pPr>
            <w:r>
              <w:rPr>
                <w:rFonts w:hint="default" w:ascii="Arial" w:hAnsi="Arial" w:cs="Arial"/>
                <w:b/>
                <w:bCs/>
                <w:sz w:val="22"/>
                <w:szCs w:val="22"/>
                <w:lang w:val="en-US" w:eastAsia="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09" w:type="dxa"/>
            <w:vAlign w:val="center"/>
          </w:tcPr>
          <w:p>
            <w:pPr>
              <w:bidi w:val="0"/>
              <w:rPr>
                <w:rFonts w:hint="default" w:ascii="Arial" w:hAnsi="Arial" w:cs="Arial"/>
                <w:sz w:val="22"/>
                <w:szCs w:val="22"/>
                <w:lang w:val="zh-CN" w:eastAsia="en-US"/>
              </w:rPr>
            </w:pPr>
            <w:r>
              <w:rPr>
                <w:rFonts w:hint="default" w:ascii="Arial" w:hAnsi="Arial" w:cs="Arial"/>
                <w:sz w:val="22"/>
                <w:szCs w:val="22"/>
                <w:lang w:val="en-US" w:eastAsia="zh-CN"/>
              </w:rPr>
              <w:t>Tiempo de migración</w:t>
            </w:r>
          </w:p>
        </w:tc>
        <w:tc>
          <w:tcPr>
            <w:tcW w:w="755" w:type="dxa"/>
            <w:vAlign w:val="center"/>
          </w:tcPr>
          <w:p>
            <w:pPr>
              <w:bidi w:val="0"/>
              <w:rPr>
                <w:rFonts w:hint="default" w:ascii="Arial" w:hAnsi="Arial" w:cs="Arial"/>
                <w:sz w:val="22"/>
                <w:szCs w:val="22"/>
                <w:lang w:val="zh-CN" w:eastAsia="en-US"/>
              </w:rPr>
            </w:pPr>
            <w:r>
              <w:rPr>
                <w:rFonts w:hint="default" w:ascii="Arial" w:hAnsi="Arial" w:cs="Arial"/>
                <w:sz w:val="22"/>
                <w:szCs w:val="22"/>
                <w:lang w:val="zh-CN" w:eastAsia="en-US"/>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109" w:type="dxa"/>
            <w:vAlign w:val="center"/>
          </w:tcPr>
          <w:p>
            <w:pPr>
              <w:bidi w:val="0"/>
              <w:rPr>
                <w:rFonts w:hint="default" w:ascii="Arial" w:hAnsi="Arial" w:cs="Arial"/>
                <w:sz w:val="22"/>
                <w:szCs w:val="22"/>
                <w:lang w:val="zh-CN" w:eastAsia="en-US"/>
              </w:rPr>
            </w:pPr>
            <w:r>
              <w:rPr>
                <w:rFonts w:hint="default" w:ascii="Arial" w:hAnsi="Arial" w:cs="Arial"/>
                <w:sz w:val="22"/>
                <w:szCs w:val="22"/>
                <w:lang w:val="en-US" w:eastAsia="zh-CN"/>
              </w:rPr>
              <w:t>Coste / esfuerzo</w:t>
            </w:r>
          </w:p>
        </w:tc>
        <w:tc>
          <w:tcPr>
            <w:tcW w:w="755" w:type="dxa"/>
            <w:vAlign w:val="center"/>
          </w:tcPr>
          <w:p>
            <w:pPr>
              <w:bidi w:val="0"/>
              <w:rPr>
                <w:rFonts w:hint="default" w:ascii="Arial" w:hAnsi="Arial" w:cs="Arial"/>
                <w:sz w:val="22"/>
                <w:szCs w:val="22"/>
                <w:lang w:val="zh-CN" w:eastAsia="en-US"/>
              </w:rPr>
            </w:pPr>
            <w:r>
              <w:rPr>
                <w:rFonts w:hint="default" w:ascii="Arial" w:hAnsi="Arial" w:cs="Arial"/>
                <w:sz w:val="22"/>
                <w:szCs w:val="22"/>
                <w:lang w:val="zh-CN" w:eastAsia="zh-CN"/>
              </w:rPr>
              <w:t>5</w:t>
            </w:r>
          </w:p>
        </w:tc>
      </w:tr>
    </w:tbl>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9" w:name="_Toc1721022442"/>
      <w:r>
        <w:rPr>
          <w:rStyle w:val="46"/>
          <w:rFonts w:hint="default" w:ascii="Arial" w:hAnsi="Arial" w:eastAsia="SimSun" w:cs="Arial"/>
          <w:color w:val="auto"/>
          <w:lang w:val="zh-CN" w:eastAsia="en-US"/>
        </w:rPr>
        <w:t>Conclusión</w:t>
      </w:r>
    </w:p>
    <w:bookmarkEnd w:id="79"/>
    <w:p>
      <w:pPr>
        <w:pStyle w:val="17"/>
        <w:keepNext w:val="0"/>
        <w:keepLines w:val="0"/>
        <w:widowControl/>
        <w:suppressLineNumbers w:val="0"/>
        <w:rPr>
          <w:rFonts w:hint="default" w:ascii="Arial" w:hAnsi="Arial" w:cs="Arial"/>
          <w:sz w:val="22"/>
          <w:szCs w:val="22"/>
        </w:rPr>
      </w:pPr>
      <w:r>
        <w:rPr>
          <w:rFonts w:hint="default" w:ascii="Arial" w:hAnsi="Arial" w:cs="Arial"/>
          <w:sz w:val="22"/>
          <w:szCs w:val="22"/>
        </w:rPr>
        <w:t>La migración de SCADA-ENERGY a un modelo de nube híbrida permite preservar los requisitos críticos de operación en tiempo real, al tiempo que habilita capacidades avanzadas de análisis y optimización energética. Esta estrategia equilibra riesgo, costo y beneficio, siendo adecuada para sistemas industriales críticos que no pueden ser completamente migrados a la nube pública.</w:t>
      </w:r>
    </w:p>
    <w:p>
      <w:pPr>
        <w:pStyle w:val="25"/>
        <w:numPr>
          <w:ilvl w:val="0"/>
          <w:numId w:val="0"/>
        </w:numPr>
        <w:bidi w:val="0"/>
        <w:ind w:left="360" w:leftChars="0"/>
        <w:rPr>
          <w:rFonts w:hint="default" w:ascii="Arial" w:hAnsi="Arial" w:cs="Arial"/>
        </w:rPr>
      </w:pPr>
      <w:bookmarkStart w:id="80" w:name="_Toc1699307400"/>
      <w:r>
        <w:rPr>
          <w:rFonts w:hint="default" w:ascii="Arial" w:hAnsi="Arial" w:cs="Arial"/>
        </w:rPr>
        <w:t>Aplicación 1</w:t>
      </w:r>
      <w:r>
        <w:rPr>
          <w:rFonts w:hint="default" w:cs="Arial"/>
          <w:lang/>
        </w:rPr>
        <w:t>1</w:t>
      </w:r>
      <w:r>
        <w:rPr>
          <w:rFonts w:hint="default" w:ascii="Arial" w:hAnsi="Arial" w:cs="Arial"/>
        </w:rPr>
        <w:t>: Plataforma de backup y recuperación de desastres</w:t>
      </w:r>
      <w:bookmarkEnd w:id="80"/>
      <w:r>
        <w:rPr>
          <w:rFonts w:hint="default" w:ascii="Arial" w:hAnsi="Arial" w:cs="Arial"/>
        </w:rPr>
        <w:t xml:space="preserve"> </w:t>
      </w:r>
    </w:p>
    <w:p>
      <w:pPr>
        <w:pStyle w:val="25"/>
        <w:numPr>
          <w:ilvl w:val="0"/>
          <w:numId w:val="0"/>
        </w:numPr>
        <w:bidi w:val="0"/>
        <w:ind w:left="360" w:leftChars="0"/>
        <w:rPr>
          <w:rFonts w:hint="default" w:ascii="Arial" w:hAnsi="Arial" w:cs="Arial"/>
          <w:b/>
          <w:bCs/>
        </w:rPr>
      </w:pPr>
    </w:p>
    <w:p>
      <w:pPr>
        <w:numPr>
          <w:ilvl w:val="0"/>
          <w:numId w:val="73"/>
        </w:numPr>
        <w:bidi w:val="0"/>
        <w:ind w:left="720" w:leftChars="0" w:hanging="360" w:firstLineChars="0"/>
        <w:rPr>
          <w:rStyle w:val="46"/>
          <w:rFonts w:hint="default" w:ascii="Arial" w:hAnsi="Arial" w:cs="Arial"/>
          <w:lang w:val="zh-CN" w:eastAsia="en-US"/>
        </w:rPr>
      </w:pPr>
      <w:bookmarkStart w:id="81" w:name="_Toc1384188966"/>
      <w:r>
        <w:rPr>
          <w:rStyle w:val="46"/>
          <w:rFonts w:hint="default" w:ascii="Arial" w:hAnsi="Arial" w:cs="Arial"/>
          <w:lang w:val="zh-CN" w:eastAsia="en-US"/>
        </w:rPr>
        <w:t xml:space="preserve">Descubrimiento de la aplicación </w:t>
      </w:r>
    </w:p>
    <w:bookmarkEnd w:id="81"/>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rPr>
        <w:t>Motivación de la aplicación</w:t>
      </w:r>
      <w:r>
        <w:rPr>
          <w:rFonts w:hint="default" w:ascii="Arial" w:hAnsi="Arial" w:cs="Arial"/>
          <w:b w:val="0"/>
          <w:bCs w:val="0"/>
          <w:sz w:val="22"/>
          <w:szCs w:val="22"/>
        </w:rPr>
        <w:t>:</w:t>
      </w:r>
      <w:r>
        <w:rPr>
          <w:rFonts w:hint="default" w:ascii="Arial" w:hAnsi="Arial" w:cs="Arial"/>
          <w:b w:val="0"/>
          <w:bCs w:val="0"/>
          <w:sz w:val="22"/>
          <w:szCs w:val="22"/>
          <w:lang/>
        </w:rPr>
        <w:t xml:space="preserve"> </w:t>
      </w:r>
      <w:r>
        <w:rPr>
          <w:rFonts w:hint="default" w:ascii="Arial" w:hAnsi="Arial" w:cs="Arial"/>
          <w:b w:val="0"/>
          <w:bCs w:val="0"/>
          <w:sz w:val="22"/>
          <w:szCs w:val="22"/>
          <w:lang w:val="zh-CN" w:eastAsia="en-US"/>
        </w:rPr>
        <w:t xml:space="preserve">Sistema encargado de realizar copias de seguridad de servidores y aplicaciones críticas, así como de planes de recuperación ante desastres. </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rPr>
        <w:t>Número de usuarios / departamentos</w:t>
      </w:r>
      <w:r>
        <w:rPr>
          <w:rFonts w:hint="default" w:ascii="Arial" w:hAnsi="Arial" w:cs="Arial"/>
          <w:b w:val="0"/>
          <w:bCs w:val="0"/>
          <w:sz w:val="22"/>
          <w:szCs w:val="22"/>
        </w:rPr>
        <w:t>:</w:t>
      </w:r>
      <w:r>
        <w:rPr>
          <w:rFonts w:hint="default" w:ascii="Arial" w:hAnsi="Arial" w:cs="Arial"/>
          <w:b w:val="0"/>
          <w:bCs w:val="0"/>
          <w:sz w:val="22"/>
          <w:szCs w:val="22"/>
          <w:lang/>
        </w:rPr>
        <w:t xml:space="preserve"> </w:t>
      </w:r>
      <w:r>
        <w:rPr>
          <w:rFonts w:hint="default" w:ascii="Arial" w:hAnsi="Arial" w:cs="Arial"/>
          <w:b w:val="0"/>
          <w:bCs w:val="0"/>
          <w:sz w:val="22"/>
          <w:szCs w:val="22"/>
          <w:lang w:val="zh-CN" w:eastAsia="en-US"/>
        </w:rPr>
        <w:t>IT</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Seguridad</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Operaciones</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 xml:space="preserve">Aproximadamente 30 usuarios </w:t>
      </w:r>
    </w:p>
    <w:p>
      <w:pPr>
        <w:bidi w:val="0"/>
        <w:rPr>
          <w:rFonts w:hint="default" w:ascii="Arial" w:hAnsi="Arial" w:cs="Arial"/>
          <w:b w:val="0"/>
          <w:bCs w:val="0"/>
          <w:sz w:val="22"/>
          <w:szCs w:val="22"/>
          <w:lang w:eastAsia="en-US"/>
        </w:rPr>
      </w:pPr>
      <w:r>
        <w:rPr>
          <w:rFonts w:hint="default" w:ascii="Arial" w:hAnsi="Arial" w:cs="Arial"/>
          <w:b w:val="0"/>
          <w:bCs w:val="0"/>
          <w:sz w:val="22"/>
          <w:szCs w:val="22"/>
          <w:lang w:val="zh-CN" w:eastAsia="en-US"/>
        </w:rPr>
        <w:t>Tipología de Usuarios</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 xml:space="preserve">Administradores de IT </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Equipo de Seguridad</w:t>
      </w:r>
      <w:r>
        <w:rPr>
          <w:rFonts w:hint="default" w:ascii="Arial" w:hAnsi="Arial" w:cs="Arial"/>
          <w:b w:val="0"/>
          <w:bCs w:val="0"/>
          <w:sz w:val="22"/>
          <w:szCs w:val="22"/>
          <w:lang w:eastAsia="en-US"/>
        </w:rPr>
        <w:t>.</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Frecuencia de uso</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Ejecución diaria</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Uso intensivo en pruebas de recuperación</w:t>
      </w:r>
      <w:r>
        <w:rPr>
          <w:rFonts w:hint="default" w:ascii="Arial" w:hAnsi="Arial" w:cs="Arial"/>
          <w:b w:val="0"/>
          <w:bCs w:val="0"/>
          <w:sz w:val="22"/>
          <w:szCs w:val="22"/>
          <w:lang w:eastAsia="en-US"/>
        </w:rPr>
        <w:t>.</w:t>
      </w:r>
      <w:r>
        <w:rPr>
          <w:rFonts w:hint="default" w:ascii="Arial" w:hAnsi="Arial" w:cs="Arial"/>
          <w:b w:val="0"/>
          <w:bCs w:val="0"/>
          <w:sz w:val="22"/>
          <w:szCs w:val="22"/>
          <w:lang w:val="zh-CN" w:eastAsia="en-US"/>
        </w:rPr>
        <w:t xml:space="preserve">  </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Quién la desarrollo</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 xml:space="preserve">Configuración interna sobre herramientas comerciales. </w:t>
      </w:r>
    </w:p>
    <w:p>
      <w:pPr>
        <w:bidi w:val="0"/>
        <w:rPr>
          <w:rFonts w:hint="default" w:ascii="Arial" w:hAnsi="Arial" w:cs="Arial"/>
          <w:b w:val="0"/>
          <w:bCs w:val="0"/>
          <w:sz w:val="22"/>
          <w:szCs w:val="22"/>
          <w:lang w:eastAsia="en-US"/>
        </w:rPr>
      </w:pPr>
      <w:r>
        <w:rPr>
          <w:rFonts w:hint="default" w:ascii="Arial" w:hAnsi="Arial" w:cs="Arial"/>
          <w:b w:val="0"/>
          <w:bCs w:val="0"/>
          <w:sz w:val="22"/>
          <w:szCs w:val="22"/>
          <w:lang w:val="zh-CN" w:eastAsia="en-US"/>
        </w:rPr>
        <w:t>Estado de la aplicación</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Funcional</w:t>
      </w:r>
      <w:r>
        <w:rPr>
          <w:rFonts w:hint="default" w:ascii="Arial" w:hAnsi="Arial" w:cs="Arial"/>
          <w:b w:val="0"/>
          <w:bCs w:val="0"/>
          <w:sz w:val="22"/>
          <w:szCs w:val="22"/>
          <w:lang w:eastAsia="en-US"/>
        </w:rPr>
        <w:t>, c</w:t>
      </w:r>
      <w:r>
        <w:rPr>
          <w:rFonts w:hint="default" w:ascii="Arial" w:hAnsi="Arial" w:cs="Arial"/>
          <w:b w:val="0"/>
          <w:bCs w:val="0"/>
          <w:sz w:val="22"/>
          <w:szCs w:val="22"/>
          <w:lang w:val="zh-CN" w:eastAsia="en-US"/>
        </w:rPr>
        <w:t xml:space="preserve">oste elevado en infraestructura local </w:t>
      </w:r>
      <w:r>
        <w:rPr>
          <w:rFonts w:hint="default" w:ascii="Arial" w:hAnsi="Arial" w:cs="Arial"/>
          <w:b w:val="0"/>
          <w:bCs w:val="0"/>
          <w:sz w:val="22"/>
          <w:szCs w:val="22"/>
          <w:lang w:eastAsia="en-US"/>
        </w:rPr>
        <w:t>.</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Recursos requeridos</w:t>
      </w:r>
      <w:r>
        <w:rPr>
          <w:rFonts w:hint="default" w:ascii="Arial" w:hAnsi="Arial" w:cs="Arial"/>
          <w:b w:val="0"/>
          <w:bCs w:val="0"/>
          <w:sz w:val="22"/>
          <w:szCs w:val="22"/>
          <w:lang w:eastAsia="en-US"/>
        </w:rPr>
        <w:t>:</w:t>
      </w:r>
      <w:r>
        <w:rPr>
          <w:rFonts w:hint="default" w:ascii="Arial" w:hAnsi="Arial" w:cs="Arial"/>
          <w:b w:val="0"/>
          <w:bCs w:val="0"/>
          <w:sz w:val="22"/>
          <w:szCs w:val="22"/>
          <w:lang w:val="zh-CN" w:eastAsia="en-US"/>
        </w:rPr>
        <w:t xml:space="preserve"> </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 xml:space="preserve">Servidores de backup </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 xml:space="preserve">Almacenamiento local </w:t>
      </w:r>
    </w:p>
    <w:p>
      <w:pPr>
        <w:bidi w:val="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 xml:space="preserve">Red dedicada </w:t>
      </w:r>
    </w:p>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eastAsia="SimSun" w:cs="Arial"/>
          <w:lang w:val="zh-CN" w:eastAsia="en-US"/>
        </w:rPr>
      </w:pPr>
      <w:bookmarkStart w:id="82" w:name="_Toc1937349087"/>
      <w:r>
        <w:rPr>
          <w:rStyle w:val="46"/>
          <w:rFonts w:hint="default" w:ascii="Arial" w:hAnsi="Arial" w:eastAsia="SimSun" w:cs="Arial"/>
          <w:lang w:val="zh-CN" w:eastAsia="en-US"/>
        </w:rPr>
        <w:t xml:space="preserve">Métricas relevantes </w:t>
      </w:r>
    </w:p>
    <w:bookmarkEnd w:id="82"/>
    <w:p>
      <w:pPr>
        <w:numPr>
          <w:ilvl w:val="0"/>
          <w:numId w:val="74"/>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Tiempo de recuperación (RTO) </w:t>
      </w:r>
    </w:p>
    <w:p>
      <w:pPr>
        <w:numPr>
          <w:ilvl w:val="0"/>
          <w:numId w:val="74"/>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Pérdida de datos permitida (RPO) </w:t>
      </w:r>
    </w:p>
    <w:p>
      <w:pPr>
        <w:numPr>
          <w:ilvl w:val="0"/>
          <w:numId w:val="74"/>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Coste de almacenamiento </w:t>
      </w:r>
    </w:p>
    <w:p>
      <w:pPr>
        <w:numPr>
          <w:ilvl w:val="0"/>
          <w:numId w:val="74"/>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Evaluación y decisión (6 R’s) </w:t>
      </w:r>
    </w:p>
    <w:p>
      <w:pPr>
        <w:numPr>
          <w:numId w:val="0"/>
        </w:numPr>
        <w:bidi w:val="0"/>
        <w:ind w:left="420" w:leftChars="0"/>
        <w:rPr>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eastAsia="SimSun" w:cs="Arial"/>
          <w:lang w:val="zh-CN" w:eastAsia="en-US"/>
        </w:rPr>
      </w:pPr>
      <w:bookmarkStart w:id="83" w:name="_Toc2002610848"/>
      <w:r>
        <w:rPr>
          <w:rStyle w:val="46"/>
          <w:rFonts w:hint="default" w:ascii="Arial" w:hAnsi="Arial" w:eastAsia="SimSun" w:cs="Arial"/>
          <w:lang w:val="zh-CN" w:eastAsia="en-US"/>
        </w:rPr>
        <w:t>Evaluación y decisión (</w:t>
      </w:r>
      <w:r>
        <w:rPr>
          <w:rStyle w:val="46"/>
          <w:rFonts w:hint="default" w:ascii="Arial" w:hAnsi="Arial" w:eastAsia="SimSun" w:cs="Arial"/>
          <w:lang w:val="zh-CN" w:eastAsia="en-US"/>
        </w:rPr>
        <w:t>6 R’s)</w:t>
      </w:r>
    </w:p>
    <w:bookmarkEnd w:id="83"/>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Decisión tomada: Rehost </w:t>
      </w:r>
    </w:p>
    <w:p>
      <w:pPr>
        <w:bidi w:val="0"/>
        <w:rPr>
          <w:rFonts w:hint="default" w:ascii="Arial" w:hAnsi="Arial" w:cs="Arial"/>
          <w:sz w:val="22"/>
          <w:szCs w:val="22"/>
          <w:lang w:val="zh-CN" w:eastAsia="en-US"/>
        </w:rPr>
      </w:pPr>
      <w:r>
        <w:rPr>
          <w:rFonts w:hint="default" w:ascii="Arial" w:hAnsi="Arial" w:cs="Arial"/>
          <w:sz w:val="22"/>
          <w:szCs w:val="22"/>
          <w:lang w:val="zh-CN" w:eastAsia="en-US"/>
        </w:rPr>
        <w:t>Método</w:t>
      </w:r>
      <w:r>
        <w:rPr>
          <w:rFonts w:hint="default" w:ascii="Arial" w:hAnsi="Arial" w:cs="Arial"/>
          <w:sz w:val="22"/>
          <w:szCs w:val="22"/>
          <w:lang w:eastAsia="en-US"/>
        </w:rPr>
        <w:t xml:space="preserve">: </w:t>
      </w:r>
      <w:r>
        <w:rPr>
          <w:rFonts w:hint="default" w:ascii="Arial" w:hAnsi="Arial" w:cs="Arial"/>
          <w:sz w:val="22"/>
          <w:szCs w:val="22"/>
          <w:lang w:val="zh-CN" w:eastAsia="en-US"/>
        </w:rPr>
        <w:t xml:space="preserve">Migración de las copias de seguridad a almacenamiento en Google Cloud, manteniendo los sistemas productivos on-premise. </w:t>
      </w:r>
    </w:p>
    <w:p>
      <w:pPr>
        <w:bidi w:val="0"/>
        <w:rPr>
          <w:rFonts w:hint="default" w:ascii="Arial" w:hAnsi="Arial" w:cs="Arial"/>
          <w:sz w:val="22"/>
          <w:szCs w:val="22"/>
          <w:lang w:val="zh-CN" w:eastAsia="en-US"/>
        </w:rPr>
      </w:pPr>
      <w:r>
        <w:rPr>
          <w:rFonts w:hint="default" w:ascii="Arial" w:hAnsi="Arial" w:cs="Arial"/>
          <w:sz w:val="22"/>
          <w:szCs w:val="22"/>
          <w:lang w:val="zh-CN" w:eastAsia="en-US"/>
        </w:rPr>
        <w:t>Justificación</w:t>
      </w:r>
      <w:r>
        <w:rPr>
          <w:rFonts w:hint="default" w:ascii="Arial" w:hAnsi="Arial" w:cs="Arial"/>
          <w:sz w:val="22"/>
          <w:szCs w:val="22"/>
          <w:lang w:eastAsia="en-US"/>
        </w:rPr>
        <w:t xml:space="preserve">: </w:t>
      </w:r>
      <w:r>
        <w:rPr>
          <w:rFonts w:hint="default" w:ascii="Arial" w:hAnsi="Arial" w:cs="Arial"/>
          <w:sz w:val="22"/>
          <w:szCs w:val="22"/>
          <w:lang w:val="zh-CN" w:eastAsia="en-US"/>
        </w:rPr>
        <w:t xml:space="preserve">El backup es un caso ideal para Cloud híbrido por su bajo impacto operativo y alto beneficio en costes y resiliencia. </w:t>
      </w:r>
    </w:p>
    <w:p>
      <w:pPr>
        <w:numPr>
          <w:ilvl w:val="0"/>
          <w:numId w:val="73"/>
        </w:numPr>
        <w:bidi w:val="0"/>
        <w:ind w:left="720" w:leftChars="0" w:hanging="360" w:firstLineChars="0"/>
        <w:rPr>
          <w:rStyle w:val="46"/>
          <w:rFonts w:hint="default" w:ascii="Arial" w:hAnsi="Arial" w:cs="Arial"/>
          <w:sz w:val="22"/>
          <w:szCs w:val="22"/>
          <w:lang w:val="zh-CN" w:eastAsia="en-US"/>
        </w:rPr>
      </w:pPr>
      <w:bookmarkStart w:id="84" w:name="_Toc1647599268"/>
      <w:r>
        <w:rPr>
          <w:rStyle w:val="46"/>
          <w:rFonts w:hint="default" w:ascii="Arial" w:hAnsi="Arial" w:eastAsia="SimSun" w:cs="Arial"/>
          <w:lang w:val="zh-CN" w:eastAsia="en-US"/>
        </w:rPr>
        <w:t xml:space="preserve">Beneficios </w:t>
      </w:r>
    </w:p>
    <w:bookmarkEnd w:id="84"/>
    <w:p>
      <w:pPr>
        <w:numPr>
          <w:ilvl w:val="0"/>
          <w:numId w:val="75"/>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Reducción de costes de almacenamiento </w:t>
      </w:r>
    </w:p>
    <w:p>
      <w:pPr>
        <w:numPr>
          <w:ilvl w:val="0"/>
          <w:numId w:val="75"/>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Mejora del DR </w:t>
      </w:r>
    </w:p>
    <w:p>
      <w:pPr>
        <w:numPr>
          <w:ilvl w:val="0"/>
          <w:numId w:val="75"/>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Mayor durabilidad de datos </w:t>
      </w:r>
    </w:p>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cs="Arial"/>
          <w:sz w:val="22"/>
          <w:szCs w:val="22"/>
          <w:lang w:val="zh-CN" w:eastAsia="en-US"/>
        </w:rPr>
      </w:pPr>
      <w:bookmarkStart w:id="85" w:name="_Toc2082047650"/>
      <w:r>
        <w:rPr>
          <w:rStyle w:val="46"/>
          <w:rFonts w:hint="default" w:ascii="Arial" w:hAnsi="Arial" w:eastAsia="SimSun" w:cs="Arial"/>
          <w:lang w:val="zh-CN" w:eastAsia="en-US"/>
        </w:rPr>
        <w:t xml:space="preserve">Riesgos </w:t>
      </w:r>
    </w:p>
    <w:bookmarkEnd w:id="85"/>
    <w:p>
      <w:pPr>
        <w:numPr>
          <w:ilvl w:val="0"/>
          <w:numId w:val="76"/>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Dependencia de conectividad </w:t>
      </w:r>
    </w:p>
    <w:p>
      <w:pPr>
        <w:numPr>
          <w:ilvl w:val="0"/>
          <w:numId w:val="76"/>
        </w:numPr>
        <w:bidi w:val="0"/>
        <w:rPr>
          <w:rFonts w:hint="default" w:ascii="Arial" w:hAnsi="Arial" w:cs="Arial"/>
          <w:sz w:val="22"/>
          <w:szCs w:val="22"/>
          <w:lang w:val="zh-CN" w:eastAsia="en-US"/>
        </w:rPr>
      </w:pPr>
      <w:r>
        <w:rPr>
          <w:rFonts w:hint="default" w:ascii="Arial" w:hAnsi="Arial" w:cs="Arial"/>
          <w:sz w:val="22"/>
          <w:szCs w:val="22"/>
          <w:lang w:val="zh-CN" w:eastAsia="en-US"/>
        </w:rPr>
        <w:t xml:space="preserve">Gestión de ventanas de backup </w:t>
      </w:r>
    </w:p>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eastAsia="SimSun" w:cs="Arial"/>
          <w:lang w:val="zh-CN" w:eastAsia="en-US"/>
        </w:rPr>
      </w:pPr>
      <w:bookmarkStart w:id="86" w:name="_Toc1898761100"/>
      <w:r>
        <w:rPr>
          <w:rStyle w:val="46"/>
          <w:rFonts w:hint="default" w:ascii="Arial" w:hAnsi="Arial" w:eastAsia="SimSun" w:cs="Arial"/>
          <w:lang w:val="zh-CN" w:eastAsia="en-US"/>
        </w:rPr>
        <w:t xml:space="preserve">Evaluación Numérica </w:t>
      </w:r>
    </w:p>
    <w:bookmarkEnd w:id="86"/>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90"/>
        <w:gridCol w:w="12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9" w:hRule="atLeast"/>
          <w:jc w:val="center"/>
        </w:trPr>
        <w:tc>
          <w:tcPr>
            <w:tcW w:w="2890" w:type="dxa"/>
          </w:tcPr>
          <w:p>
            <w:pPr>
              <w:bidi w:val="0"/>
              <w:jc w:val="center"/>
              <w:rPr>
                <w:rFonts w:hint="default" w:ascii="Arial" w:hAnsi="Arial" w:cs="Arial"/>
                <w:b/>
                <w:bCs/>
                <w:sz w:val="22"/>
                <w:szCs w:val="22"/>
                <w:lang w:val="zh-CN" w:eastAsia="en-US"/>
              </w:rPr>
            </w:pPr>
            <w:r>
              <w:rPr>
                <w:rFonts w:hint="default" w:ascii="Arial" w:hAnsi="Arial" w:cs="Arial"/>
                <w:b/>
                <w:bCs/>
                <w:sz w:val="22"/>
                <w:szCs w:val="22"/>
                <w:lang w:val="zh-CN" w:eastAsia="en-US"/>
              </w:rPr>
              <w:t>Parámetro</w:t>
            </w:r>
          </w:p>
        </w:tc>
        <w:tc>
          <w:tcPr>
            <w:tcW w:w="1220" w:type="dxa"/>
          </w:tcPr>
          <w:p>
            <w:pPr>
              <w:bidi w:val="0"/>
              <w:jc w:val="center"/>
              <w:rPr>
                <w:rFonts w:hint="default" w:ascii="Arial" w:hAnsi="Arial" w:cs="Arial"/>
                <w:b/>
                <w:bCs/>
                <w:sz w:val="22"/>
                <w:szCs w:val="22"/>
                <w:lang w:val="zh-CN" w:eastAsia="en-US"/>
              </w:rPr>
            </w:pPr>
            <w:r>
              <w:rPr>
                <w:rFonts w:hint="default" w:ascii="Arial" w:hAnsi="Arial" w:cs="Arial"/>
                <w:b/>
                <w:bCs/>
                <w:sz w:val="22"/>
                <w:szCs w:val="22"/>
                <w:lang w:val="zh-CN" w:eastAsia="en-US"/>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9" w:hRule="atLeast"/>
          <w:jc w:val="center"/>
        </w:trPr>
        <w:tc>
          <w:tcPr>
            <w:tcW w:w="289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Tiempo de migración </w:t>
            </w:r>
          </w:p>
        </w:tc>
        <w:tc>
          <w:tcPr>
            <w:tcW w:w="122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9" w:hRule="atLeast"/>
          <w:jc w:val="center"/>
        </w:trPr>
        <w:tc>
          <w:tcPr>
            <w:tcW w:w="289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Coste / esfuerzo </w:t>
            </w:r>
          </w:p>
        </w:tc>
        <w:tc>
          <w:tcPr>
            <w:tcW w:w="1220" w:type="dxa"/>
          </w:tcPr>
          <w:p>
            <w:pPr>
              <w:bidi w:val="0"/>
              <w:rPr>
                <w:rFonts w:hint="default" w:ascii="Arial" w:hAnsi="Arial" w:cs="Arial"/>
                <w:sz w:val="22"/>
                <w:szCs w:val="22"/>
                <w:lang w:eastAsia="en-US"/>
              </w:rPr>
            </w:pPr>
            <w:r>
              <w:rPr>
                <w:rFonts w:hint="default" w:ascii="Arial" w:hAnsi="Arial" w:cs="Arial"/>
                <w:sz w:val="22"/>
                <w:szCs w:val="22"/>
                <w:lang w:eastAsia="en-US"/>
              </w:rPr>
              <w:t>2</w:t>
            </w:r>
          </w:p>
        </w:tc>
      </w:tr>
    </w:tbl>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cs="Arial"/>
          <w:sz w:val="22"/>
          <w:szCs w:val="22"/>
          <w:lang w:val="zh-CN" w:eastAsia="en-US"/>
        </w:rPr>
      </w:pPr>
      <w:bookmarkStart w:id="87" w:name="_Toc878685470"/>
      <w:r>
        <w:rPr>
          <w:rStyle w:val="46"/>
          <w:rFonts w:hint="default" w:ascii="Arial" w:hAnsi="Arial" w:eastAsia="SimSun" w:cs="Arial"/>
          <w:lang w:val="zh-CN" w:eastAsia="en-US"/>
        </w:rPr>
        <w:t xml:space="preserve">Conclusión </w:t>
      </w:r>
    </w:p>
    <w:bookmarkEnd w:id="87"/>
    <w:p>
      <w:pPr>
        <w:bidi w:val="0"/>
        <w:rPr>
          <w:rFonts w:hint="default" w:ascii="Arial" w:hAnsi="Arial" w:cs="Arial"/>
          <w:sz w:val="22"/>
          <w:szCs w:val="22"/>
          <w:lang w:val="zh-CN" w:eastAsia="en-US"/>
        </w:rPr>
      </w:pPr>
      <w:r>
        <w:rPr>
          <w:rFonts w:hint="default" w:ascii="Arial" w:hAnsi="Arial" w:cs="Arial"/>
          <w:sz w:val="22"/>
          <w:szCs w:val="22"/>
          <w:lang w:val="zh-CN" w:eastAsia="en-US"/>
        </w:rPr>
        <w:t>La estrategia Rehost para backup refuerza la resiliencia del entorno híbrido y reduce costes sin afectar sistemas críticos.</w:t>
      </w:r>
    </w:p>
    <w:p>
      <w:pPr>
        <w:numPr>
          <w:numId w:val="0"/>
        </w:numPr>
        <w:bidi w:val="0"/>
        <w:ind w:left="360" w:leftChars="0"/>
        <w:rPr>
          <w:rStyle w:val="46"/>
          <w:rFonts w:hint="default" w:ascii="Arial" w:hAnsi="Arial" w:cs="Arial"/>
          <w:sz w:val="22"/>
          <w:szCs w:val="22"/>
          <w:lang w:val="zh-CN" w:eastAsia="en-US"/>
        </w:rPr>
      </w:pPr>
    </w:p>
    <w:p>
      <w:pPr>
        <w:bidi w:val="0"/>
        <w:rPr>
          <w:rFonts w:hint="default" w:ascii="Arial" w:hAnsi="Arial" w:cs="Arial"/>
          <w:sz w:val="22"/>
          <w:szCs w:val="22"/>
          <w:lang w:val="zh-CN" w:eastAsia="zh-CN"/>
        </w:rPr>
      </w:pPr>
    </w:p>
    <w:sectPr>
      <w:headerReference r:id="rId5" w:type="default"/>
      <w:pgSz w:w="12240" w:h="15840"/>
      <w:pgMar w:top="1417" w:right="1701" w:bottom="1417" w:left="1701" w:header="708" w:footer="708"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0" w:usb3="00000000" w:csb0="00040001" w:csb1="00000000"/>
  </w:font>
  <w:font w:name="Montserrat Alternates Medium">
    <w:panose1 w:val="00000600000000000000"/>
    <w:charset w:val="00"/>
    <w:family w:val="auto"/>
    <w:pitch w:val="default"/>
    <w:sig w:usb0="2000020F" w:usb1="00000003" w:usb2="00000000" w:usb3="00000000" w:csb0="20000197" w:csb1="00000000"/>
  </w:font>
  <w:font w:name="Aptos">
    <w:altName w:val="Droid Sans Fallback"/>
    <w:panose1 w:val="00000000000000000000"/>
    <w:charset w:val="86"/>
    <w:family w:val="swiss"/>
    <w:pitch w:val="default"/>
    <w:sig w:usb0="00000000" w:usb1="00000000" w:usb2="00000000" w:usb3="00000000" w:csb0="0000019F" w:csb1="00000000"/>
  </w:font>
  <w:font w:name="Aptos Display">
    <w:altName w:val="Gubbi"/>
    <w:panose1 w:val="00000000000000000000"/>
    <w:charset w:val="00"/>
    <w:family w:val="swiss"/>
    <w:pitch w:val="default"/>
    <w:sig w:usb0="00000000" w:usb1="00000000" w:usb2="00000000" w:usb3="00000000" w:csb0="0000019F" w:csb1="00000000"/>
  </w:font>
  <w:font w:name="Gubbi">
    <w:panose1 w:val="00000400000000000000"/>
    <w:charset w:val="00"/>
    <w:family w:val="auto"/>
    <w:pitch w:val="default"/>
    <w:sig w:usb0="00400000" w:usb1="00000000" w:usb2="00000000" w:usb3="00000000" w:csb0="00000000" w:csb1="00000000"/>
  </w:font>
  <w:font w:name="等线 Light">
    <w:altName w:val="Gubbi"/>
    <w:panose1 w:val="00000000000000000000"/>
    <w:charset w:val="00"/>
    <w:family w:val="auto"/>
    <w:pitch w:val="default"/>
    <w:sig w:usb0="00000000" w:usb1="00000000" w:usb2="00000000" w:usb3="00000000" w:csb0="00000000" w:csb1="00000000"/>
  </w:font>
  <w:font w:name="等线">
    <w:altName w:val="Gubbi"/>
    <w:panose1 w:val="00000000000000000000"/>
    <w:charset w:val="00"/>
    <w:family w:val="auto"/>
    <w:pitch w:val="default"/>
    <w:sig w:usb0="00000000" w:usb1="00000000" w:usb2="00000000" w:usb3="00000000" w:csb0="00000000"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Abyssinica SIL">
    <w:panose1 w:val="02000000000000000000"/>
    <w:charset w:val="00"/>
    <w:family w:val="auto"/>
    <w:pitch w:val="default"/>
    <w:sig w:usb0="800000EF" w:usb1="5200A14B" w:usb2="08000828" w:usb3="00000000" w:csb0="20000001" w:csb1="00000000"/>
  </w:font>
  <w:font w:name="Arial Black">
    <w:panose1 w:val="020B0A04020102020204"/>
    <w:charset w:val="00"/>
    <w:family w:val="auto"/>
    <w:pitch w:val="default"/>
    <w:sig w:usb0="00000287" w:usb1="00000000" w:usb2="00000000" w:usb3="00000000" w:csb0="2000009F" w:csb1="DFD70000"/>
  </w:font>
  <w:font w:name="Aptos">
    <w:altName w:val="Gubbi"/>
    <w:panose1 w:val="00000000000000000000"/>
    <w:charset w:val="00"/>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Ramabhadra">
    <w:panose1 w:val="02000600000000000000"/>
    <w:charset w:val="00"/>
    <w:family w:val="auto"/>
    <w:pitch w:val="default"/>
    <w:sig w:usb0="80200003" w:usb1="00000000" w:usb2="00000000" w:usb3="00000000" w:csb0="00000001" w:csb1="00000000"/>
  </w:font>
  <w:font w:name="东文宋体">
    <w:altName w:val="Droid Sans Fallback"/>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spacing w:line="240" w:lineRule="auto"/>
      <w:rPr>
        <w:rFonts w:hint="default" w:ascii="Arial" w:hAnsi="Arial" w:cs="Arial"/>
      </w:rPr>
    </w:pPr>
    <w:r>
      <w:rPr>
        <w:rFonts w:hint="default" w:ascii="Arial" w:hAnsi="Arial" w:cs="Arial"/>
      </w:rPr>
      <w:t xml:space="preserve">OBS Business School </w:t>
    </w:r>
  </w:p>
  <w:p>
    <w:pPr>
      <w:pStyle w:val="15"/>
      <w:spacing w:line="240" w:lineRule="auto"/>
      <w:rPr>
        <w:rFonts w:hint="default" w:ascii="Times New Roman" w:hAnsi="Times New Roman" w:cs="Times New Roman"/>
      </w:rPr>
    </w:pPr>
    <w:r>
      <w:rPr>
        <w:rFonts w:hint="default" w:ascii="Arial" w:hAnsi="Arial" w:cs="Arial"/>
        <w:sz w:val="18"/>
      </w:rPr>
      <mc:AlternateContent>
        <mc:Choice Requires="wps">
          <w:drawing>
            <wp:anchor distT="0" distB="0" distL="114300" distR="114300" simplePos="0" relativeHeight="251660288" behindDoc="0" locked="0" layoutInCell="1" allowOverlap="1">
              <wp:simplePos x="0" y="0"/>
              <wp:positionH relativeFrom="column">
                <wp:posOffset>-635</wp:posOffset>
              </wp:positionH>
              <wp:positionV relativeFrom="paragraph">
                <wp:posOffset>212725</wp:posOffset>
              </wp:positionV>
              <wp:extent cx="5415280" cy="0"/>
              <wp:effectExtent l="0" t="9525" r="13970" b="9525"/>
              <wp:wrapNone/>
              <wp:docPr id="1" name="Straight Connector 1"/>
              <wp:cNvGraphicFramePr/>
              <a:graphic xmlns:a="http://schemas.openxmlformats.org/drawingml/2006/main">
                <a:graphicData uri="http://schemas.microsoft.com/office/word/2010/wordprocessingShape">
                  <wps:wsp>
                    <wps:cNvCnPr/>
                    <wps:spPr>
                      <a:xfrm>
                        <a:off x="1079500" y="894715"/>
                        <a:ext cx="54152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0.05pt;margin-top:16.75pt;height:0pt;width:426.4pt;z-index:251660288;mso-width-relative:page;mso-height-relative:page;" filled="f" stroked="t" coordsize="21600,21600" o:gfxdata="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">
              <v:fill on="f" focussize="0,0"/>
              <v:stroke weight="1.5pt" color="#156082 [3204]" miterlimit="8" joinstyle="miter"/>
              <v:imagedata o:title=""/>
              <o:lock v:ext="edit" aspectratio="f"/>
            </v:line>
          </w:pict>
        </mc:Fallback>
      </mc:AlternateContent>
    </w:r>
    <w:r>
      <w:rPr>
        <w:rFonts w:hint="default" w:ascii="Arial" w:hAnsi="Arial" w:cs="Arial"/>
      </w:rPr>
      <w:t>Master en DevOps y Cloud Computing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9D3B54"/>
    <w:multiLevelType w:val="singleLevel"/>
    <w:tmpl w:val="AE9D3B54"/>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1">
    <w:nsid w:val="CE6F13D7"/>
    <w:multiLevelType w:val="multilevel"/>
    <w:tmpl w:val="CE6F13D7"/>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DABDEF73"/>
    <w:multiLevelType w:val="singleLevel"/>
    <w:tmpl w:val="DABDEF73"/>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3">
    <w:nsid w:val="DBF37E77"/>
    <w:multiLevelType w:val="multilevel"/>
    <w:tmpl w:val="DBF37E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FABEBE14"/>
    <w:multiLevelType w:val="singleLevel"/>
    <w:tmpl w:val="FABEBE14"/>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5">
    <w:nsid w:val="FCDDB862"/>
    <w:multiLevelType w:val="multilevel"/>
    <w:tmpl w:val="FCDDB862"/>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FF8E0C77"/>
    <w:multiLevelType w:val="singleLevel"/>
    <w:tmpl w:val="FF8E0C77"/>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7">
    <w:nsid w:val="FFB75CDB"/>
    <w:multiLevelType w:val="multilevel"/>
    <w:tmpl w:val="FFB75CDB"/>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FFE64235"/>
    <w:multiLevelType w:val="singleLevel"/>
    <w:tmpl w:val="FFE64235"/>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9">
    <w:nsid w:val="01FE1FD3"/>
    <w:multiLevelType w:val="multilevel"/>
    <w:tmpl w:val="01FE1F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02A478C2"/>
    <w:multiLevelType w:val="multilevel"/>
    <w:tmpl w:val="02A478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095242D9"/>
    <w:multiLevelType w:val="multilevel"/>
    <w:tmpl w:val="095242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0A162B09"/>
    <w:multiLevelType w:val="multilevel"/>
    <w:tmpl w:val="0A162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0DBE5370"/>
    <w:multiLevelType w:val="multilevel"/>
    <w:tmpl w:val="0DBE537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115C3B11"/>
    <w:multiLevelType w:val="multilevel"/>
    <w:tmpl w:val="115C3B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12B08F16"/>
    <w:multiLevelType w:val="multilevel"/>
    <w:tmpl w:val="12B08F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15DB04AE"/>
    <w:multiLevelType w:val="multilevel"/>
    <w:tmpl w:val="15DB0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161B2EEA"/>
    <w:multiLevelType w:val="multilevel"/>
    <w:tmpl w:val="161B2EE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19673160"/>
    <w:multiLevelType w:val="multilevel"/>
    <w:tmpl w:val="1967316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20BA3D2C"/>
    <w:multiLevelType w:val="multilevel"/>
    <w:tmpl w:val="20BA3D2C"/>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0">
    <w:nsid w:val="2195064B"/>
    <w:multiLevelType w:val="multilevel"/>
    <w:tmpl w:val="2195064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22827303"/>
    <w:multiLevelType w:val="multilevel"/>
    <w:tmpl w:val="2282730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2">
    <w:nsid w:val="2374DDF5"/>
    <w:multiLevelType w:val="multilevel"/>
    <w:tmpl w:val="2374DD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3">
    <w:nsid w:val="25FB45C2"/>
    <w:multiLevelType w:val="multilevel"/>
    <w:tmpl w:val="25FB45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260432BB"/>
    <w:multiLevelType w:val="multilevel"/>
    <w:tmpl w:val="260432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2657039E"/>
    <w:multiLevelType w:val="multilevel"/>
    <w:tmpl w:val="265703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295F5492"/>
    <w:multiLevelType w:val="multilevel"/>
    <w:tmpl w:val="295F54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2A4D7C7B"/>
    <w:multiLevelType w:val="multilevel"/>
    <w:tmpl w:val="2A4D7C7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8">
    <w:nsid w:val="2A7FDB44"/>
    <w:multiLevelType w:val="multilevel"/>
    <w:tmpl w:val="2A7FDB4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2DC20BBF"/>
    <w:multiLevelType w:val="multilevel"/>
    <w:tmpl w:val="2DC20BB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0">
    <w:nsid w:val="2E27510F"/>
    <w:multiLevelType w:val="multilevel"/>
    <w:tmpl w:val="2E275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2E8A2863"/>
    <w:multiLevelType w:val="multilevel"/>
    <w:tmpl w:val="2E8A28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2F3124CF"/>
    <w:multiLevelType w:val="multilevel"/>
    <w:tmpl w:val="2F3124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301F6D3A"/>
    <w:multiLevelType w:val="multilevel"/>
    <w:tmpl w:val="301F6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313914E6"/>
    <w:multiLevelType w:val="multilevel"/>
    <w:tmpl w:val="313914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5">
    <w:nsid w:val="32300C07"/>
    <w:multiLevelType w:val="multilevel"/>
    <w:tmpl w:val="32300C07"/>
    <w:lvl w:ilvl="0" w:tentative="0">
      <w:start w:val="1"/>
      <w:numFmt w:val="decimal"/>
      <w:pStyle w:val="26"/>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6">
    <w:nsid w:val="33154B09"/>
    <w:multiLevelType w:val="multilevel"/>
    <w:tmpl w:val="33154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7">
    <w:nsid w:val="338E31D5"/>
    <w:multiLevelType w:val="multilevel"/>
    <w:tmpl w:val="338E31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8">
    <w:nsid w:val="3892B6AF"/>
    <w:multiLevelType w:val="multilevel"/>
    <w:tmpl w:val="3892B6A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9">
    <w:nsid w:val="3A1E1C18"/>
    <w:multiLevelType w:val="multilevel"/>
    <w:tmpl w:val="3A1E1C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3A575206"/>
    <w:multiLevelType w:val="multilevel"/>
    <w:tmpl w:val="3A5752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1">
    <w:nsid w:val="3BEED3E6"/>
    <w:multiLevelType w:val="singleLevel"/>
    <w:tmpl w:val="3BEED3E6"/>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42">
    <w:nsid w:val="3DD4123A"/>
    <w:multiLevelType w:val="multilevel"/>
    <w:tmpl w:val="3DD412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3">
    <w:nsid w:val="3F652608"/>
    <w:multiLevelType w:val="multilevel"/>
    <w:tmpl w:val="3F65260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4">
    <w:nsid w:val="40995F88"/>
    <w:multiLevelType w:val="multilevel"/>
    <w:tmpl w:val="40995F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42C74F40"/>
    <w:multiLevelType w:val="multilevel"/>
    <w:tmpl w:val="42C74F4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6">
    <w:nsid w:val="43A06EEB"/>
    <w:multiLevelType w:val="multilevel"/>
    <w:tmpl w:val="43A06E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7">
    <w:nsid w:val="45737EBE"/>
    <w:multiLevelType w:val="multilevel"/>
    <w:tmpl w:val="45737E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8">
    <w:nsid w:val="476F3679"/>
    <w:multiLevelType w:val="multilevel"/>
    <w:tmpl w:val="476F367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9">
    <w:nsid w:val="49296924"/>
    <w:multiLevelType w:val="multilevel"/>
    <w:tmpl w:val="4929692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0">
    <w:nsid w:val="49D24BF2"/>
    <w:multiLevelType w:val="multilevel"/>
    <w:tmpl w:val="49D24BF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4B436163"/>
    <w:multiLevelType w:val="multilevel"/>
    <w:tmpl w:val="4B4361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2">
    <w:nsid w:val="4F6FD4D5"/>
    <w:multiLevelType w:val="multilevel"/>
    <w:tmpl w:val="4F6FD4D5"/>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3">
    <w:nsid w:val="51850F6E"/>
    <w:multiLevelType w:val="multilevel"/>
    <w:tmpl w:val="51850F6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55C7EB69"/>
    <w:multiLevelType w:val="multilevel"/>
    <w:tmpl w:val="55C7EB6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5">
    <w:nsid w:val="56EE8DF3"/>
    <w:multiLevelType w:val="multilevel"/>
    <w:tmpl w:val="56EE8DF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6">
    <w:nsid w:val="5B5BE472"/>
    <w:multiLevelType w:val="multilevel"/>
    <w:tmpl w:val="5B5BE47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7">
    <w:nsid w:val="5D12543B"/>
    <w:multiLevelType w:val="multilevel"/>
    <w:tmpl w:val="5D1254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8">
    <w:nsid w:val="5E886462"/>
    <w:multiLevelType w:val="multilevel"/>
    <w:tmpl w:val="5E8864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9">
    <w:nsid w:val="5EAD6DA9"/>
    <w:multiLevelType w:val="multilevel"/>
    <w:tmpl w:val="5EAD6DA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0">
    <w:nsid w:val="5F89C9A7"/>
    <w:multiLevelType w:val="multilevel"/>
    <w:tmpl w:val="5F89C9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1">
    <w:nsid w:val="5FEE7BAD"/>
    <w:multiLevelType w:val="multilevel"/>
    <w:tmpl w:val="5FEE7BAD"/>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2">
    <w:nsid w:val="5FEEE2C1"/>
    <w:multiLevelType w:val="multilevel"/>
    <w:tmpl w:val="5FEEE2C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3">
    <w:nsid w:val="5FF60F1A"/>
    <w:multiLevelType w:val="singleLevel"/>
    <w:tmpl w:val="5FF60F1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4">
    <w:nsid w:val="6014209A"/>
    <w:multiLevelType w:val="multilevel"/>
    <w:tmpl w:val="6014209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63F96BFB"/>
    <w:multiLevelType w:val="multilevel"/>
    <w:tmpl w:val="63F96B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6">
    <w:nsid w:val="66BEA898"/>
    <w:multiLevelType w:val="multilevel"/>
    <w:tmpl w:val="66BEA8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7">
    <w:nsid w:val="685C2D00"/>
    <w:multiLevelType w:val="multilevel"/>
    <w:tmpl w:val="685C2D00"/>
    <w:lvl w:ilvl="0" w:tentative="0">
      <w:start w:val="1"/>
      <w:numFmt w:val="bullet"/>
      <w:lvlText w:val=""/>
      <w:lvlJc w:val="left"/>
      <w:pPr>
        <w:tabs>
          <w:tab w:val="left" w:pos="-1260"/>
        </w:tabs>
        <w:ind w:left="-540" w:hanging="360"/>
      </w:pPr>
      <w:rPr>
        <w:rFonts w:hint="default" w:ascii="Symbol" w:hAnsi="Symbol"/>
      </w:rPr>
    </w:lvl>
    <w:lvl w:ilvl="1" w:tentative="0">
      <w:start w:val="1"/>
      <w:numFmt w:val="bullet"/>
      <w:lvlText w:val="o"/>
      <w:lvlJc w:val="left"/>
      <w:pPr>
        <w:tabs>
          <w:tab w:val="left" w:pos="-1260"/>
        </w:tabs>
        <w:ind w:left="180" w:hanging="360"/>
      </w:pPr>
      <w:rPr>
        <w:rFonts w:hint="default" w:ascii="Courier New" w:hAnsi="Courier New"/>
      </w:rPr>
    </w:lvl>
    <w:lvl w:ilvl="2" w:tentative="0">
      <w:start w:val="1"/>
      <w:numFmt w:val="bullet"/>
      <w:lvlText w:val=""/>
      <w:lvlJc w:val="left"/>
      <w:pPr>
        <w:tabs>
          <w:tab w:val="left" w:pos="-1260"/>
        </w:tabs>
        <w:ind w:left="900" w:hanging="360"/>
      </w:pPr>
      <w:rPr>
        <w:rFonts w:hint="default" w:ascii="Wingdings" w:hAnsi="Wingdings"/>
      </w:rPr>
    </w:lvl>
    <w:lvl w:ilvl="3" w:tentative="0">
      <w:start w:val="1"/>
      <w:numFmt w:val="bullet"/>
      <w:lvlText w:val=""/>
      <w:lvlJc w:val="left"/>
      <w:pPr>
        <w:tabs>
          <w:tab w:val="left" w:pos="-1260"/>
        </w:tabs>
        <w:ind w:left="1620" w:hanging="360"/>
      </w:pPr>
      <w:rPr>
        <w:rFonts w:hint="default" w:ascii="Symbol" w:hAnsi="Symbol"/>
      </w:rPr>
    </w:lvl>
    <w:lvl w:ilvl="4" w:tentative="0">
      <w:start w:val="1"/>
      <w:numFmt w:val="bullet"/>
      <w:lvlText w:val="o"/>
      <w:lvlJc w:val="left"/>
      <w:pPr>
        <w:tabs>
          <w:tab w:val="left" w:pos="-1260"/>
        </w:tabs>
        <w:ind w:left="2340" w:hanging="360"/>
      </w:pPr>
      <w:rPr>
        <w:rFonts w:hint="default" w:ascii="Courier New" w:hAnsi="Courier New"/>
      </w:rPr>
    </w:lvl>
    <w:lvl w:ilvl="5" w:tentative="0">
      <w:start w:val="1"/>
      <w:numFmt w:val="bullet"/>
      <w:lvlText w:val=""/>
      <w:lvlJc w:val="left"/>
      <w:pPr>
        <w:tabs>
          <w:tab w:val="left" w:pos="-1260"/>
        </w:tabs>
        <w:ind w:left="3060" w:hanging="360"/>
      </w:pPr>
      <w:rPr>
        <w:rFonts w:hint="default" w:ascii="Wingdings" w:hAnsi="Wingdings"/>
      </w:rPr>
    </w:lvl>
    <w:lvl w:ilvl="6" w:tentative="0">
      <w:start w:val="1"/>
      <w:numFmt w:val="bullet"/>
      <w:lvlText w:val=""/>
      <w:lvlJc w:val="left"/>
      <w:pPr>
        <w:tabs>
          <w:tab w:val="left" w:pos="-1260"/>
        </w:tabs>
        <w:ind w:left="3780" w:hanging="360"/>
      </w:pPr>
      <w:rPr>
        <w:rFonts w:hint="default" w:ascii="Symbol" w:hAnsi="Symbol"/>
      </w:rPr>
    </w:lvl>
    <w:lvl w:ilvl="7" w:tentative="0">
      <w:start w:val="1"/>
      <w:numFmt w:val="bullet"/>
      <w:lvlText w:val="o"/>
      <w:lvlJc w:val="left"/>
      <w:pPr>
        <w:tabs>
          <w:tab w:val="left" w:pos="-1260"/>
        </w:tabs>
        <w:ind w:left="4500" w:hanging="360"/>
      </w:pPr>
      <w:rPr>
        <w:rFonts w:hint="default" w:ascii="Courier New" w:hAnsi="Courier New"/>
      </w:rPr>
    </w:lvl>
    <w:lvl w:ilvl="8" w:tentative="0">
      <w:start w:val="1"/>
      <w:numFmt w:val="bullet"/>
      <w:lvlText w:val=""/>
      <w:lvlJc w:val="left"/>
      <w:pPr>
        <w:tabs>
          <w:tab w:val="left" w:pos="-1260"/>
        </w:tabs>
        <w:ind w:left="5220" w:hanging="360"/>
      </w:pPr>
      <w:rPr>
        <w:rFonts w:hint="default" w:ascii="Wingdings" w:hAnsi="Wingdings"/>
      </w:rPr>
    </w:lvl>
  </w:abstractNum>
  <w:abstractNum w:abstractNumId="68">
    <w:nsid w:val="70495E01"/>
    <w:multiLevelType w:val="multilevel"/>
    <w:tmpl w:val="70495E0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9">
    <w:nsid w:val="70D868EE"/>
    <w:multiLevelType w:val="multilevel"/>
    <w:tmpl w:val="70D868E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0">
    <w:nsid w:val="745F849C"/>
    <w:multiLevelType w:val="multilevel"/>
    <w:tmpl w:val="745F849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1">
    <w:nsid w:val="74FC285A"/>
    <w:multiLevelType w:val="singleLevel"/>
    <w:tmpl w:val="74FC285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72">
    <w:nsid w:val="755C1AB6"/>
    <w:multiLevelType w:val="multilevel"/>
    <w:tmpl w:val="755C1AB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3">
    <w:nsid w:val="77E026AA"/>
    <w:multiLevelType w:val="multilevel"/>
    <w:tmpl w:val="77E026A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4">
    <w:nsid w:val="7A0C3314"/>
    <w:multiLevelType w:val="multilevel"/>
    <w:tmpl w:val="7A0C331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5">
    <w:nsid w:val="7FD34D92"/>
    <w:multiLevelType w:val="multilevel"/>
    <w:tmpl w:val="7FD34D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35"/>
  </w:num>
  <w:num w:numId="2">
    <w:abstractNumId w:val="44"/>
  </w:num>
  <w:num w:numId="3">
    <w:abstractNumId w:val="40"/>
  </w:num>
  <w:num w:numId="4">
    <w:abstractNumId w:val="53"/>
  </w:num>
  <w:num w:numId="5">
    <w:abstractNumId w:val="50"/>
  </w:num>
  <w:num w:numId="6">
    <w:abstractNumId w:val="48"/>
  </w:num>
  <w:num w:numId="7">
    <w:abstractNumId w:val="13"/>
  </w:num>
  <w:num w:numId="8">
    <w:abstractNumId w:val="26"/>
  </w:num>
  <w:num w:numId="9">
    <w:abstractNumId w:val="69"/>
  </w:num>
  <w:num w:numId="10">
    <w:abstractNumId w:val="73"/>
  </w:num>
  <w:num w:numId="11">
    <w:abstractNumId w:val="19"/>
  </w:num>
  <w:num w:numId="12">
    <w:abstractNumId w:val="64"/>
  </w:num>
  <w:num w:numId="13">
    <w:abstractNumId w:val="47"/>
  </w:num>
  <w:num w:numId="14">
    <w:abstractNumId w:val="12"/>
  </w:num>
  <w:num w:numId="15">
    <w:abstractNumId w:val="68"/>
  </w:num>
  <w:num w:numId="16">
    <w:abstractNumId w:val="17"/>
  </w:num>
  <w:num w:numId="17">
    <w:abstractNumId w:val="59"/>
  </w:num>
  <w:num w:numId="18">
    <w:abstractNumId w:val="58"/>
  </w:num>
  <w:num w:numId="19">
    <w:abstractNumId w:val="24"/>
  </w:num>
  <w:num w:numId="20">
    <w:abstractNumId w:val="30"/>
  </w:num>
  <w:num w:numId="21">
    <w:abstractNumId w:val="57"/>
  </w:num>
  <w:num w:numId="22">
    <w:abstractNumId w:val="49"/>
  </w:num>
  <w:num w:numId="23">
    <w:abstractNumId w:val="34"/>
  </w:num>
  <w:num w:numId="24">
    <w:abstractNumId w:val="14"/>
  </w:num>
  <w:num w:numId="25">
    <w:abstractNumId w:val="10"/>
  </w:num>
  <w:num w:numId="26">
    <w:abstractNumId w:val="25"/>
  </w:num>
  <w:num w:numId="27">
    <w:abstractNumId w:val="23"/>
  </w:num>
  <w:num w:numId="28">
    <w:abstractNumId w:val="20"/>
  </w:num>
  <w:num w:numId="29">
    <w:abstractNumId w:val="9"/>
  </w:num>
  <w:num w:numId="30">
    <w:abstractNumId w:val="18"/>
  </w:num>
  <w:num w:numId="31">
    <w:abstractNumId w:val="31"/>
  </w:num>
  <w:num w:numId="32">
    <w:abstractNumId w:val="72"/>
  </w:num>
  <w:num w:numId="33">
    <w:abstractNumId w:val="62"/>
  </w:num>
  <w:num w:numId="34">
    <w:abstractNumId w:val="22"/>
  </w:num>
  <w:num w:numId="35">
    <w:abstractNumId w:val="54"/>
  </w:num>
  <w:num w:numId="36">
    <w:abstractNumId w:val="56"/>
  </w:num>
  <w:num w:numId="37">
    <w:abstractNumId w:val="70"/>
  </w:num>
  <w:num w:numId="38">
    <w:abstractNumId w:val="21"/>
  </w:num>
  <w:num w:numId="39">
    <w:abstractNumId w:val="67"/>
  </w:num>
  <w:num w:numId="40">
    <w:abstractNumId w:val="66"/>
  </w:num>
  <w:num w:numId="41">
    <w:abstractNumId w:val="29"/>
  </w:num>
  <w:num w:numId="42">
    <w:abstractNumId w:val="55"/>
  </w:num>
  <w:num w:numId="43">
    <w:abstractNumId w:val="42"/>
  </w:num>
  <w:num w:numId="44">
    <w:abstractNumId w:val="15"/>
  </w:num>
  <w:num w:numId="45">
    <w:abstractNumId w:val="75"/>
  </w:num>
  <w:num w:numId="46">
    <w:abstractNumId w:val="33"/>
  </w:num>
  <w:num w:numId="47">
    <w:abstractNumId w:val="43"/>
  </w:num>
  <w:num w:numId="48">
    <w:abstractNumId w:val="38"/>
  </w:num>
  <w:num w:numId="49">
    <w:abstractNumId w:val="74"/>
  </w:num>
  <w:num w:numId="50">
    <w:abstractNumId w:val="65"/>
  </w:num>
  <w:num w:numId="51">
    <w:abstractNumId w:val="11"/>
  </w:num>
  <w:num w:numId="52">
    <w:abstractNumId w:val="46"/>
  </w:num>
  <w:num w:numId="53">
    <w:abstractNumId w:val="3"/>
  </w:num>
  <w:num w:numId="54">
    <w:abstractNumId w:val="32"/>
  </w:num>
  <w:num w:numId="55">
    <w:abstractNumId w:val="60"/>
  </w:num>
  <w:num w:numId="56">
    <w:abstractNumId w:val="37"/>
  </w:num>
  <w:num w:numId="57">
    <w:abstractNumId w:val="28"/>
  </w:num>
  <w:num w:numId="58">
    <w:abstractNumId w:val="27"/>
  </w:num>
  <w:num w:numId="59">
    <w:abstractNumId w:val="39"/>
  </w:num>
  <w:num w:numId="60">
    <w:abstractNumId w:val="51"/>
  </w:num>
  <w:num w:numId="61">
    <w:abstractNumId w:val="36"/>
  </w:num>
  <w:num w:numId="62">
    <w:abstractNumId w:val="16"/>
  </w:num>
  <w:num w:numId="63">
    <w:abstractNumId w:val="45"/>
  </w:num>
  <w:num w:numId="64">
    <w:abstractNumId w:val="61"/>
  </w:num>
  <w:num w:numId="65">
    <w:abstractNumId w:val="8"/>
  </w:num>
  <w:num w:numId="66">
    <w:abstractNumId w:val="1"/>
  </w:num>
  <w:num w:numId="67">
    <w:abstractNumId w:val="52"/>
  </w:num>
  <w:num w:numId="68">
    <w:abstractNumId w:val="5"/>
  </w:num>
  <w:num w:numId="69">
    <w:abstractNumId w:val="41"/>
  </w:num>
  <w:num w:numId="70">
    <w:abstractNumId w:val="63"/>
  </w:num>
  <w:num w:numId="71">
    <w:abstractNumId w:val="4"/>
  </w:num>
  <w:num w:numId="72">
    <w:abstractNumId w:val="71"/>
  </w:num>
  <w:num w:numId="73">
    <w:abstractNumId w:val="7"/>
  </w:num>
  <w:num w:numId="74">
    <w:abstractNumId w:val="6"/>
  </w:num>
  <w:num w:numId="75">
    <w:abstractNumId w:val="2"/>
  </w:num>
  <w:num w:numId="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4B4"/>
    <w:rsid w:val="0004AD3C"/>
    <w:rsid w:val="000C3BEC"/>
    <w:rsid w:val="0015283F"/>
    <w:rsid w:val="001A6CC7"/>
    <w:rsid w:val="00334C35"/>
    <w:rsid w:val="009A7D7E"/>
    <w:rsid w:val="00A674B4"/>
    <w:rsid w:val="00C0163C"/>
    <w:rsid w:val="00F4233A"/>
    <w:rsid w:val="00F64023"/>
    <w:rsid w:val="01BFE36E"/>
    <w:rsid w:val="036BCBB2"/>
    <w:rsid w:val="03F5D59A"/>
    <w:rsid w:val="048A1031"/>
    <w:rsid w:val="054AADF6"/>
    <w:rsid w:val="056618D2"/>
    <w:rsid w:val="05DA2BA5"/>
    <w:rsid w:val="06216321"/>
    <w:rsid w:val="0727CB2B"/>
    <w:rsid w:val="07AF3984"/>
    <w:rsid w:val="08BEC4A9"/>
    <w:rsid w:val="09E443D3"/>
    <w:rsid w:val="0A235294"/>
    <w:rsid w:val="0A2F7160"/>
    <w:rsid w:val="0A837499"/>
    <w:rsid w:val="0AE514E5"/>
    <w:rsid w:val="0B17B0AB"/>
    <w:rsid w:val="0C43F120"/>
    <w:rsid w:val="0D3460C1"/>
    <w:rsid w:val="0DB3902D"/>
    <w:rsid w:val="0DB81E7C"/>
    <w:rsid w:val="0E190838"/>
    <w:rsid w:val="0F1E6AC4"/>
    <w:rsid w:val="0F5E7BF1"/>
    <w:rsid w:val="10D3588C"/>
    <w:rsid w:val="1112D6A2"/>
    <w:rsid w:val="135565D9"/>
    <w:rsid w:val="13AC85E7"/>
    <w:rsid w:val="146DCDB0"/>
    <w:rsid w:val="1482CE81"/>
    <w:rsid w:val="14DE1867"/>
    <w:rsid w:val="160F0F08"/>
    <w:rsid w:val="1648FDF1"/>
    <w:rsid w:val="168636C0"/>
    <w:rsid w:val="16878652"/>
    <w:rsid w:val="16B4149D"/>
    <w:rsid w:val="17BE09FD"/>
    <w:rsid w:val="18FDE1D1"/>
    <w:rsid w:val="197D6586"/>
    <w:rsid w:val="19CE6B6A"/>
    <w:rsid w:val="1A96A129"/>
    <w:rsid w:val="1AD9747E"/>
    <w:rsid w:val="1B3A2407"/>
    <w:rsid w:val="1BF3F817"/>
    <w:rsid w:val="1C519AC7"/>
    <w:rsid w:val="1C8F054B"/>
    <w:rsid w:val="1CB70E70"/>
    <w:rsid w:val="1EA6062C"/>
    <w:rsid w:val="1ED0281A"/>
    <w:rsid w:val="1EF44DEA"/>
    <w:rsid w:val="1F9B29C1"/>
    <w:rsid w:val="201F8CDA"/>
    <w:rsid w:val="202C67AA"/>
    <w:rsid w:val="209A166D"/>
    <w:rsid w:val="20E9F165"/>
    <w:rsid w:val="2195210B"/>
    <w:rsid w:val="226D845F"/>
    <w:rsid w:val="22B40544"/>
    <w:rsid w:val="240E2C60"/>
    <w:rsid w:val="24DDDFA8"/>
    <w:rsid w:val="25334677"/>
    <w:rsid w:val="2735D7A2"/>
    <w:rsid w:val="27427B82"/>
    <w:rsid w:val="27724BCF"/>
    <w:rsid w:val="29764490"/>
    <w:rsid w:val="2A051699"/>
    <w:rsid w:val="2A9134A0"/>
    <w:rsid w:val="2B3194B8"/>
    <w:rsid w:val="2B77D939"/>
    <w:rsid w:val="2BCE2C62"/>
    <w:rsid w:val="2BE1D4C2"/>
    <w:rsid w:val="2DEC25FA"/>
    <w:rsid w:val="2E6EE589"/>
    <w:rsid w:val="2E7DB201"/>
    <w:rsid w:val="2EFDF01C"/>
    <w:rsid w:val="2F067A97"/>
    <w:rsid w:val="2F5D2ED0"/>
    <w:rsid w:val="3139AF39"/>
    <w:rsid w:val="321EA989"/>
    <w:rsid w:val="322EABEA"/>
    <w:rsid w:val="3319510C"/>
    <w:rsid w:val="3453E5F1"/>
    <w:rsid w:val="350CFF76"/>
    <w:rsid w:val="363840EA"/>
    <w:rsid w:val="37BE7C44"/>
    <w:rsid w:val="38612674"/>
    <w:rsid w:val="39400A5C"/>
    <w:rsid w:val="39DBD6F0"/>
    <w:rsid w:val="3A4ACBB6"/>
    <w:rsid w:val="3C6B91AB"/>
    <w:rsid w:val="3C8E2ADF"/>
    <w:rsid w:val="3D51A107"/>
    <w:rsid w:val="3D892DC2"/>
    <w:rsid w:val="3DD48B15"/>
    <w:rsid w:val="3EDF8EF7"/>
    <w:rsid w:val="3EF0E0C2"/>
    <w:rsid w:val="3F5B9457"/>
    <w:rsid w:val="3F931CE4"/>
    <w:rsid w:val="3FE6CB5E"/>
    <w:rsid w:val="3FFED2E4"/>
    <w:rsid w:val="407B31DC"/>
    <w:rsid w:val="411BB6DB"/>
    <w:rsid w:val="42B6D255"/>
    <w:rsid w:val="42DFDBA0"/>
    <w:rsid w:val="42FE9440"/>
    <w:rsid w:val="43E91306"/>
    <w:rsid w:val="442C6F72"/>
    <w:rsid w:val="45FEFA7F"/>
    <w:rsid w:val="461B1D0D"/>
    <w:rsid w:val="46FDBB20"/>
    <w:rsid w:val="4701191B"/>
    <w:rsid w:val="4718476F"/>
    <w:rsid w:val="4783DF1B"/>
    <w:rsid w:val="47DAD9F7"/>
    <w:rsid w:val="4972C122"/>
    <w:rsid w:val="4A236ABB"/>
    <w:rsid w:val="4ABEBE4F"/>
    <w:rsid w:val="4ADAD056"/>
    <w:rsid w:val="4AF91E3C"/>
    <w:rsid w:val="4B99997C"/>
    <w:rsid w:val="4BD6FEE3"/>
    <w:rsid w:val="4BDD15CC"/>
    <w:rsid w:val="4C335670"/>
    <w:rsid w:val="4CFBF8A1"/>
    <w:rsid w:val="4D0816E1"/>
    <w:rsid w:val="4EEA43AA"/>
    <w:rsid w:val="4F2100F8"/>
    <w:rsid w:val="50047D7E"/>
    <w:rsid w:val="538E5705"/>
    <w:rsid w:val="548013FB"/>
    <w:rsid w:val="54AD4A35"/>
    <w:rsid w:val="55120402"/>
    <w:rsid w:val="5615F22B"/>
    <w:rsid w:val="561E1E49"/>
    <w:rsid w:val="567127AD"/>
    <w:rsid w:val="57D5FED7"/>
    <w:rsid w:val="58B18A80"/>
    <w:rsid w:val="59916B82"/>
    <w:rsid w:val="59AE19E3"/>
    <w:rsid w:val="5A700C00"/>
    <w:rsid w:val="5B94C6A9"/>
    <w:rsid w:val="5BA29349"/>
    <w:rsid w:val="5BD169B7"/>
    <w:rsid w:val="5CEAF9A9"/>
    <w:rsid w:val="5DB2D393"/>
    <w:rsid w:val="5EBAE968"/>
    <w:rsid w:val="5ED7391C"/>
    <w:rsid w:val="5F659EC3"/>
    <w:rsid w:val="5F80D3E9"/>
    <w:rsid w:val="60B0577A"/>
    <w:rsid w:val="60CBD085"/>
    <w:rsid w:val="626DD18E"/>
    <w:rsid w:val="62B736E2"/>
    <w:rsid w:val="63EEDF02"/>
    <w:rsid w:val="642BC981"/>
    <w:rsid w:val="643DF5D3"/>
    <w:rsid w:val="655CBFB8"/>
    <w:rsid w:val="65812723"/>
    <w:rsid w:val="670A2C96"/>
    <w:rsid w:val="6757EE91"/>
    <w:rsid w:val="67BFF5F9"/>
    <w:rsid w:val="68325826"/>
    <w:rsid w:val="6B18BB93"/>
    <w:rsid w:val="6C085794"/>
    <w:rsid w:val="6DEBDCBD"/>
    <w:rsid w:val="6E060373"/>
    <w:rsid w:val="6EAF1340"/>
    <w:rsid w:val="6F013D68"/>
    <w:rsid w:val="6F7A5AC3"/>
    <w:rsid w:val="704756E7"/>
    <w:rsid w:val="70C2B2FE"/>
    <w:rsid w:val="70E1569F"/>
    <w:rsid w:val="712720E3"/>
    <w:rsid w:val="72060856"/>
    <w:rsid w:val="728B792F"/>
    <w:rsid w:val="7355A84D"/>
    <w:rsid w:val="736AAB30"/>
    <w:rsid w:val="7475DEE3"/>
    <w:rsid w:val="748FFFB9"/>
    <w:rsid w:val="753E21A5"/>
    <w:rsid w:val="75C673AB"/>
    <w:rsid w:val="760EB930"/>
    <w:rsid w:val="762332A5"/>
    <w:rsid w:val="7648179F"/>
    <w:rsid w:val="76D8DE25"/>
    <w:rsid w:val="76DBAFBA"/>
    <w:rsid w:val="76DE4D20"/>
    <w:rsid w:val="76E63E12"/>
    <w:rsid w:val="79729A76"/>
    <w:rsid w:val="79A92163"/>
    <w:rsid w:val="7A7FDAE8"/>
    <w:rsid w:val="7C20778C"/>
    <w:rsid w:val="7C21F55A"/>
    <w:rsid w:val="7CA9BEC7"/>
    <w:rsid w:val="7CBFC985"/>
    <w:rsid w:val="7D164B6D"/>
    <w:rsid w:val="7EDF732B"/>
    <w:rsid w:val="7F2B537D"/>
    <w:rsid w:val="9C598190"/>
    <w:rsid w:val="AAB72B8B"/>
    <w:rsid w:val="BF7ED912"/>
    <w:rsid w:val="BF9F7785"/>
    <w:rsid w:val="D6FF89E4"/>
    <w:rsid w:val="D77F935D"/>
    <w:rsid w:val="E6F98074"/>
    <w:rsid w:val="E719E092"/>
    <w:rsid w:val="EBFBD9DB"/>
    <w:rsid w:val="EF291419"/>
    <w:rsid w:val="FD7372AE"/>
    <w:rsid w:val="FDBFD289"/>
    <w:rsid w:val="FF937598"/>
    <w:rsid w:val="FFE5CEF9"/>
    <w:rsid w:val="FFFBC32D"/>
    <w:rsid w:val="FFFF50EF"/>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t-BR"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0"/>
    <w:rPr>
      <w:b/>
      <w:bCs/>
    </w:rPr>
  </w:style>
  <w:style w:type="paragraph" w:styleId="19">
    <w:name w:val="Subtitle"/>
    <w:basedOn w:val="1"/>
    <w:next w:val="1"/>
    <w:link w:val="3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unhideWhenUsed/>
    <w:qFormat/>
    <w:uiPriority w:val="39"/>
    <w:pPr>
      <w:spacing w:after="100"/>
    </w:pPr>
  </w:style>
  <w:style w:type="paragraph" w:styleId="23">
    <w:name w:val="toc 2"/>
    <w:basedOn w:val="1"/>
    <w:next w:val="1"/>
    <w:unhideWhenUsed/>
    <w:qFormat/>
    <w:uiPriority w:val="39"/>
    <w:pPr>
      <w:spacing w:after="100"/>
      <w:ind w:left="240"/>
    </w:pPr>
    <w:rPr>
      <w:rFonts w:ascii="Arial" w:hAnsi="Arial" w:eastAsiaTheme="minorEastAsia"/>
      <w:sz w:val="22"/>
    </w:rPr>
  </w:style>
  <w:style w:type="paragraph" w:styleId="24">
    <w:name w:val="toc 3"/>
    <w:basedOn w:val="1"/>
    <w:next w:val="1"/>
    <w:semiHidden/>
    <w:unhideWhenUsed/>
    <w:qFormat/>
    <w:uiPriority w:val="39"/>
    <w:pPr>
      <w:ind w:left="840" w:leftChars="400"/>
    </w:pPr>
  </w:style>
  <w:style w:type="paragraph" w:customStyle="1" w:styleId="25">
    <w:name w:val="Titulo1"/>
    <w:basedOn w:val="2"/>
    <w:next w:val="2"/>
    <w:qFormat/>
    <w:uiPriority w:val="0"/>
    <w:pPr>
      <w:numPr>
        <w:ilvl w:val="0"/>
        <w:numId w:val="1"/>
      </w:numPr>
      <w:spacing w:before="160"/>
      <w:ind w:left="720" w:hanging="360"/>
      <w:outlineLvl w:val="1"/>
    </w:pPr>
    <w:rPr>
      <w:rFonts w:ascii="Arial" w:hAnsi="Arial" w:cs="Arial"/>
      <w:color w:val="auto"/>
      <w:sz w:val="36"/>
      <w:szCs w:val="28"/>
      <w:lang w:val="zh-CN"/>
    </w:rPr>
  </w:style>
  <w:style w:type="paragraph" w:customStyle="1" w:styleId="26">
    <w:name w:val="Titulo2"/>
    <w:basedOn w:val="3"/>
    <w:next w:val="3"/>
    <w:link w:val="46"/>
    <w:qFormat/>
    <w:uiPriority w:val="0"/>
    <w:pPr>
      <w:numPr>
        <w:ilvl w:val="0"/>
        <w:numId w:val="1"/>
      </w:numPr>
      <w:ind w:left="720" w:hanging="360"/>
    </w:pPr>
    <w:rPr>
      <w:rFonts w:ascii="Arial" w:hAnsi="Arial" w:cs="Arial"/>
      <w:color w:val="auto"/>
      <w:sz w:val="28"/>
      <w:szCs w:val="28"/>
      <w:lang w:val="zh-CN"/>
    </w:rPr>
  </w:style>
  <w:style w:type="character" w:customStyle="1" w:styleId="27">
    <w:name w:val="Título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8">
    <w:name w:val="Título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9">
    <w:name w:val="Título 3 Char"/>
    <w:basedOn w:val="11"/>
    <w:link w:val="4"/>
    <w:semiHidden/>
    <w:qFormat/>
    <w:uiPriority w:val="9"/>
    <w:rPr>
      <w:rFonts w:eastAsiaTheme="majorEastAsia" w:cstheme="majorBidi"/>
      <w:color w:val="104862" w:themeColor="accent1" w:themeShade="BF"/>
      <w:sz w:val="28"/>
      <w:szCs w:val="28"/>
    </w:rPr>
  </w:style>
  <w:style w:type="character" w:customStyle="1" w:styleId="30">
    <w:name w:val="Título 4 Char"/>
    <w:basedOn w:val="11"/>
    <w:link w:val="5"/>
    <w:semiHidden/>
    <w:uiPriority w:val="9"/>
    <w:rPr>
      <w:rFonts w:eastAsiaTheme="majorEastAsia" w:cstheme="majorBidi"/>
      <w:i/>
      <w:iCs/>
      <w:color w:val="104862" w:themeColor="accent1" w:themeShade="BF"/>
    </w:rPr>
  </w:style>
  <w:style w:type="character" w:customStyle="1" w:styleId="31">
    <w:name w:val="Título 5 Char"/>
    <w:basedOn w:val="11"/>
    <w:link w:val="6"/>
    <w:semiHidden/>
    <w:qFormat/>
    <w:uiPriority w:val="9"/>
    <w:rPr>
      <w:rFonts w:eastAsiaTheme="majorEastAsia" w:cstheme="majorBidi"/>
      <w:color w:val="104862" w:themeColor="accent1" w:themeShade="BF"/>
    </w:rPr>
  </w:style>
  <w:style w:type="character" w:customStyle="1" w:styleId="32">
    <w:name w:val="Título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Título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Título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Título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ítulo Char"/>
    <w:basedOn w:val="11"/>
    <w:link w:val="21"/>
    <w:qFormat/>
    <w:uiPriority w:val="10"/>
    <w:rPr>
      <w:rFonts w:asciiTheme="majorHAnsi" w:hAnsiTheme="majorHAnsi" w:eastAsiaTheme="majorEastAsia" w:cstheme="majorBidi"/>
      <w:spacing w:val="-10"/>
      <w:kern w:val="28"/>
      <w:sz w:val="56"/>
      <w:szCs w:val="56"/>
    </w:rPr>
  </w:style>
  <w:style w:type="character" w:customStyle="1" w:styleId="37">
    <w:name w:val="Subtítulo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Citação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Citação Intensa Char"/>
    <w:basedOn w:val="11"/>
    <w:link w:val="42"/>
    <w:qFormat/>
    <w:uiPriority w:val="30"/>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paragraph" w:customStyle="1" w:styleId="45">
    <w:name w:val="TOC Heading"/>
    <w:basedOn w:val="2"/>
    <w:next w:val="1"/>
    <w:unhideWhenUsed/>
    <w:qFormat/>
    <w:uiPriority w:val="39"/>
    <w:pPr>
      <w:spacing w:before="240" w:after="0" w:line="259" w:lineRule="auto"/>
      <w:outlineLvl w:val="9"/>
    </w:pPr>
    <w:rPr>
      <w:kern w:val="0"/>
      <w:sz w:val="32"/>
      <w:szCs w:val="32"/>
      <w:lang w:eastAsia="pt-BR"/>
      <w14:ligatures w14:val="none"/>
    </w:rPr>
  </w:style>
  <w:style w:type="character" w:customStyle="1" w:styleId="46">
    <w:name w:val="Titulo2 Char"/>
    <w:link w:val="26"/>
    <w:qFormat/>
    <w:uiPriority w:val="0"/>
    <w:rPr>
      <w:rFonts w:ascii="Arial" w:hAnsi="Arial" w:cs="Arial"/>
      <w:color w:val="auto"/>
      <w:sz w:val="28"/>
      <w:szCs w:val="28"/>
      <w:lang w:val="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Daniel Huanca Gutierrez</dc:creator>
  <cp:lastModifiedBy>ingrid</cp:lastModifiedBy>
  <dcterms:modified xsi:type="dcterms:W3CDTF">2026-01-09T13:40:10Z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