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Guía y Checklist Documental</w:t>
      </w:r>
    </w:p>
    <w:p>
      <w:pPr>
        <w:spacing w:after="100"/>
      </w:pPr>
      <w:r>
        <w:rPr>
          <w:i/>
          <w:iCs/>
          <w:color w:val="595959"/>
          <w:sz w:val="24"/>
          <w:szCs w:val="24"/>
        </w:rPr>
        <w:t xml:space="preserve">Para iniciar y documentar un proyecto nuevo (independiente de Portabilidad ISSSTE-IMSS)</w:t>
      </w:r>
    </w:p>
    <w:p>
      <w:pPr>
        <w:pBdr>
          <w:bottom w:val="single" w:color="1F3864" w:sz="8" w:space="8"/>
        </w:pBdr>
        <w:spacing w:after="300"/>
      </w:pPr>
      <w:r>
        <w:rPr>
          <w:color w:val="595959"/>
          <w:sz w:val="20"/>
          <w:szCs w:val="20"/>
        </w:rPr>
        <w:t xml:space="preserve">Four Js Development Tools Latinoamérica · Carlos Quintero N.</w:t>
      </w:r>
    </w:p>
    <w:p>
      <w:pPr>
        <w:pStyle w:val="Heading1"/>
        <w:spacing w:after="150" w:before="300"/>
      </w:pPr>
      <w:r>
        <w:t xml:space="preserve">1. Documentos organizacionales (una sola vez, no por proyecto)</w:t>
      </w:r>
    </w:p>
    <w:p>
      <w:pPr>
        <w:spacing w:after="120"/>
      </w:pPr>
      <w:r>
        <w:t xml:space="preserve">Estos documentos ya existen a nivel Four Js. No los regeneres para cada proyecto nuevo — solo reutilízalos y avísame si ya los tienes disponibles.</w:t>
      </w:r>
    </w:p>
    <w:p>
      <w:pPr>
        <w:pStyle w:val="Heading2"/>
        <w:spacing w:after="120" w:before="250"/>
      </w:pPr>
      <w:r>
        <w:t xml:space="preserve">Gobernanza documental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DZ-Gestión del repositorio documental del SGCP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FT-Procedimiento (meta-plantilla base de todos los procedimientos)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DZ-Plan de gestión de la configuración</w:t>
      </w:r>
    </w:p>
    <w:p>
      <w:pPr>
        <w:pStyle w:val="Heading2"/>
        <w:spacing w:after="120" w:before="250"/>
      </w:pPr>
      <w:r>
        <w:t xml:space="preserve">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FT-FODA del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FT-Plan estratégico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FT-Funciograma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DZ-Plan de mediciones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FT-Incentivos y consecuencias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FT-Matriz de competencia y DNC (organizacional)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Presupuesto anual</w:t>
      </w:r>
    </w:p>
    <w:p>
      <w:pPr>
        <w:pStyle w:val="Heading2"/>
        <w:spacing w:after="120" w:before="250"/>
      </w:pPr>
      <w:r>
        <w:t xml:space="preserve">Auditoría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DZ-Plan de auditorías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PR-Auditorías a procesos</w:t>
      </w:r>
    </w:p>
    <w:p>
      <w:pPr>
        <w:shd w:fill="DCE6F1" w:val="clear"/>
        <w:spacing w:after="200" w:before="100"/>
      </w:pPr>
      <w:r>
        <w:rPr>
          <w:b/>
          <w:bCs/>
        </w:rPr>
        <w:t xml:space="preserve">Cómo pedírmelo la primera vez: </w:t>
      </w:r>
      <w:r>
        <w:rPr>
          <w:i/>
          <w:iCs/>
        </w:rPr>
        <w:t xml:space="preserve">“Este es nuestro primer proyecto juntos. Aquí están los documentos organizacionales de Four Js que ya existen [súbelos]. Para el resto, dime si ya tenemos algo o hay que crearlo.”</w:t>
      </w:r>
    </w:p>
    <w:p>
      <w:pPr>
        <w:pStyle w:val="Heading1"/>
        <w:spacing w:after="150" w:before="300"/>
      </w:pPr>
      <w:r>
        <w:t xml:space="preserve">2. Orden de documentos específicos del proyecto</w:t>
      </w:r>
    </w:p>
    <w:p>
      <w:pPr>
        <w:spacing w:after="120"/>
      </w:pPr>
      <w:r>
        <w:t xml:space="preserve">Cada fase alimenta a la siguiente. Genera los documentos en este orden para que la información fluya sin huecos de trazabilidad.</w:t>
      </w:r>
    </w:p>
    <w:p>
      <w:pPr>
        <w:pStyle w:val="Heading2"/>
        <w:spacing w:after="120" w:before="250"/>
      </w:pPr>
      <w:r>
        <w:t xml:space="preserve">Fase 1 — Arranque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FT-Enunciado de trabajo (SOW) — alcance, cliente, objetivos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RG-Estimación con puntos de casos de uso + PMO-Estimación de costos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FT-Plan de proyecto (hitos, plan de comunicación, entregables)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FT-Kickoff del proyecto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FT-Cronograma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FT-Matriz de riesgos y oportunidades</w:t>
      </w:r>
    </w:p>
    <w:p>
      <w:pPr>
        <w:pStyle w:val="Heading2"/>
        <w:spacing w:after="120" w:before="250"/>
      </w:pPr>
      <w:r>
        <w:t xml:space="preserve">Fase 2 — Requisitos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FT-Especificación de requisitos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FT-Validación de requisitos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FT-Matriz de trazabilidad (se abre aquí, se completa después)</w:t>
      </w:r>
    </w:p>
    <w:p>
      <w:pPr>
        <w:pStyle w:val="Heading2"/>
        <w:spacing w:after="120" w:before="250"/>
      </w:pPr>
      <w:r>
        <w:t xml:space="preserve">Fase 3 — Diseño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FT-Diseño de software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FT-Manual de usuario / mantenimiento / operaciones (borrador inicial)</w:t>
      </w:r>
    </w:p>
    <w:p>
      <w:pPr>
        <w:pStyle w:val="Heading2"/>
        <w:spacing w:after="120" w:before="250"/>
      </w:pPr>
      <w:r>
        <w:t xml:space="preserve">Fase 4 — Construcción y pruebas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FT-Estrategia de integración, FT-Estándar de codificación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FT-Casos de prueba, FT-Gestión de pruebas, FT-Reporte de pruebas unitarias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FT-Gestión de incidencias (según surjan defectos reales)</w:t>
      </w:r>
    </w:p>
    <w:p>
      <w:pPr>
        <w:pStyle w:val="Heading2"/>
        <w:spacing w:after="120" w:before="250"/>
      </w:pPr>
      <w:r>
        <w:t xml:space="preserve">Fase 5 — Revisión por pares (transversal)</w:t>
      </w:r>
    </w:p>
    <w:p>
      <w:pPr>
        <w:spacing w:after="120"/>
      </w:pPr>
      <w:r>
        <w:t xml:space="preserve">Aplica sobre cada entregable de las fases anteriores, no en una fecha fija. “Artefacto” significa aquí el entregable concreto que se está revisando — cada uno tiene su propio FT-RXP_*: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FT-RXP_especificación_de_requisitos — revisa el documento de especificación de requisitos (Fase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FT-RXP_diseño_de_software — revisa el documento de diseño de software (Fase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FT-RXP_código — revisa el código fuente construido (Fase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FT-RXP_gestión_de_pruebas — revisa el documento de gestión de pruebas (Fase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FT-RXP_manual_de_usuario — revisa el manual de usuario (Fase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FT-RXP_manuales_técnicos — revisa los manuales de mantenimiento y operaciones (Fase 3)</w:t>
      </w:r>
    </w:p>
    <w:p>
      <w:pPr>
        <w:shd w:fill="DCE6F1" w:val="clear"/>
        <w:spacing w:after="100" w:before="60"/>
      </w:pPr>
      <w:r>
        <w:rPr>
          <w:b/>
          <w:bCs/>
        </w:rPr>
        <w:t xml:space="preserve">Ejemplo: </w:t>
      </w:r>
      <w:r>
        <w:rPr>
          <w:i/>
          <w:iCs/>
        </w:rPr>
        <w:t xml:space="preserve">cuando termines FT-Diseño de software, pide “revisa este diseño por pares” y genero FT-RXP_diseño_de_software con los criterios de esa revisión — no un solo FT-RXP genérico para todo el proyecto.</w:t>
      </w:r>
    </w:p>
    <w:p>
      <w:pPr>
        <w:pStyle w:val="Heading2"/>
        <w:spacing w:after="120" w:before="250"/>
      </w:pPr>
      <w:r>
        <w:t xml:space="preserve">Fase 6 — Cambios y decisiones (según ocurran)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FT-Solicitud de cambios → FT-Concentrado de cambios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RG-Análisis para toma de decisiones (al elegir entre alternativas)</w:t>
      </w:r>
    </w:p>
    <w:p>
      <w:pPr>
        <w:pStyle w:val="Heading2"/>
        <w:spacing w:after="120" w:before="250"/>
      </w:pPr>
      <w:r>
        <w:t xml:space="preserve">Fase 7 — Cierre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Minuta de lecciones aprendidas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Informe de cierre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Formulario de entrega firmado</w:t>
      </w:r>
    </w:p>
    <w:p>
      <w:pPr>
        <w:pStyle w:val="Heading2"/>
        <w:spacing w:after="120" w:before="250"/>
      </w:pPr>
      <w:r>
        <w:t xml:space="preserve">Transversales / periódicos</w:t>
      </w:r>
    </w:p>
    <w:p>
      <w:pPr>
        <w:spacing w:after="120"/>
      </w:pPr>
      <w:r>
        <w:t xml:space="preserve">No siguen el orden anterior — se disparan por calendario o evento: capacitación, mejoras, evaluación de procesos, auditorías de proyecto.</w:t>
      </w:r>
    </w:p>
    <w:p>
      <w:pPr>
        <w:pStyle w:val="Heading1"/>
        <w:spacing w:after="150" w:before="300"/>
      </w:pPr>
      <w:r>
        <w:t xml:space="preserve">3. Cómo pedírmelo para que fluya mejor</w:t>
      </w:r>
    </w:p>
    <w:p>
      <w:pPr>
        <w:pStyle w:val="Heading2"/>
        <w:spacing w:after="120" w:before="250"/>
      </w:pPr>
      <w:r>
        <w:t xml:space="preserve">A. Dame el “paquete de hechos” del proyecto una sola vez, al inicio</w:t>
      </w:r>
    </w:p>
    <w:p>
      <w:pPr>
        <w:shd w:fill="DCE6F1" w:val="clear"/>
        <w:spacing w:after="100" w:before="60"/>
      </w:pPr>
      <w:r>
        <w:rPr>
          <w:i/>
          <w:iCs/>
        </w:rPr>
        <w:t xml:space="preserve">“Nuevo proyecto: [nombre], cliente: [nombre], equipo: [nombres y roles], tecnología: [stack], fechas: [inicio/fin], tarifa: [monto]. Usa esto como base para todo lo que generemos.”</w:t>
      </w:r>
    </w:p>
    <w:p>
      <w:pPr>
        <w:spacing w:after="120"/>
      </w:pPr>
      <w:r>
        <w:t xml:space="preserve">Esto evita que tenga que inventar o adivinar datos repetidamente — causa principal de inconsistencias de nombres y fechas.</w:t>
      </w:r>
    </w:p>
    <w:p>
      <w:pPr>
        <w:pStyle w:val="Heading2"/>
        <w:spacing w:after="120" w:before="250"/>
      </w:pPr>
      <w:r>
        <w:t xml:space="preserve">B. Aclara si un archivo es plantilla en blanco o evidencia real ya trabajada</w:t>
      </w:r>
    </w:p>
    <w:p>
      <w:pPr>
        <w:spacing w:after="100"/>
      </w:pPr>
      <w:r>
        <w:rPr>
          <w:b/>
          <w:bCs/>
          <w:i/>
          <w:iCs/>
        </w:rPr>
        <w:t xml:space="preserve">“Este es el archivo en blanco, complétalo”</w:t>
      </w:r>
      <w:r>
        <w:t xml:space="preserve">  vs.  </w:t>
      </w:r>
      <w:r>
        <w:rPr>
          <w:b/>
          <w:bCs/>
          <w:i/>
          <w:iCs/>
        </w:rPr>
        <w:t xml:space="preserve">“Este ya lo trabajé yo / ya se revisó con [persona], tómalo como base, solo ajusta si hace falta.”</w:t>
      </w:r>
    </w:p>
    <w:p>
      <w:pPr>
        <w:spacing w:after="120"/>
      </w:pPr>
      <w:r>
        <w:t xml:space="preserve">Evita duplicados y reprocesamiento innecesario.</w:t>
      </w:r>
    </w:p>
    <w:p>
      <w:pPr>
        <w:pStyle w:val="Heading2"/>
        <w:spacing w:after="120" w:before="250"/>
      </w:pPr>
      <w:r>
        <w:t xml:space="preserve">C. Para bloques nuevos y grandes, pide “documento por documento”</w:t>
      </w:r>
    </w:p>
    <w:p>
      <w:pPr>
        <w:shd w:fill="DCE6F1" w:val="clear"/>
        <w:spacing w:after="100" w:before="60"/>
      </w:pPr>
      <w:r>
        <w:rPr>
          <w:i/>
          <w:iCs/>
        </w:rPr>
        <w:t xml:space="preserve">“Sube estos 10, trabájalos uno por uno y muéstrame cada uno antes de seguir con el siguiente.”</w:t>
      </w:r>
    </w:p>
    <w:p>
      <w:pPr>
        <w:pStyle w:val="Heading2"/>
        <w:spacing w:after="120" w:before="250"/>
      </w:pPr>
      <w:r>
        <w:t xml:space="preserve">D. Para completar/corregir archivos que ya tienen estructura, pide lote completo</w:t>
      </w:r>
    </w:p>
    <w:p>
      <w:pPr>
        <w:shd w:fill="DCE6F1" w:val="clear"/>
        <w:spacing w:after="100" w:before="60"/>
      </w:pPr>
      <w:r>
        <w:rPr>
          <w:i/>
          <w:iCs/>
        </w:rPr>
        <w:t xml:space="preserve">“Aquí están los 5 de este bloque, complétalos todos con datos reales coherentes y muéstramelos al final.”</w:t>
      </w:r>
    </w:p>
    <w:p>
      <w:pPr>
        <w:pStyle w:val="Heading2"/>
        <w:spacing w:after="120" w:before="250"/>
      </w:pPr>
      <w:r>
        <w:t xml:space="preserve">E. Pide una revisión de consistencia acotada al cerrar cada bloque grande</w:t>
      </w:r>
    </w:p>
    <w:p>
      <w:pPr>
        <w:spacing w:after="120"/>
      </w:pPr>
      <w:r>
        <w:t xml:space="preserve">No esperes al final de todo el proyecto — evita que los hallazgos se acumulen y facilita corregir sobre la marcha.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4. Apéndice — Correspondencia con Portabilidad ISSSTE-IMSS</w:t>
      </w:r>
    </w:p>
    <w:p>
      <w:pPr>
        <w:spacing w:after="120"/>
      </w:pPr>
      <w:r>
        <w:t xml:space="preserve">Ejemplo de cómo se ve esta guía aplicada a un proyecto real. Cada documento real usa el mismo nombre genérico de la sección 1–3, numerado en el orden en que se generó dentro de su sección.</w:t>
      </w:r>
    </w:p>
    <w:p>
      <w:pPr>
        <w:pStyle w:val="Heading2"/>
        <w:spacing w:after="120" w:before="250"/>
      </w:pPr>
      <w:r>
        <w:t xml:space="preserve">Organizacionales (base reutilizable, sin orden de fase)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DZ-Gestión del repositorio documental del SGCP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FT-Procedimiento (meta-plantilla)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DZ-Plan de gestión de la configuración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FT-FODA del negocio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FT-Plan estratégico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FT-Funciograma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DZ-Plan de mediciones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FT-Incentivos y consecuencias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FT-Matriz de competencia y DNC (organizacional)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Presupuesto Anual Four Js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DZ-Plan de auditorías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PR-Auditorías a procesos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Calendario de Auditoría a Procedimientos 2026</w:t>
      </w:r>
    </w:p>
    <w:p>
      <w:pPr>
        <w:pStyle w:val="Heading2"/>
        <w:spacing w:after="120" w:before="250"/>
      </w:pPr>
      <w:r>
        <w:t xml:space="preserve">Fase 1 — Arranque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FT-Enunciado de trabajo (SOW)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RG-Estimación con puntos de casos de uso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PMO-Estimación de costos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PR-Estimación Portabilidad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PR-Planeación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FT-Plan de proyecto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FT-Kickoff del proyecto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FT-Cronograma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FT-Matriz de riesgos y oportunidades</w:t>
      </w:r>
    </w:p>
    <w:p>
      <w:pPr>
        <w:pStyle w:val="Heading2"/>
        <w:spacing w:after="120" w:before="250"/>
      </w:pPr>
      <w:r>
        <w:t xml:space="preserve">Fase 2 — Requisitos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PR-Gestión de requisitos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IN-Técnicas de levantamiento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FT-Especificación de requisitos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FT-Validación de requisitos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FT-Matriz de trazabilidad</w:t>
      </w:r>
    </w:p>
    <w:p>
      <w:pPr>
        <w:pStyle w:val="Heading2"/>
        <w:spacing w:after="120" w:before="250"/>
      </w:pPr>
      <w:r>
        <w:t xml:space="preserve">Fase 3 — Diseño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PR-Diseño de software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IN-Criterios de diseño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FT-Ciclo de vida iterativo e incremental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FT-Diseño de software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FT-Manual de usuario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FT-Manual de mantenimiento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FT-Manual de operaciones</w:t>
      </w:r>
    </w:p>
    <w:p>
      <w:pPr>
        <w:pStyle w:val="Heading2"/>
        <w:spacing w:after="120" w:before="250"/>
      </w:pPr>
      <w:r>
        <w:t xml:space="preserve">Fase 4 — Construcción y pruebas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PR-Construcción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FT-Estrategia de integración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FT-Estándar de codificación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FT-Check list de integración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FT-Reporte de pruebas unitarias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PR-Pruebas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IN-Tipos de pruebas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FT-Casos de prueba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FT-Gestión de pruebas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FT-Gestión de incidencias</w:t>
      </w:r>
    </w:p>
    <w:p>
      <w:pPr>
        <w:pStyle w:val="Heading2"/>
        <w:spacing w:after="120" w:before="250"/>
      </w:pPr>
      <w:r>
        <w:t xml:space="preserve">Fase 5 — Revisión por pares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PR-Revisión por pares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DZ-Criterios de selección para RXP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FT-RXP código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FT-RXP diseño de software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FT-RXP especificación de requisitos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FT-RXP gestión de pruebas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FT-RXP manual de usuario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FT-RXP manuales técnicos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FT-Informe RxP nivel proyecto</w:t>
      </w:r>
    </w:p>
    <w:p>
      <w:pPr>
        <w:pStyle w:val="Heading2"/>
        <w:spacing w:after="120" w:before="250"/>
      </w:pPr>
      <w:r>
        <w:t xml:space="preserve">Fase 6 — Cambios y decisiones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PR-Gestión de cambios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FT-Solicitud de cambios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FT-Concentrado de cambios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PR-Análisis para toma de decisión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RG-Análisis para toma de decisiones (ejemplo)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FT-Concentrado de decisiones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FT-Memorandum técnico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Diagrama: comparación de comportamiento (re-portabilidad)</w:t>
      </w:r>
    </w:p>
    <w:p>
      <w:pPr>
        <w:pStyle w:val="Heading2"/>
        <w:spacing w:after="120" w:before="250"/>
      </w:pPr>
      <w:r>
        <w:t xml:space="preserve">Fase 7 — Cierre</w:t>
      </w:r>
    </w:p>
    <w:p>
      <w:pPr>
        <w:spacing w:after="120"/>
      </w:pPr>
      <w:r>
        <w:rPr>
          <w:i/>
          <w:iCs/>
          <w:color w:val="595959"/>
        </w:rPr>
        <w:t xml:space="preserve">Sin documentos generados — brecha real identificada durante la revisión de consistencia: este proyecto nunca llegó a un cierre formal documentado.</w:t>
      </w:r>
    </w:p>
    <w:p>
      <w:pPr>
        <w:pStyle w:val="Heading2"/>
        <w:spacing w:after="120" w:before="250"/>
      </w:pPr>
      <w:r>
        <w:t xml:space="preserve">Transversales — Capacitación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PR-Gestión de capacitación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FT-Solicitud de capacitación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FT-Plan de capacitación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FT-Lista de instructores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FT-Lista de asistencia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FT-Encuesta de capacitación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FT-Evaluación de capacitación</w:t>
      </w:r>
    </w:p>
    <w:p>
      <w:pPr>
        <w:pStyle w:val="Heading2"/>
        <w:spacing w:after="120" w:before="250"/>
      </w:pPr>
      <w:r>
        <w:t xml:space="preserve">Transversales — Mejoras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PR-Gestión de mejoras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FT-Matriz de gestión de mejoras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FT-Solicitud de mejora de proceso</w:t>
      </w:r>
    </w:p>
    <w:p>
      <w:pPr>
        <w:pStyle w:val="Heading2"/>
        <w:spacing w:after="120" w:before="250"/>
      </w:pPr>
      <w:r>
        <w:t xml:space="preserve">Transversales — Evaluación de procesos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PR-Evaluación de procesos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FT-Evaluación de procesos</w:t>
      </w:r>
    </w:p>
    <w:p>
      <w:pPr>
        <w:pStyle w:val="Heading2"/>
        <w:spacing w:after="120" w:before="250"/>
      </w:pPr>
      <w:r>
        <w:t xml:space="preserve">Transversales — Auditorías (resultados)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a procesos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a proyectos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calidad de datos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evaluación de procesos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gestión de capacitación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gestión de mejoras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gestión de negocio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de configuración de componentes de software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FT-Auditoría de configuración de documentación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FT-Seguimiento a hallazgos de auditorías</w:t>
      </w:r>
    </w:p>
    <w:p>
      <w:pPr>
        <w:pStyle w:val="Heading2"/>
        <w:spacing w:after="120" w:before="250"/>
      </w:pPr>
      <w:r>
        <w:t xml:space="preserve">Transversales — Otros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FT-Administración de datos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FT-Ambiente estándar de trabajo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DZ-Escenarios de evaluación formal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Plan de Calidad 2400h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Plan de Calidad 2400h Trimestral (gráficas)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FT-Minuta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FT-Procedimiento de Solicitud de vacaciones</w:t>
      </w:r>
    </w:p>
    <w:p>
      <w:pPr>
        <w:pBdr>
          <w:top w:val="single" w:color="BFBFBF" w:sz="4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Generado a partir de las lecciones del proyecto Portabilidad de Derechos Pensionarios entre ISSSTE e IMSS — reutilizable para cualquier proyecto nuevo.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21"/>
    <w:lvlOverride w:ilvl="0">
      <w:startOverride w:val="1"/>
    </w:lvlOverride>
  </w:num>
  <w:num w:numId="20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2026-09-28T15:31:12.393Z</dcterms:created>
  <dcterms:modified xsi:type="dcterms:W3CDTF">2026-09-28T15:31:12.402Z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