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6264" w14:textId="77777777" w:rsidR="00D176D2" w:rsidRDefault="00000000">
      <w:pPr>
        <w:spacing w:after="100"/>
        <w:jc w:val="center"/>
      </w:pPr>
      <w:r>
        <w:rPr>
          <w:b/>
          <w:bCs/>
          <w:color w:val="808080"/>
          <w:sz w:val="20"/>
          <w:szCs w:val="20"/>
        </w:rPr>
        <w:t>FJL-F09-TD</w:t>
      </w:r>
    </w:p>
    <w:p w14:paraId="5775818D" w14:textId="200115D0" w:rsidR="00D176D2" w:rsidRDefault="00000000">
      <w:pPr>
        <w:pStyle w:val="Ttulo"/>
        <w:spacing w:after="200"/>
        <w:jc w:val="center"/>
      </w:pPr>
      <w:r>
        <w:t>Manual Técnico</w:t>
      </w:r>
    </w:p>
    <w:p w14:paraId="51F7D55D" w14:textId="77777777" w:rsidR="00D176D2" w:rsidRDefault="00000000">
      <w:pPr>
        <w:spacing w:after="100"/>
        <w:jc w:val="center"/>
      </w:pPr>
      <w:r>
        <w:rPr>
          <w:b/>
          <w:bCs/>
          <w:sz w:val="26"/>
          <w:szCs w:val="26"/>
        </w:rPr>
        <w:t>Portabilidad de Derechos Pensionarios entre ISSSTE e IMSS</w:t>
      </w:r>
    </w:p>
    <w:p w14:paraId="2BC13424" w14:textId="77777777" w:rsidR="00D176D2" w:rsidRDefault="00000000">
      <w:pPr>
        <w:spacing w:after="400"/>
        <w:jc w:val="center"/>
      </w:pPr>
      <w:r>
        <w:rPr>
          <w:i/>
          <w:iCs/>
          <w:color w:val="595959"/>
          <w:sz w:val="20"/>
          <w:szCs w:val="20"/>
        </w:rPr>
        <w:t>Entregable para Instituto de Seguridad y Servicios Sociales de los Trabajadores del Estado (ISSSTE) — Versión 2.0 (Entrega Final)</w:t>
      </w:r>
    </w:p>
    <w:p w14:paraId="2DFA1D60" w14:textId="77777777" w:rsidR="00D176D2" w:rsidRDefault="00000000">
      <w:r>
        <w:br w:type="page"/>
      </w:r>
    </w:p>
    <w:p w14:paraId="6F45AC9C" w14:textId="77777777" w:rsidR="00D176D2" w:rsidRDefault="00000000">
      <w:pPr>
        <w:pStyle w:val="Ttulo1"/>
        <w:spacing w:before="320" w:after="160"/>
      </w:pPr>
      <w:bookmarkStart w:id="0" w:name="_Toc240206197"/>
      <w:r>
        <w:lastRenderedPageBreak/>
        <w:t>Control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299"/>
        <w:gridCol w:w="2365"/>
        <w:gridCol w:w="1587"/>
        <w:gridCol w:w="3211"/>
      </w:tblGrid>
      <w:tr w:rsidR="00D176D2" w14:paraId="19613E87" w14:textId="77777777">
        <w:trPr>
          <w:tblHeader/>
        </w:trPr>
        <w:tc>
          <w:tcPr>
            <w:tcW w:w="800" w:type="dxa"/>
            <w:shd w:val="clear" w:color="auto" w:fill="DCE6F1"/>
            <w:tcMar>
              <w:top w:w="80" w:type="dxa"/>
              <w:left w:w="100" w:type="dxa"/>
              <w:bottom w:w="80" w:type="dxa"/>
              <w:right w:w="100" w:type="dxa"/>
            </w:tcMar>
          </w:tcPr>
          <w:p w14:paraId="5EFBDA7A" w14:textId="77777777" w:rsidR="00D176D2" w:rsidRDefault="00000000">
            <w:r>
              <w:rPr>
                <w:b/>
                <w:bCs/>
              </w:rPr>
              <w:t>Versión</w:t>
            </w:r>
          </w:p>
        </w:tc>
        <w:tc>
          <w:tcPr>
            <w:tcW w:w="1300" w:type="dxa"/>
            <w:shd w:val="clear" w:color="auto" w:fill="DCE6F1"/>
            <w:tcMar>
              <w:top w:w="80" w:type="dxa"/>
              <w:left w:w="100" w:type="dxa"/>
              <w:bottom w:w="80" w:type="dxa"/>
              <w:right w:w="100" w:type="dxa"/>
            </w:tcMar>
          </w:tcPr>
          <w:p w14:paraId="7EF95342" w14:textId="77777777" w:rsidR="00D176D2" w:rsidRDefault="00000000">
            <w:r>
              <w:rPr>
                <w:b/>
                <w:bCs/>
              </w:rPr>
              <w:t>Fecha</w:t>
            </w:r>
          </w:p>
        </w:tc>
        <w:tc>
          <w:tcPr>
            <w:tcW w:w="2400" w:type="dxa"/>
            <w:shd w:val="clear" w:color="auto" w:fill="DCE6F1"/>
            <w:tcMar>
              <w:top w:w="80" w:type="dxa"/>
              <w:left w:w="100" w:type="dxa"/>
              <w:bottom w:w="80" w:type="dxa"/>
              <w:right w:w="100" w:type="dxa"/>
            </w:tcMar>
          </w:tcPr>
          <w:p w14:paraId="3DFBFC1E" w14:textId="77777777" w:rsidR="00D176D2" w:rsidRDefault="00000000">
            <w:r>
              <w:rPr>
                <w:b/>
                <w:bCs/>
              </w:rPr>
              <w:t>Autor</w:t>
            </w:r>
          </w:p>
        </w:tc>
        <w:tc>
          <w:tcPr>
            <w:tcW w:w="1600" w:type="dxa"/>
            <w:shd w:val="clear" w:color="auto" w:fill="DCE6F1"/>
            <w:tcMar>
              <w:top w:w="80" w:type="dxa"/>
              <w:left w:w="100" w:type="dxa"/>
              <w:bottom w:w="80" w:type="dxa"/>
              <w:right w:w="100" w:type="dxa"/>
            </w:tcMar>
          </w:tcPr>
          <w:p w14:paraId="0703EF88" w14:textId="77777777" w:rsidR="00D176D2" w:rsidRDefault="00000000">
            <w:r>
              <w:rPr>
                <w:b/>
                <w:bCs/>
              </w:rPr>
              <w:t>Estado</w:t>
            </w:r>
          </w:p>
        </w:tc>
        <w:tc>
          <w:tcPr>
            <w:tcW w:w="3260" w:type="dxa"/>
            <w:shd w:val="clear" w:color="auto" w:fill="DCE6F1"/>
            <w:tcMar>
              <w:top w:w="80" w:type="dxa"/>
              <w:left w:w="100" w:type="dxa"/>
              <w:bottom w:w="80" w:type="dxa"/>
              <w:right w:w="100" w:type="dxa"/>
            </w:tcMar>
          </w:tcPr>
          <w:p w14:paraId="3D08E5B6" w14:textId="77777777" w:rsidR="00D176D2" w:rsidRDefault="00000000">
            <w:r>
              <w:rPr>
                <w:b/>
                <w:bCs/>
              </w:rPr>
              <w:t>Descripción</w:t>
            </w:r>
          </w:p>
        </w:tc>
      </w:tr>
      <w:tr w:rsidR="00D176D2" w14:paraId="3D735A2D" w14:textId="77777777">
        <w:tc>
          <w:tcPr>
            <w:tcW w:w="800" w:type="dxa"/>
            <w:tcMar>
              <w:top w:w="80" w:type="dxa"/>
              <w:left w:w="100" w:type="dxa"/>
              <w:bottom w:w="80" w:type="dxa"/>
              <w:right w:w="100" w:type="dxa"/>
            </w:tcMar>
          </w:tcPr>
          <w:p w14:paraId="42A8787D" w14:textId="77777777" w:rsidR="00D176D2" w:rsidRDefault="00000000">
            <w:r>
              <w:t>1.0</w:t>
            </w:r>
          </w:p>
        </w:tc>
        <w:tc>
          <w:tcPr>
            <w:tcW w:w="1300" w:type="dxa"/>
            <w:tcMar>
              <w:top w:w="80" w:type="dxa"/>
              <w:left w:w="100" w:type="dxa"/>
              <w:bottom w:w="80" w:type="dxa"/>
              <w:right w:w="100" w:type="dxa"/>
            </w:tcMar>
          </w:tcPr>
          <w:p w14:paraId="54233D22" w14:textId="77777777" w:rsidR="00D176D2" w:rsidRDefault="00000000">
            <w:r>
              <w:t>27/07/2026</w:t>
            </w:r>
          </w:p>
        </w:tc>
        <w:tc>
          <w:tcPr>
            <w:tcW w:w="2400" w:type="dxa"/>
            <w:tcMar>
              <w:top w:w="80" w:type="dxa"/>
              <w:left w:w="100" w:type="dxa"/>
              <w:bottom w:w="80" w:type="dxa"/>
              <w:right w:w="100" w:type="dxa"/>
            </w:tcMar>
          </w:tcPr>
          <w:p w14:paraId="66ED2681" w14:textId="77777777" w:rsidR="00D176D2" w:rsidRDefault="00000000">
            <w:r>
              <w:t>Carlos Quintero (Four Js)</w:t>
            </w:r>
          </w:p>
        </w:tc>
        <w:tc>
          <w:tcPr>
            <w:tcW w:w="1600" w:type="dxa"/>
            <w:tcMar>
              <w:top w:w="80" w:type="dxa"/>
              <w:left w:w="100" w:type="dxa"/>
              <w:bottom w:w="80" w:type="dxa"/>
              <w:right w:w="100" w:type="dxa"/>
            </w:tcMar>
          </w:tcPr>
          <w:p w14:paraId="32EB04F2" w14:textId="77777777" w:rsidR="00D176D2" w:rsidRDefault="00000000">
            <w:r>
              <w:t>Sustituida</w:t>
            </w:r>
          </w:p>
        </w:tc>
        <w:tc>
          <w:tcPr>
            <w:tcW w:w="3260" w:type="dxa"/>
            <w:tcMar>
              <w:top w:w="80" w:type="dxa"/>
              <w:left w:w="100" w:type="dxa"/>
              <w:bottom w:w="80" w:type="dxa"/>
              <w:right w:w="100" w:type="dxa"/>
            </w:tcMar>
          </w:tcPr>
          <w:p w14:paraId="7D2988D5" w14:textId="77777777" w:rsidR="00D176D2" w:rsidRDefault="00000000">
            <w:r>
              <w:t>Versión inicial — entrega formal a ISSSTE</w:t>
            </w:r>
          </w:p>
        </w:tc>
      </w:tr>
      <w:tr w:rsidR="00D176D2" w14:paraId="1FF0924C" w14:textId="77777777">
        <w:tc>
          <w:tcPr>
            <w:tcW w:w="800" w:type="dxa"/>
            <w:tcMar>
              <w:top w:w="80" w:type="dxa"/>
              <w:left w:w="100" w:type="dxa"/>
              <w:bottom w:w="80" w:type="dxa"/>
              <w:right w:w="100" w:type="dxa"/>
            </w:tcMar>
          </w:tcPr>
          <w:p w14:paraId="0D574180" w14:textId="77777777" w:rsidR="00D176D2" w:rsidRDefault="00000000">
            <w:r>
              <w:t>2.0</w:t>
            </w:r>
          </w:p>
        </w:tc>
        <w:tc>
          <w:tcPr>
            <w:tcW w:w="1300" w:type="dxa"/>
            <w:tcMar>
              <w:top w:w="80" w:type="dxa"/>
              <w:left w:w="100" w:type="dxa"/>
              <w:bottom w:w="80" w:type="dxa"/>
              <w:right w:w="100" w:type="dxa"/>
            </w:tcMar>
          </w:tcPr>
          <w:p w14:paraId="6778741C" w14:textId="77777777" w:rsidR="00D176D2" w:rsidRDefault="00000000">
            <w:r>
              <w:t>27/07/2026</w:t>
            </w:r>
          </w:p>
        </w:tc>
        <w:tc>
          <w:tcPr>
            <w:tcW w:w="2400" w:type="dxa"/>
            <w:tcMar>
              <w:top w:w="80" w:type="dxa"/>
              <w:left w:w="100" w:type="dxa"/>
              <w:bottom w:w="80" w:type="dxa"/>
              <w:right w:w="100" w:type="dxa"/>
            </w:tcMar>
          </w:tcPr>
          <w:p w14:paraId="130B413F" w14:textId="77777777" w:rsidR="00D176D2" w:rsidRDefault="00000000">
            <w:r>
              <w:t>Carlos Quintero (Four Js)</w:t>
            </w:r>
          </w:p>
        </w:tc>
        <w:tc>
          <w:tcPr>
            <w:tcW w:w="1600" w:type="dxa"/>
            <w:tcMar>
              <w:top w:w="80" w:type="dxa"/>
              <w:left w:w="100" w:type="dxa"/>
              <w:bottom w:w="80" w:type="dxa"/>
              <w:right w:w="100" w:type="dxa"/>
            </w:tcMar>
          </w:tcPr>
          <w:p w14:paraId="31D2D705" w14:textId="77777777" w:rsidR="00D176D2" w:rsidRDefault="00000000">
            <w:r>
              <w:t>Entrega Final</w:t>
            </w:r>
          </w:p>
        </w:tc>
        <w:tc>
          <w:tcPr>
            <w:tcW w:w="3260" w:type="dxa"/>
            <w:tcMar>
              <w:top w:w="80" w:type="dxa"/>
              <w:left w:w="100" w:type="dxa"/>
              <w:bottom w:w="80" w:type="dxa"/>
              <w:right w:w="100" w:type="dxa"/>
            </w:tcMar>
          </w:tcPr>
          <w:p w14:paraId="008F9916" w14:textId="77777777" w:rsidR="00D176D2" w:rsidRDefault="00000000">
            <w:r>
              <w:t>Sustituye a la versión 1.0; incorpora la habilitación de la re-portabilidad en el proceso entrante (WS1, WS3, WS6), conservando el resto del contenido de la versión anterior</w:t>
            </w:r>
          </w:p>
        </w:tc>
      </w:tr>
    </w:tbl>
    <w:p w14:paraId="6B293504" w14:textId="77777777" w:rsidR="00D176D2" w:rsidRDefault="00000000">
      <w:r>
        <w:br w:type="page"/>
      </w:r>
    </w:p>
    <w:p w14:paraId="26E3C3C4" w14:textId="77777777" w:rsidR="00D176D2" w:rsidRDefault="00000000">
      <w:pPr>
        <w:pStyle w:val="Ttulo1"/>
        <w:spacing w:before="320" w:after="160"/>
      </w:pPr>
      <w:bookmarkStart w:id="1" w:name="_Toc240206198"/>
      <w:r>
        <w:lastRenderedPageBreak/>
        <w:t>Tabla de contenido</w:t>
      </w:r>
      <w:bookmarkEnd w:id="1"/>
    </w:p>
    <w:sdt>
      <w:sdtPr>
        <w:alias w:val="Tabla de contenido"/>
        <w:id w:val="1204832572"/>
      </w:sdtPr>
      <w:sdtContent>
        <w:p w14:paraId="26FCE9D5" w14:textId="0C0C14D7" w:rsidR="002A5D96"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206197" w:history="1">
            <w:r w:rsidR="002A5D96" w:rsidRPr="00895092">
              <w:rPr>
                <w:rStyle w:val="Hipervnculo"/>
                <w:noProof/>
              </w:rPr>
              <w:t>Control de versiones</w:t>
            </w:r>
            <w:r w:rsidR="002A5D96">
              <w:rPr>
                <w:noProof/>
              </w:rPr>
              <w:tab/>
            </w:r>
            <w:r w:rsidR="002A5D96">
              <w:rPr>
                <w:noProof/>
              </w:rPr>
              <w:fldChar w:fldCharType="begin"/>
            </w:r>
            <w:r w:rsidR="002A5D96">
              <w:rPr>
                <w:noProof/>
              </w:rPr>
              <w:instrText xml:space="preserve"> PAGEREF _Toc240206197 \h </w:instrText>
            </w:r>
            <w:r w:rsidR="002A5D96">
              <w:rPr>
                <w:noProof/>
              </w:rPr>
            </w:r>
            <w:r w:rsidR="002A5D96">
              <w:rPr>
                <w:noProof/>
              </w:rPr>
              <w:fldChar w:fldCharType="separate"/>
            </w:r>
            <w:r w:rsidR="002A5D96">
              <w:rPr>
                <w:noProof/>
              </w:rPr>
              <w:t>2</w:t>
            </w:r>
            <w:r w:rsidR="002A5D96">
              <w:rPr>
                <w:noProof/>
              </w:rPr>
              <w:fldChar w:fldCharType="end"/>
            </w:r>
          </w:hyperlink>
        </w:p>
        <w:p w14:paraId="4FA35E61" w14:textId="700C6A84" w:rsidR="002A5D96" w:rsidRDefault="002A5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198" w:history="1">
            <w:r w:rsidRPr="00895092">
              <w:rPr>
                <w:rStyle w:val="Hipervnculo"/>
                <w:noProof/>
              </w:rPr>
              <w:t>Tabla de contenido</w:t>
            </w:r>
            <w:r>
              <w:rPr>
                <w:noProof/>
              </w:rPr>
              <w:tab/>
            </w:r>
            <w:r>
              <w:rPr>
                <w:noProof/>
              </w:rPr>
              <w:fldChar w:fldCharType="begin"/>
            </w:r>
            <w:r>
              <w:rPr>
                <w:noProof/>
              </w:rPr>
              <w:instrText xml:space="preserve"> PAGEREF _Toc240206198 \h </w:instrText>
            </w:r>
            <w:r>
              <w:rPr>
                <w:noProof/>
              </w:rPr>
            </w:r>
            <w:r>
              <w:rPr>
                <w:noProof/>
              </w:rPr>
              <w:fldChar w:fldCharType="separate"/>
            </w:r>
            <w:r>
              <w:rPr>
                <w:noProof/>
              </w:rPr>
              <w:t>3</w:t>
            </w:r>
            <w:r>
              <w:rPr>
                <w:noProof/>
              </w:rPr>
              <w:fldChar w:fldCharType="end"/>
            </w:r>
          </w:hyperlink>
        </w:p>
        <w:p w14:paraId="49688C73" w14:textId="0BFAA5BC" w:rsidR="002A5D96" w:rsidRDefault="002A5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199" w:history="1">
            <w:r w:rsidRPr="00895092">
              <w:rPr>
                <w:rStyle w:val="Hipervnculo"/>
                <w:noProof/>
              </w:rPr>
              <w:t>1. Propósito</w:t>
            </w:r>
            <w:r>
              <w:rPr>
                <w:noProof/>
              </w:rPr>
              <w:tab/>
            </w:r>
            <w:r>
              <w:rPr>
                <w:noProof/>
              </w:rPr>
              <w:fldChar w:fldCharType="begin"/>
            </w:r>
            <w:r>
              <w:rPr>
                <w:noProof/>
              </w:rPr>
              <w:instrText xml:space="preserve"> PAGEREF _Toc240206199 \h </w:instrText>
            </w:r>
            <w:r>
              <w:rPr>
                <w:noProof/>
              </w:rPr>
            </w:r>
            <w:r>
              <w:rPr>
                <w:noProof/>
              </w:rPr>
              <w:fldChar w:fldCharType="separate"/>
            </w:r>
            <w:r>
              <w:rPr>
                <w:noProof/>
              </w:rPr>
              <w:t>4</w:t>
            </w:r>
            <w:r>
              <w:rPr>
                <w:noProof/>
              </w:rPr>
              <w:fldChar w:fldCharType="end"/>
            </w:r>
          </w:hyperlink>
        </w:p>
        <w:p w14:paraId="4AE0F01E" w14:textId="19ED9FC4" w:rsidR="002A5D96" w:rsidRDefault="002A5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200" w:history="1">
            <w:r w:rsidRPr="00895092">
              <w:rPr>
                <w:rStyle w:val="Hipervnculo"/>
                <w:noProof/>
              </w:rPr>
              <w:t>2. Plataforma tecnológica</w:t>
            </w:r>
            <w:r>
              <w:rPr>
                <w:noProof/>
              </w:rPr>
              <w:tab/>
            </w:r>
            <w:r>
              <w:rPr>
                <w:noProof/>
              </w:rPr>
              <w:fldChar w:fldCharType="begin"/>
            </w:r>
            <w:r>
              <w:rPr>
                <w:noProof/>
              </w:rPr>
              <w:instrText xml:space="preserve"> PAGEREF _Toc240206200 \h </w:instrText>
            </w:r>
            <w:r>
              <w:rPr>
                <w:noProof/>
              </w:rPr>
            </w:r>
            <w:r>
              <w:rPr>
                <w:noProof/>
              </w:rPr>
              <w:fldChar w:fldCharType="separate"/>
            </w:r>
            <w:r>
              <w:rPr>
                <w:noProof/>
              </w:rPr>
              <w:t>4</w:t>
            </w:r>
            <w:r>
              <w:rPr>
                <w:noProof/>
              </w:rPr>
              <w:fldChar w:fldCharType="end"/>
            </w:r>
          </w:hyperlink>
        </w:p>
        <w:p w14:paraId="32688EA8" w14:textId="25E7852A" w:rsidR="002A5D96" w:rsidRDefault="002A5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201" w:history="1">
            <w:r w:rsidRPr="00895092">
              <w:rPr>
                <w:rStyle w:val="Hipervnculo"/>
                <w:noProof/>
              </w:rPr>
              <w:t>3. Configuración de endpoints externos</w:t>
            </w:r>
            <w:r>
              <w:rPr>
                <w:noProof/>
              </w:rPr>
              <w:tab/>
            </w:r>
            <w:r>
              <w:rPr>
                <w:noProof/>
              </w:rPr>
              <w:fldChar w:fldCharType="begin"/>
            </w:r>
            <w:r>
              <w:rPr>
                <w:noProof/>
              </w:rPr>
              <w:instrText xml:space="preserve"> PAGEREF _Toc240206201 \h </w:instrText>
            </w:r>
            <w:r>
              <w:rPr>
                <w:noProof/>
              </w:rPr>
            </w:r>
            <w:r>
              <w:rPr>
                <w:noProof/>
              </w:rPr>
              <w:fldChar w:fldCharType="separate"/>
            </w:r>
            <w:r>
              <w:rPr>
                <w:noProof/>
              </w:rPr>
              <w:t>4</w:t>
            </w:r>
            <w:r>
              <w:rPr>
                <w:noProof/>
              </w:rPr>
              <w:fldChar w:fldCharType="end"/>
            </w:r>
          </w:hyperlink>
        </w:p>
        <w:p w14:paraId="7035A21D" w14:textId="32649B4D" w:rsidR="002A5D96" w:rsidRDefault="002A5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202" w:history="1">
            <w:r w:rsidRPr="00895092">
              <w:rPr>
                <w:rStyle w:val="Hipervnculo"/>
                <w:noProof/>
              </w:rPr>
              <w:t>4. Manejo de fallas de comunicación</w:t>
            </w:r>
            <w:r>
              <w:rPr>
                <w:noProof/>
              </w:rPr>
              <w:tab/>
            </w:r>
            <w:r>
              <w:rPr>
                <w:noProof/>
              </w:rPr>
              <w:fldChar w:fldCharType="begin"/>
            </w:r>
            <w:r>
              <w:rPr>
                <w:noProof/>
              </w:rPr>
              <w:instrText xml:space="preserve"> PAGEREF _Toc240206202 \h </w:instrText>
            </w:r>
            <w:r>
              <w:rPr>
                <w:noProof/>
              </w:rPr>
            </w:r>
            <w:r>
              <w:rPr>
                <w:noProof/>
              </w:rPr>
              <w:fldChar w:fldCharType="separate"/>
            </w:r>
            <w:r>
              <w:rPr>
                <w:noProof/>
              </w:rPr>
              <w:t>5</w:t>
            </w:r>
            <w:r>
              <w:rPr>
                <w:noProof/>
              </w:rPr>
              <w:fldChar w:fldCharType="end"/>
            </w:r>
          </w:hyperlink>
        </w:p>
        <w:p w14:paraId="54991FA1" w14:textId="0ABFAE6C" w:rsidR="002A5D96" w:rsidRDefault="002A5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203" w:history="1">
            <w:r w:rsidRPr="00895092">
              <w:rPr>
                <w:rStyle w:val="Hipervnculo"/>
                <w:noProof/>
              </w:rPr>
              <w:t>5. Recomendaciones de soporte</w:t>
            </w:r>
            <w:r>
              <w:rPr>
                <w:noProof/>
              </w:rPr>
              <w:tab/>
            </w:r>
            <w:r>
              <w:rPr>
                <w:noProof/>
              </w:rPr>
              <w:fldChar w:fldCharType="begin"/>
            </w:r>
            <w:r>
              <w:rPr>
                <w:noProof/>
              </w:rPr>
              <w:instrText xml:space="preserve"> PAGEREF _Toc240206203 \h </w:instrText>
            </w:r>
            <w:r>
              <w:rPr>
                <w:noProof/>
              </w:rPr>
            </w:r>
            <w:r>
              <w:rPr>
                <w:noProof/>
              </w:rPr>
              <w:fldChar w:fldCharType="separate"/>
            </w:r>
            <w:r>
              <w:rPr>
                <w:noProof/>
              </w:rPr>
              <w:t>5</w:t>
            </w:r>
            <w:r>
              <w:rPr>
                <w:noProof/>
              </w:rPr>
              <w:fldChar w:fldCharType="end"/>
            </w:r>
          </w:hyperlink>
        </w:p>
        <w:p w14:paraId="41CDC85F" w14:textId="115F4F50" w:rsidR="00D176D2" w:rsidRDefault="00000000">
          <w:r>
            <w:fldChar w:fldCharType="end"/>
          </w:r>
        </w:p>
      </w:sdtContent>
    </w:sdt>
    <w:p w14:paraId="0E8CAC12" w14:textId="77777777" w:rsidR="00D176D2" w:rsidRDefault="00000000">
      <w:r>
        <w:br w:type="page"/>
      </w:r>
    </w:p>
    <w:p w14:paraId="45B1F3EC" w14:textId="77777777" w:rsidR="00D176D2" w:rsidRDefault="00000000">
      <w:pPr>
        <w:pStyle w:val="Ttulo1"/>
        <w:spacing w:before="320" w:after="160"/>
      </w:pPr>
      <w:bookmarkStart w:id="2" w:name="_Toc240206199"/>
      <w:r>
        <w:lastRenderedPageBreak/>
        <w:t>1. Propósito</w:t>
      </w:r>
      <w:bookmarkEnd w:id="2"/>
    </w:p>
    <w:p w14:paraId="56E78637" w14:textId="77777777" w:rsidR="00D176D2" w:rsidRDefault="00000000">
      <w:pPr>
        <w:spacing w:after="140"/>
      </w:pPr>
      <w:r>
        <w:t>Este manual está dirigido al personal técnico responsable de mantener, soportar y dar seguimiento operativo al sistema.</w:t>
      </w:r>
    </w:p>
    <w:p w14:paraId="0B14D1E3" w14:textId="77777777" w:rsidR="00D176D2" w:rsidRDefault="00000000">
      <w:pPr>
        <w:pStyle w:val="Ttulo1"/>
        <w:spacing w:before="320" w:after="160"/>
      </w:pPr>
      <w:bookmarkStart w:id="3" w:name="_Toc240206200"/>
      <w:r>
        <w:t>2. Plataforma tecnológica</w:t>
      </w:r>
      <w:bookmarkEnd w:id="3"/>
    </w:p>
    <w:p w14:paraId="38C4A624" w14:textId="77777777" w:rsidR="00D176D2" w:rsidRDefault="00000000">
      <w:pPr>
        <w:pStyle w:val="Prrafodelista"/>
        <w:numPr>
          <w:ilvl w:val="0"/>
          <w:numId w:val="1"/>
        </w:numPr>
        <w:spacing w:after="60"/>
      </w:pPr>
      <w:r>
        <w:t>Lenguaje/entorno: BDL/4GL sobre Genero Application Server (GAS).</w:t>
      </w:r>
    </w:p>
    <w:p w14:paraId="6B268127" w14:textId="77777777" w:rsidR="00D176D2" w:rsidRDefault="00000000">
      <w:pPr>
        <w:pStyle w:val="Prrafodelista"/>
        <w:numPr>
          <w:ilvl w:val="0"/>
          <w:numId w:val="1"/>
        </w:numPr>
        <w:spacing w:after="60"/>
      </w:pPr>
      <w:r>
        <w:t>Base de datos: Informix 12.10, instancia dsipe@aguila_sipe_tcp (BDUD).</w:t>
      </w:r>
    </w:p>
    <w:p w14:paraId="3F359959" w14:textId="77777777" w:rsidR="00D176D2" w:rsidRDefault="00000000">
      <w:pPr>
        <w:pStyle w:val="Prrafodelista"/>
        <w:numPr>
          <w:ilvl w:val="0"/>
          <w:numId w:val="1"/>
        </w:numPr>
        <w:spacing w:after="60"/>
      </w:pPr>
      <w:r>
        <w:t>Generación de reportes: Genero Report Writer (.4rp).</w:t>
      </w:r>
    </w:p>
    <w:p w14:paraId="0648BFA1" w14:textId="77777777" w:rsidR="00D176D2" w:rsidRDefault="00000000">
      <w:pPr>
        <w:pStyle w:val="Ttulo1"/>
        <w:spacing w:before="320" w:after="160"/>
      </w:pPr>
      <w:bookmarkStart w:id="4" w:name="_Toc240206201"/>
      <w:r>
        <w:t>3. Configuración de endpoints externos</w:t>
      </w:r>
      <w:bookmarkEnd w:id="4"/>
    </w:p>
    <w:p w14:paraId="2FEC443A" w14:textId="77777777" w:rsidR="00D176D2" w:rsidRDefault="00000000">
      <w:pPr>
        <w:spacing w:after="140"/>
      </w:pPr>
      <w:r>
        <w:t>El sistema resuelve estos endpoints en tiempo de ejecución mediante variables de un archivo de perfil (fglprofile) por ambiente, no de forma fija en el código fuente. Los valores de producción provienen del fglprofile del ambiente ISSSTE.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6502"/>
      </w:tblGrid>
      <w:tr w:rsidR="00D176D2" w14:paraId="7A13BA50" w14:textId="77777777" w:rsidTr="002A5D96">
        <w:trPr>
          <w:tblHeader/>
        </w:trPr>
        <w:tc>
          <w:tcPr>
            <w:tcW w:w="2707" w:type="dxa"/>
            <w:shd w:val="clear" w:color="auto" w:fill="DCE6F1"/>
            <w:tcMar>
              <w:top w:w="80" w:type="dxa"/>
              <w:left w:w="100" w:type="dxa"/>
              <w:bottom w:w="80" w:type="dxa"/>
              <w:right w:w="100" w:type="dxa"/>
            </w:tcMar>
          </w:tcPr>
          <w:p w14:paraId="16023C84" w14:textId="77777777" w:rsidR="00D176D2" w:rsidRDefault="00000000">
            <w:r>
              <w:rPr>
                <w:b/>
                <w:bCs/>
              </w:rPr>
              <w:t>Variable (fglprofile)</w:t>
            </w:r>
          </w:p>
        </w:tc>
        <w:tc>
          <w:tcPr>
            <w:tcW w:w="6502" w:type="dxa"/>
            <w:shd w:val="clear" w:color="auto" w:fill="DCE6F1"/>
            <w:tcMar>
              <w:top w:w="80" w:type="dxa"/>
              <w:left w:w="100" w:type="dxa"/>
              <w:bottom w:w="80" w:type="dxa"/>
              <w:right w:w="100" w:type="dxa"/>
            </w:tcMar>
          </w:tcPr>
          <w:p w14:paraId="6ED84674" w14:textId="77777777" w:rsidR="00D176D2" w:rsidRDefault="00000000">
            <w:r>
              <w:rPr>
                <w:b/>
                <w:bCs/>
              </w:rPr>
              <w:t>Endpoint de producción</w:t>
            </w:r>
          </w:p>
        </w:tc>
      </w:tr>
      <w:tr w:rsidR="00D176D2" w14:paraId="30823B78" w14:textId="77777777" w:rsidTr="002A5D96">
        <w:tc>
          <w:tcPr>
            <w:tcW w:w="2707" w:type="dxa"/>
            <w:tcMar>
              <w:top w:w="80" w:type="dxa"/>
              <w:left w:w="100" w:type="dxa"/>
              <w:bottom w:w="80" w:type="dxa"/>
              <w:right w:w="100" w:type="dxa"/>
            </w:tcMar>
          </w:tcPr>
          <w:p w14:paraId="61DF77BC" w14:textId="77777777" w:rsidR="00D176D2" w:rsidRDefault="00000000">
            <w:r>
              <w:t>ws.mycurp.url</w:t>
            </w:r>
          </w:p>
        </w:tc>
        <w:tc>
          <w:tcPr>
            <w:tcW w:w="6502" w:type="dxa"/>
            <w:tcMar>
              <w:top w:w="80" w:type="dxa"/>
              <w:left w:w="100" w:type="dxa"/>
              <w:bottom w:w="80" w:type="dxa"/>
              <w:right w:w="100" w:type="dxa"/>
            </w:tcMar>
          </w:tcPr>
          <w:p w14:paraId="55015E0F" w14:textId="77777777" w:rsidR="00D176D2" w:rsidRDefault="00000000">
            <w:r>
              <w:t>https://webs.curp.gob.mx/WebServicesConsulta/services/ConsultaPorCurpService</w:t>
            </w:r>
          </w:p>
        </w:tc>
      </w:tr>
      <w:tr w:rsidR="00D176D2" w14:paraId="03F44DB5" w14:textId="77777777" w:rsidTr="002A5D96">
        <w:tc>
          <w:tcPr>
            <w:tcW w:w="2707" w:type="dxa"/>
            <w:tcMar>
              <w:top w:w="80" w:type="dxa"/>
              <w:left w:w="100" w:type="dxa"/>
              <w:bottom w:w="80" w:type="dxa"/>
              <w:right w:w="100" w:type="dxa"/>
            </w:tcMar>
          </w:tcPr>
          <w:p w14:paraId="0F303227" w14:textId="77777777" w:rsidR="00D176D2" w:rsidRDefault="00000000">
            <w:r>
              <w:t>ws.wsconsultabasicaimss.url</w:t>
            </w:r>
          </w:p>
        </w:tc>
        <w:tc>
          <w:tcPr>
            <w:tcW w:w="6502" w:type="dxa"/>
            <w:tcMar>
              <w:top w:w="80" w:type="dxa"/>
              <w:left w:w="100" w:type="dxa"/>
              <w:bottom w:w="80" w:type="dxa"/>
              <w:right w:w="100" w:type="dxa"/>
            </w:tcMar>
          </w:tcPr>
          <w:p w14:paraId="4700C78D" w14:textId="77777777" w:rsidR="00D176D2" w:rsidRDefault="00000000">
            <w:r>
              <w:t>https://api2.issste.gob.mx/semanascotizadas-rest-ws/WSEstatusAsegurado</w:t>
            </w:r>
          </w:p>
        </w:tc>
      </w:tr>
      <w:tr w:rsidR="00D176D2" w14:paraId="10470E99" w14:textId="77777777" w:rsidTr="002A5D96">
        <w:tc>
          <w:tcPr>
            <w:tcW w:w="2707" w:type="dxa"/>
            <w:tcMar>
              <w:top w:w="80" w:type="dxa"/>
              <w:left w:w="100" w:type="dxa"/>
              <w:bottom w:w="80" w:type="dxa"/>
              <w:right w:w="100" w:type="dxa"/>
            </w:tcMar>
          </w:tcPr>
          <w:p w14:paraId="4E55D84B" w14:textId="77777777" w:rsidR="00D176D2" w:rsidRDefault="00000000">
            <w:r>
              <w:t>ws.wsconsultarobustaimss.url</w:t>
            </w:r>
          </w:p>
        </w:tc>
        <w:tc>
          <w:tcPr>
            <w:tcW w:w="6502" w:type="dxa"/>
            <w:tcMar>
              <w:top w:w="80" w:type="dxa"/>
              <w:left w:w="100" w:type="dxa"/>
              <w:bottom w:w="80" w:type="dxa"/>
              <w:right w:w="100" w:type="dxa"/>
            </w:tcMar>
          </w:tcPr>
          <w:p w14:paraId="4E579049" w14:textId="77777777" w:rsidR="00D176D2" w:rsidRDefault="00000000">
            <w:r>
              <w:t>https://api2.issste.gob.mx/semanascotizadas-rest-ws/WSConsultaPeriodos</w:t>
            </w:r>
          </w:p>
        </w:tc>
      </w:tr>
      <w:tr w:rsidR="00D176D2" w14:paraId="382F6F90" w14:textId="77777777" w:rsidTr="002A5D96">
        <w:tc>
          <w:tcPr>
            <w:tcW w:w="2707" w:type="dxa"/>
            <w:tcMar>
              <w:top w:w="80" w:type="dxa"/>
              <w:left w:w="100" w:type="dxa"/>
              <w:bottom w:w="80" w:type="dxa"/>
              <w:right w:w="100" w:type="dxa"/>
            </w:tcMar>
          </w:tcPr>
          <w:p w14:paraId="1107C167" w14:textId="77777777" w:rsidR="00D176D2" w:rsidRDefault="00000000">
            <w:r>
              <w:t>ws.wsnotificarprocedenciaimss.url</w:t>
            </w:r>
          </w:p>
        </w:tc>
        <w:tc>
          <w:tcPr>
            <w:tcW w:w="6502" w:type="dxa"/>
            <w:tcMar>
              <w:top w:w="80" w:type="dxa"/>
              <w:left w:w="100" w:type="dxa"/>
              <w:bottom w:w="80" w:type="dxa"/>
              <w:right w:w="100" w:type="dxa"/>
            </w:tcMar>
          </w:tcPr>
          <w:p w14:paraId="71933A45" w14:textId="77777777" w:rsidR="00D176D2" w:rsidRDefault="00000000">
            <w:r>
              <w:t>https://api2.issste.gob.mx/semanascotizadas-rest-ws/WSConclusionPortabilidad</w:t>
            </w:r>
          </w:p>
        </w:tc>
      </w:tr>
      <w:tr w:rsidR="00D176D2" w14:paraId="7C87ECDE" w14:textId="77777777" w:rsidTr="002A5D96">
        <w:tc>
          <w:tcPr>
            <w:tcW w:w="2707" w:type="dxa"/>
            <w:tcMar>
              <w:top w:w="80" w:type="dxa"/>
              <w:left w:w="100" w:type="dxa"/>
              <w:bottom w:w="80" w:type="dxa"/>
              <w:right w:w="100" w:type="dxa"/>
            </w:tcMar>
          </w:tcPr>
          <w:p w14:paraId="0ED7C2F4" w14:textId="77777777" w:rsidR="00D176D2" w:rsidRDefault="00000000">
            <w:r>
              <w:t>ws.wsconsultarprocesar.url (usado por el código — ruta directa)</w:t>
            </w:r>
          </w:p>
        </w:tc>
        <w:tc>
          <w:tcPr>
            <w:tcW w:w="6502" w:type="dxa"/>
            <w:tcMar>
              <w:top w:w="80" w:type="dxa"/>
              <w:left w:w="100" w:type="dxa"/>
              <w:bottom w:w="80" w:type="dxa"/>
              <w:right w:w="100" w:type="dxa"/>
            </w:tcMar>
          </w:tcPr>
          <w:p w14:paraId="065EC3BD" w14:textId="77777777" w:rsidR="00D176D2" w:rsidRDefault="00000000">
            <w:r>
              <w:t>https://wsprocesar.com.mx/retiros/v1/999/portabilidad/determinacion/consulta</w:t>
            </w:r>
          </w:p>
        </w:tc>
      </w:tr>
      <w:tr w:rsidR="00D176D2" w14:paraId="060AAFDE" w14:textId="77777777" w:rsidTr="002A5D96">
        <w:tc>
          <w:tcPr>
            <w:tcW w:w="2707" w:type="dxa"/>
            <w:tcMar>
              <w:top w:w="80" w:type="dxa"/>
              <w:left w:w="100" w:type="dxa"/>
              <w:bottom w:w="80" w:type="dxa"/>
              <w:right w:w="100" w:type="dxa"/>
            </w:tcMar>
          </w:tcPr>
          <w:p w14:paraId="0596FE3B" w14:textId="77777777" w:rsidR="00D176D2" w:rsidRDefault="00000000">
            <w:r>
              <w:t>ws.wsinsercionprocesar.url (usado por el código — ruta directa)</w:t>
            </w:r>
          </w:p>
        </w:tc>
        <w:tc>
          <w:tcPr>
            <w:tcW w:w="6502" w:type="dxa"/>
            <w:tcMar>
              <w:top w:w="80" w:type="dxa"/>
              <w:left w:w="100" w:type="dxa"/>
              <w:bottom w:w="80" w:type="dxa"/>
              <w:right w:w="100" w:type="dxa"/>
            </w:tcMar>
          </w:tcPr>
          <w:p w14:paraId="0CA3E166" w14:textId="77777777" w:rsidR="00D176D2" w:rsidRDefault="00000000">
            <w:r>
              <w:t>https://wsprocesar.com.mx/retiros/v1/1000/portabilidad/determinacion/insercion</w:t>
            </w:r>
          </w:p>
        </w:tc>
      </w:tr>
      <w:tr w:rsidR="00D176D2" w14:paraId="76F8B119" w14:textId="77777777" w:rsidTr="002A5D96">
        <w:tc>
          <w:tcPr>
            <w:tcW w:w="2707" w:type="dxa"/>
            <w:tcMar>
              <w:top w:w="80" w:type="dxa"/>
              <w:left w:w="100" w:type="dxa"/>
              <w:bottom w:w="80" w:type="dxa"/>
              <w:right w:w="100" w:type="dxa"/>
            </w:tcMar>
          </w:tcPr>
          <w:p w14:paraId="630998C2" w14:textId="77777777" w:rsidR="00D176D2" w:rsidRDefault="00000000">
            <w:r>
              <w:t>ws.wscancelarprocesar.url (usado por el código — ruta directa)</w:t>
            </w:r>
          </w:p>
        </w:tc>
        <w:tc>
          <w:tcPr>
            <w:tcW w:w="6502" w:type="dxa"/>
            <w:tcMar>
              <w:top w:w="80" w:type="dxa"/>
              <w:left w:w="100" w:type="dxa"/>
              <w:bottom w:w="80" w:type="dxa"/>
              <w:right w:w="100" w:type="dxa"/>
            </w:tcMar>
          </w:tcPr>
          <w:p w14:paraId="023644C3" w14:textId="77777777" w:rsidR="00D176D2" w:rsidRDefault="00000000">
            <w:r>
              <w:t>https://wsprocesar.com.mx/retiros/v1/1001/portabilidad/cancelacion</w:t>
            </w:r>
          </w:p>
        </w:tc>
      </w:tr>
      <w:tr w:rsidR="00D176D2" w14:paraId="3B462AC5" w14:textId="77777777" w:rsidTr="002A5D96">
        <w:tc>
          <w:tcPr>
            <w:tcW w:w="2707" w:type="dxa"/>
            <w:tcMar>
              <w:top w:w="80" w:type="dxa"/>
              <w:left w:w="100" w:type="dxa"/>
              <w:bottom w:w="80" w:type="dxa"/>
              <w:right w:w="100" w:type="dxa"/>
            </w:tcMar>
          </w:tcPr>
          <w:p w14:paraId="3DAEF822" w14:textId="77777777" w:rsidR="00D176D2" w:rsidRDefault="00000000">
            <w:r>
              <w:t>ws.wssaldospreliminar.url</w:t>
            </w:r>
          </w:p>
        </w:tc>
        <w:tc>
          <w:tcPr>
            <w:tcW w:w="6502" w:type="dxa"/>
            <w:tcMar>
              <w:top w:w="80" w:type="dxa"/>
              <w:left w:w="100" w:type="dxa"/>
              <w:bottom w:w="80" w:type="dxa"/>
              <w:right w:w="100" w:type="dxa"/>
            </w:tcMar>
          </w:tcPr>
          <w:p w14:paraId="7C71F80E" w14:textId="77777777" w:rsidR="00D176D2" w:rsidRDefault="00000000">
            <w:r>
              <w:t>https://wsprocesar.com.mx/Retiros/SaldoPreliminarIssste</w:t>
            </w:r>
          </w:p>
        </w:tc>
      </w:tr>
      <w:tr w:rsidR="00D176D2" w14:paraId="4E1CC067" w14:textId="77777777" w:rsidTr="002A5D96">
        <w:tc>
          <w:tcPr>
            <w:tcW w:w="2707" w:type="dxa"/>
            <w:tcMar>
              <w:top w:w="80" w:type="dxa"/>
              <w:left w:w="100" w:type="dxa"/>
              <w:bottom w:w="80" w:type="dxa"/>
              <w:right w:w="100" w:type="dxa"/>
            </w:tcMar>
          </w:tcPr>
          <w:p w14:paraId="0DE3A0CF" w14:textId="77777777" w:rsidR="00D176D2" w:rsidRDefault="00000000">
            <w:r>
              <w:t>ws.wsclientebenficiopensionario.url</w:t>
            </w:r>
          </w:p>
        </w:tc>
        <w:tc>
          <w:tcPr>
            <w:tcW w:w="6502" w:type="dxa"/>
            <w:tcMar>
              <w:top w:w="80" w:type="dxa"/>
              <w:left w:w="100" w:type="dxa"/>
              <w:bottom w:w="80" w:type="dxa"/>
              <w:right w:w="100" w:type="dxa"/>
            </w:tcMar>
          </w:tcPr>
          <w:p w14:paraId="709CE57C" w14:textId="77777777" w:rsidR="00D176D2" w:rsidRDefault="00000000">
            <w:r>
              <w:t>https://issstenet.issste.gob.mx/gasapp/ws/r/wsportabilidad/dictamenbeneficiopensionarios</w:t>
            </w:r>
          </w:p>
        </w:tc>
      </w:tr>
      <w:tr w:rsidR="00D176D2" w14:paraId="2B6514ED" w14:textId="77777777" w:rsidTr="002A5D96">
        <w:tc>
          <w:tcPr>
            <w:tcW w:w="2707" w:type="dxa"/>
            <w:tcMar>
              <w:top w:w="80" w:type="dxa"/>
              <w:left w:w="100" w:type="dxa"/>
              <w:bottom w:w="80" w:type="dxa"/>
              <w:right w:w="100" w:type="dxa"/>
            </w:tcMar>
          </w:tcPr>
          <w:p w14:paraId="400E2116" w14:textId="77777777" w:rsidR="00D176D2" w:rsidRDefault="00000000">
            <w:r>
              <w:t>ws.wscnsf.url</w:t>
            </w:r>
          </w:p>
        </w:tc>
        <w:tc>
          <w:tcPr>
            <w:tcW w:w="6502" w:type="dxa"/>
            <w:tcMar>
              <w:top w:w="80" w:type="dxa"/>
              <w:left w:w="100" w:type="dxa"/>
              <w:bottom w:w="80" w:type="dxa"/>
              <w:right w:w="100" w:type="dxa"/>
            </w:tcMar>
          </w:tcPr>
          <w:p w14:paraId="79181185" w14:textId="77777777" w:rsidR="00D176D2" w:rsidRDefault="00000000">
            <w:r>
              <w:t>http://172.16.5.196:10110/SucWebSWIS.dll/soap/ISucWebSWIS</w:t>
            </w:r>
          </w:p>
        </w:tc>
      </w:tr>
      <w:tr w:rsidR="00D176D2" w14:paraId="6350853E" w14:textId="77777777" w:rsidTr="002A5D96">
        <w:tc>
          <w:tcPr>
            <w:tcW w:w="2707" w:type="dxa"/>
            <w:tcMar>
              <w:top w:w="80" w:type="dxa"/>
              <w:left w:w="100" w:type="dxa"/>
              <w:bottom w:w="80" w:type="dxa"/>
              <w:right w:w="100" w:type="dxa"/>
            </w:tcMar>
          </w:tcPr>
          <w:p w14:paraId="5FE09A71" w14:textId="77777777" w:rsidR="00D176D2" w:rsidRDefault="00000000">
            <w:r>
              <w:t>ws.wsfirmasat.url</w:t>
            </w:r>
          </w:p>
        </w:tc>
        <w:tc>
          <w:tcPr>
            <w:tcW w:w="6502" w:type="dxa"/>
            <w:tcMar>
              <w:top w:w="80" w:type="dxa"/>
              <w:left w:w="100" w:type="dxa"/>
              <w:bottom w:w="80" w:type="dxa"/>
              <w:right w:w="100" w:type="dxa"/>
            </w:tcMar>
          </w:tcPr>
          <w:p w14:paraId="4691D2CB" w14:textId="77777777" w:rsidR="00D176D2" w:rsidRDefault="00000000">
            <w:r>
              <w:t>https://api2.issste.gob.mx/wsfirma</w:t>
            </w:r>
          </w:p>
        </w:tc>
      </w:tr>
    </w:tbl>
    <w:p w14:paraId="670BF2BC" w14:textId="77777777" w:rsidR="00D176D2" w:rsidRDefault="00000000">
      <w:pPr>
        <w:pStyle w:val="Ttulo1"/>
        <w:spacing w:before="320" w:after="160"/>
      </w:pPr>
      <w:bookmarkStart w:id="5" w:name="_Toc240206202"/>
      <w:r>
        <w:lastRenderedPageBreak/>
        <w:t>4. Manejo de fallas de comunicación</w:t>
      </w:r>
      <w:bookmarkEnd w:id="5"/>
    </w:p>
    <w:p w14:paraId="506BFD8C" w14:textId="77777777" w:rsidR="00D176D2" w:rsidRDefault="00000000">
      <w:pPr>
        <w:spacing w:after="140"/>
      </w:pPr>
      <w:r>
        <w:t>El sistema cataloga de forma explícita cada falla de comunicación con servicios externos, para que el soporte técnico pueda diagnosticarlas con precisión: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00"/>
        <w:gridCol w:w="2960"/>
      </w:tblGrid>
      <w:tr w:rsidR="00D176D2" w14:paraId="36680753" w14:textId="77777777">
        <w:trPr>
          <w:tblHeader/>
        </w:trPr>
        <w:tc>
          <w:tcPr>
            <w:tcW w:w="1200" w:type="dxa"/>
            <w:shd w:val="clear" w:color="auto" w:fill="DCE6F1"/>
            <w:tcMar>
              <w:top w:w="80" w:type="dxa"/>
              <w:left w:w="100" w:type="dxa"/>
              <w:bottom w:w="80" w:type="dxa"/>
              <w:right w:w="100" w:type="dxa"/>
            </w:tcMar>
          </w:tcPr>
          <w:p w14:paraId="59EAC93C" w14:textId="77777777" w:rsidR="00D176D2" w:rsidRDefault="00000000">
            <w:r>
              <w:rPr>
                <w:b/>
                <w:bCs/>
              </w:rPr>
              <w:t>Código</w:t>
            </w:r>
          </w:p>
        </w:tc>
        <w:tc>
          <w:tcPr>
            <w:tcW w:w="5200" w:type="dxa"/>
            <w:shd w:val="clear" w:color="auto" w:fill="DCE6F1"/>
            <w:tcMar>
              <w:top w:w="80" w:type="dxa"/>
              <w:left w:w="100" w:type="dxa"/>
              <w:bottom w:w="80" w:type="dxa"/>
              <w:right w:w="100" w:type="dxa"/>
            </w:tcMar>
          </w:tcPr>
          <w:p w14:paraId="1F36F9C9" w14:textId="77777777" w:rsidR="00D176D2" w:rsidRDefault="00000000">
            <w:r>
              <w:rPr>
                <w:b/>
                <w:bCs/>
              </w:rPr>
              <w:t>Motivo</w:t>
            </w:r>
          </w:p>
        </w:tc>
        <w:tc>
          <w:tcPr>
            <w:tcW w:w="2960" w:type="dxa"/>
            <w:shd w:val="clear" w:color="auto" w:fill="DCE6F1"/>
            <w:tcMar>
              <w:top w:w="80" w:type="dxa"/>
              <w:left w:w="100" w:type="dxa"/>
              <w:bottom w:w="80" w:type="dxa"/>
              <w:right w:w="100" w:type="dxa"/>
            </w:tcMar>
          </w:tcPr>
          <w:p w14:paraId="1B195895" w14:textId="77777777" w:rsidR="00D176D2" w:rsidRDefault="00000000">
            <w:r>
              <w:rPr>
                <w:b/>
                <w:bCs/>
              </w:rPr>
              <w:t>Servicio afectado</w:t>
            </w:r>
          </w:p>
        </w:tc>
      </w:tr>
      <w:tr w:rsidR="00D176D2" w14:paraId="56AA0052" w14:textId="77777777">
        <w:tc>
          <w:tcPr>
            <w:tcW w:w="1200" w:type="dxa"/>
            <w:tcMar>
              <w:top w:w="80" w:type="dxa"/>
              <w:left w:w="100" w:type="dxa"/>
              <w:bottom w:w="80" w:type="dxa"/>
              <w:right w:w="100" w:type="dxa"/>
            </w:tcMar>
          </w:tcPr>
          <w:p w14:paraId="4FEDC1A9" w14:textId="77777777" w:rsidR="00D176D2" w:rsidRDefault="00000000">
            <w:r>
              <w:t>123</w:t>
            </w:r>
          </w:p>
        </w:tc>
        <w:tc>
          <w:tcPr>
            <w:tcW w:w="5200" w:type="dxa"/>
            <w:tcMar>
              <w:top w:w="80" w:type="dxa"/>
              <w:left w:w="100" w:type="dxa"/>
              <w:bottom w:w="80" w:type="dxa"/>
              <w:right w:w="100" w:type="dxa"/>
            </w:tcMar>
          </w:tcPr>
          <w:p w14:paraId="6F2B474F" w14:textId="77777777" w:rsidR="00D176D2" w:rsidRDefault="00000000">
            <w:r>
              <w:t>Falla de comunicación en proceso de dictaminación (WS7).</w:t>
            </w:r>
          </w:p>
        </w:tc>
        <w:tc>
          <w:tcPr>
            <w:tcW w:w="2960" w:type="dxa"/>
            <w:tcMar>
              <w:top w:w="80" w:type="dxa"/>
              <w:left w:w="100" w:type="dxa"/>
              <w:bottom w:w="80" w:type="dxa"/>
              <w:right w:w="100" w:type="dxa"/>
            </w:tcMar>
          </w:tcPr>
          <w:p w14:paraId="6A5B9683" w14:textId="74C4CB3E" w:rsidR="00D176D2" w:rsidRDefault="002A5D96">
            <w:r>
              <w:t>ISSSTE</w:t>
            </w:r>
          </w:p>
        </w:tc>
      </w:tr>
      <w:tr w:rsidR="00D176D2" w14:paraId="5B019973" w14:textId="77777777">
        <w:tc>
          <w:tcPr>
            <w:tcW w:w="1200" w:type="dxa"/>
            <w:tcMar>
              <w:top w:w="80" w:type="dxa"/>
              <w:left w:w="100" w:type="dxa"/>
              <w:bottom w:w="80" w:type="dxa"/>
              <w:right w:w="100" w:type="dxa"/>
            </w:tcMar>
          </w:tcPr>
          <w:p w14:paraId="52DB36BC" w14:textId="77777777" w:rsidR="00D176D2" w:rsidRDefault="00000000">
            <w:r>
              <w:t>124</w:t>
            </w:r>
          </w:p>
        </w:tc>
        <w:tc>
          <w:tcPr>
            <w:tcW w:w="5200" w:type="dxa"/>
            <w:tcMar>
              <w:top w:w="80" w:type="dxa"/>
              <w:left w:w="100" w:type="dxa"/>
              <w:bottom w:w="80" w:type="dxa"/>
              <w:right w:w="100" w:type="dxa"/>
            </w:tcMar>
          </w:tcPr>
          <w:p w14:paraId="3ECFA82F" w14:textId="77777777" w:rsidR="00D176D2" w:rsidRDefault="00000000">
            <w:r>
              <w:t>Falla de comunicación en notificación de procedencia (WS6).</w:t>
            </w:r>
          </w:p>
        </w:tc>
        <w:tc>
          <w:tcPr>
            <w:tcW w:w="2960" w:type="dxa"/>
            <w:tcMar>
              <w:top w:w="80" w:type="dxa"/>
              <w:left w:w="100" w:type="dxa"/>
              <w:bottom w:w="80" w:type="dxa"/>
              <w:right w:w="100" w:type="dxa"/>
            </w:tcMar>
          </w:tcPr>
          <w:p w14:paraId="3F73DD67" w14:textId="7EBD5F2E" w:rsidR="00D176D2" w:rsidRDefault="002A5D96">
            <w:r>
              <w:t>ISSSTE/IMSS</w:t>
            </w:r>
          </w:p>
        </w:tc>
      </w:tr>
      <w:tr w:rsidR="00D176D2" w14:paraId="24060802" w14:textId="77777777">
        <w:tc>
          <w:tcPr>
            <w:tcW w:w="1200" w:type="dxa"/>
            <w:tcMar>
              <w:top w:w="80" w:type="dxa"/>
              <w:left w:w="100" w:type="dxa"/>
              <w:bottom w:w="80" w:type="dxa"/>
              <w:right w:w="100" w:type="dxa"/>
            </w:tcMar>
          </w:tcPr>
          <w:p w14:paraId="6768B33B" w14:textId="77777777" w:rsidR="00D176D2" w:rsidRDefault="00000000">
            <w:r>
              <w:t>125</w:t>
            </w:r>
          </w:p>
        </w:tc>
        <w:tc>
          <w:tcPr>
            <w:tcW w:w="5200" w:type="dxa"/>
            <w:tcMar>
              <w:top w:w="80" w:type="dxa"/>
              <w:left w:w="100" w:type="dxa"/>
              <w:bottom w:w="80" w:type="dxa"/>
              <w:right w:w="100" w:type="dxa"/>
            </w:tcMar>
          </w:tcPr>
          <w:p w14:paraId="36B0D233" w14:textId="77777777" w:rsidR="00D176D2" w:rsidRDefault="00000000">
            <w:r>
              <w:t>Falla de comunicación en notificación de conclusión (WS4).</w:t>
            </w:r>
          </w:p>
        </w:tc>
        <w:tc>
          <w:tcPr>
            <w:tcW w:w="2960" w:type="dxa"/>
            <w:tcMar>
              <w:top w:w="80" w:type="dxa"/>
              <w:left w:w="100" w:type="dxa"/>
              <w:bottom w:w="80" w:type="dxa"/>
              <w:right w:w="100" w:type="dxa"/>
            </w:tcMar>
          </w:tcPr>
          <w:p w14:paraId="387CBA5B" w14:textId="7BCF20C9" w:rsidR="00D176D2" w:rsidRDefault="002A5D96">
            <w:r>
              <w:t>PROCESAR</w:t>
            </w:r>
          </w:p>
        </w:tc>
      </w:tr>
      <w:tr w:rsidR="00D176D2" w14:paraId="77379C85" w14:textId="77777777">
        <w:tc>
          <w:tcPr>
            <w:tcW w:w="1200" w:type="dxa"/>
            <w:tcMar>
              <w:top w:w="80" w:type="dxa"/>
              <w:left w:w="100" w:type="dxa"/>
              <w:bottom w:w="80" w:type="dxa"/>
              <w:right w:w="100" w:type="dxa"/>
            </w:tcMar>
          </w:tcPr>
          <w:p w14:paraId="166DEB21" w14:textId="77777777" w:rsidR="00D176D2" w:rsidRDefault="00000000">
            <w:r>
              <w:t>126</w:t>
            </w:r>
          </w:p>
        </w:tc>
        <w:tc>
          <w:tcPr>
            <w:tcW w:w="5200" w:type="dxa"/>
            <w:tcMar>
              <w:top w:w="80" w:type="dxa"/>
              <w:left w:w="100" w:type="dxa"/>
              <w:bottom w:w="80" w:type="dxa"/>
              <w:right w:w="100" w:type="dxa"/>
            </w:tcMar>
          </w:tcPr>
          <w:p w14:paraId="11E1FF86" w14:textId="77777777" w:rsidR="00D176D2" w:rsidRDefault="00000000">
            <w:r>
              <w:t>Falla de comunicación en notificación de rechazo (WS5).</w:t>
            </w:r>
          </w:p>
        </w:tc>
        <w:tc>
          <w:tcPr>
            <w:tcW w:w="2960" w:type="dxa"/>
            <w:tcMar>
              <w:top w:w="80" w:type="dxa"/>
              <w:left w:w="100" w:type="dxa"/>
              <w:bottom w:w="80" w:type="dxa"/>
              <w:right w:w="100" w:type="dxa"/>
            </w:tcMar>
          </w:tcPr>
          <w:p w14:paraId="26146371" w14:textId="15A372BF" w:rsidR="00D176D2" w:rsidRDefault="002A5D96">
            <w:r>
              <w:t>PROCESAR</w:t>
            </w:r>
          </w:p>
        </w:tc>
      </w:tr>
      <w:tr w:rsidR="00D176D2" w14:paraId="558C7174" w14:textId="77777777">
        <w:tc>
          <w:tcPr>
            <w:tcW w:w="1200" w:type="dxa"/>
            <w:tcMar>
              <w:top w:w="80" w:type="dxa"/>
              <w:left w:w="100" w:type="dxa"/>
              <w:bottom w:w="80" w:type="dxa"/>
              <w:right w:w="100" w:type="dxa"/>
            </w:tcMar>
          </w:tcPr>
          <w:p w14:paraId="2B7C9C8B" w14:textId="77777777" w:rsidR="00D176D2" w:rsidRDefault="00000000">
            <w:r>
              <w:t>127</w:t>
            </w:r>
          </w:p>
        </w:tc>
        <w:tc>
          <w:tcPr>
            <w:tcW w:w="5200" w:type="dxa"/>
            <w:tcMar>
              <w:top w:w="80" w:type="dxa"/>
              <w:left w:w="100" w:type="dxa"/>
              <w:bottom w:w="80" w:type="dxa"/>
              <w:right w:w="100" w:type="dxa"/>
            </w:tcMar>
          </w:tcPr>
          <w:p w14:paraId="668E4EA5" w14:textId="77777777" w:rsidR="00D176D2" w:rsidRDefault="00000000">
            <w:r>
              <w:t>Falla de comunicación al consultar RENAPO.</w:t>
            </w:r>
          </w:p>
        </w:tc>
        <w:tc>
          <w:tcPr>
            <w:tcW w:w="2960" w:type="dxa"/>
            <w:tcMar>
              <w:top w:w="80" w:type="dxa"/>
              <w:left w:w="100" w:type="dxa"/>
              <w:bottom w:w="80" w:type="dxa"/>
              <w:right w:w="100" w:type="dxa"/>
            </w:tcMar>
          </w:tcPr>
          <w:p w14:paraId="7C6BFB16" w14:textId="207D4D1B" w:rsidR="00D176D2" w:rsidRDefault="002A5D96">
            <w:r>
              <w:t>RENAPO</w:t>
            </w:r>
          </w:p>
        </w:tc>
      </w:tr>
      <w:tr w:rsidR="00D176D2" w14:paraId="5274F2C0" w14:textId="77777777">
        <w:tc>
          <w:tcPr>
            <w:tcW w:w="1200" w:type="dxa"/>
            <w:tcMar>
              <w:top w:w="80" w:type="dxa"/>
              <w:left w:w="100" w:type="dxa"/>
              <w:bottom w:w="80" w:type="dxa"/>
              <w:right w:w="100" w:type="dxa"/>
            </w:tcMar>
          </w:tcPr>
          <w:p w14:paraId="07E94FBA" w14:textId="77777777" w:rsidR="00D176D2" w:rsidRDefault="00000000">
            <w:r>
              <w:t>128</w:t>
            </w:r>
          </w:p>
        </w:tc>
        <w:tc>
          <w:tcPr>
            <w:tcW w:w="5200" w:type="dxa"/>
            <w:tcMar>
              <w:top w:w="80" w:type="dxa"/>
              <w:left w:w="100" w:type="dxa"/>
              <w:bottom w:w="80" w:type="dxa"/>
              <w:right w:w="100" w:type="dxa"/>
            </w:tcMar>
          </w:tcPr>
          <w:p w14:paraId="1CA44B38" w14:textId="77777777" w:rsidR="00D176D2" w:rsidRDefault="00000000">
            <w:r>
              <w:t>Falla de comunicación en consulta básica (WS1).</w:t>
            </w:r>
          </w:p>
        </w:tc>
        <w:tc>
          <w:tcPr>
            <w:tcW w:w="2960" w:type="dxa"/>
            <w:tcMar>
              <w:top w:w="80" w:type="dxa"/>
              <w:left w:w="100" w:type="dxa"/>
              <w:bottom w:w="80" w:type="dxa"/>
              <w:right w:w="100" w:type="dxa"/>
            </w:tcMar>
          </w:tcPr>
          <w:p w14:paraId="65E6631B" w14:textId="4F91886A" w:rsidR="00D176D2" w:rsidRDefault="002A5D96">
            <w:r>
              <w:t>ISSSTE/IMSS</w:t>
            </w:r>
          </w:p>
        </w:tc>
      </w:tr>
      <w:tr w:rsidR="00D176D2" w14:paraId="119B6A14" w14:textId="77777777">
        <w:tc>
          <w:tcPr>
            <w:tcW w:w="1200" w:type="dxa"/>
            <w:tcMar>
              <w:top w:w="80" w:type="dxa"/>
              <w:left w:w="100" w:type="dxa"/>
              <w:bottom w:w="80" w:type="dxa"/>
              <w:right w:w="100" w:type="dxa"/>
            </w:tcMar>
          </w:tcPr>
          <w:p w14:paraId="6B9197D3" w14:textId="77777777" w:rsidR="00D176D2" w:rsidRDefault="00000000">
            <w:r>
              <w:t>129</w:t>
            </w:r>
          </w:p>
        </w:tc>
        <w:tc>
          <w:tcPr>
            <w:tcW w:w="5200" w:type="dxa"/>
            <w:tcMar>
              <w:top w:w="80" w:type="dxa"/>
              <w:left w:w="100" w:type="dxa"/>
              <w:bottom w:w="80" w:type="dxa"/>
              <w:right w:w="100" w:type="dxa"/>
            </w:tcMar>
          </w:tcPr>
          <w:p w14:paraId="4B7A5EF4" w14:textId="77777777" w:rsidR="00D176D2" w:rsidRDefault="00000000">
            <w:r>
              <w:t>Falla de comunicación al realizar la inserción en PROCESAR (WS2).</w:t>
            </w:r>
          </w:p>
        </w:tc>
        <w:tc>
          <w:tcPr>
            <w:tcW w:w="2960" w:type="dxa"/>
            <w:tcMar>
              <w:top w:w="80" w:type="dxa"/>
              <w:left w:w="100" w:type="dxa"/>
              <w:bottom w:w="80" w:type="dxa"/>
              <w:right w:w="100" w:type="dxa"/>
            </w:tcMar>
          </w:tcPr>
          <w:p w14:paraId="3099A6A9" w14:textId="6D681654" w:rsidR="00D176D2" w:rsidRDefault="002A5D96">
            <w:r>
              <w:t>PROCESAR</w:t>
            </w:r>
          </w:p>
        </w:tc>
      </w:tr>
      <w:tr w:rsidR="00D176D2" w14:paraId="46786742" w14:textId="77777777">
        <w:tc>
          <w:tcPr>
            <w:tcW w:w="1200" w:type="dxa"/>
            <w:tcMar>
              <w:top w:w="80" w:type="dxa"/>
              <w:left w:w="100" w:type="dxa"/>
              <w:bottom w:w="80" w:type="dxa"/>
              <w:right w:w="100" w:type="dxa"/>
            </w:tcMar>
          </w:tcPr>
          <w:p w14:paraId="12413C16" w14:textId="77777777" w:rsidR="00D176D2" w:rsidRDefault="00000000">
            <w:r>
              <w:t>130</w:t>
            </w:r>
          </w:p>
        </w:tc>
        <w:tc>
          <w:tcPr>
            <w:tcW w:w="5200" w:type="dxa"/>
            <w:tcMar>
              <w:top w:w="80" w:type="dxa"/>
              <w:left w:w="100" w:type="dxa"/>
              <w:bottom w:w="80" w:type="dxa"/>
              <w:right w:w="100" w:type="dxa"/>
            </w:tcMar>
          </w:tcPr>
          <w:p w14:paraId="6BAAE205" w14:textId="77777777" w:rsidR="00D176D2" w:rsidRDefault="00000000">
            <w:r>
              <w:t>Falla de comunicación en consulta robusta (WS3).</w:t>
            </w:r>
          </w:p>
        </w:tc>
        <w:tc>
          <w:tcPr>
            <w:tcW w:w="2960" w:type="dxa"/>
            <w:tcMar>
              <w:top w:w="80" w:type="dxa"/>
              <w:left w:w="100" w:type="dxa"/>
              <w:bottom w:w="80" w:type="dxa"/>
              <w:right w:w="100" w:type="dxa"/>
            </w:tcMar>
          </w:tcPr>
          <w:p w14:paraId="15ADC557" w14:textId="61A90E5A" w:rsidR="00D176D2" w:rsidRDefault="002A5D96">
            <w:r>
              <w:t>ISSSTE/IMSS</w:t>
            </w:r>
          </w:p>
        </w:tc>
      </w:tr>
      <w:tr w:rsidR="00D176D2" w14:paraId="08312CD4" w14:textId="77777777">
        <w:tc>
          <w:tcPr>
            <w:tcW w:w="1200" w:type="dxa"/>
            <w:tcMar>
              <w:top w:w="80" w:type="dxa"/>
              <w:left w:w="100" w:type="dxa"/>
              <w:bottom w:w="80" w:type="dxa"/>
              <w:right w:w="100" w:type="dxa"/>
            </w:tcMar>
          </w:tcPr>
          <w:p w14:paraId="141E21DA" w14:textId="77777777" w:rsidR="00D176D2" w:rsidRDefault="00000000">
            <w:r>
              <w:t>131</w:t>
            </w:r>
          </w:p>
        </w:tc>
        <w:tc>
          <w:tcPr>
            <w:tcW w:w="5200" w:type="dxa"/>
            <w:tcMar>
              <w:top w:w="80" w:type="dxa"/>
              <w:left w:w="100" w:type="dxa"/>
              <w:bottom w:w="80" w:type="dxa"/>
              <w:right w:w="100" w:type="dxa"/>
            </w:tcMar>
          </w:tcPr>
          <w:p w14:paraId="630557A0" w14:textId="77777777" w:rsidR="00D176D2" w:rsidRDefault="00000000">
            <w:r>
              <w:t>Falla de comunicación de saldos preliminares (WS-SaldosPreliminares).</w:t>
            </w:r>
          </w:p>
        </w:tc>
        <w:tc>
          <w:tcPr>
            <w:tcW w:w="2960" w:type="dxa"/>
            <w:tcMar>
              <w:top w:w="80" w:type="dxa"/>
              <w:left w:w="100" w:type="dxa"/>
              <w:bottom w:w="80" w:type="dxa"/>
              <w:right w:w="100" w:type="dxa"/>
            </w:tcMar>
          </w:tcPr>
          <w:p w14:paraId="5EFF6E23" w14:textId="06706CA3" w:rsidR="00D176D2" w:rsidRDefault="002A5D96">
            <w:r>
              <w:t>PROCESAR</w:t>
            </w:r>
          </w:p>
        </w:tc>
      </w:tr>
      <w:tr w:rsidR="00D176D2" w14:paraId="6BD033B3" w14:textId="77777777">
        <w:tc>
          <w:tcPr>
            <w:tcW w:w="1200" w:type="dxa"/>
            <w:tcMar>
              <w:top w:w="80" w:type="dxa"/>
              <w:left w:w="100" w:type="dxa"/>
              <w:bottom w:w="80" w:type="dxa"/>
              <w:right w:w="100" w:type="dxa"/>
            </w:tcMar>
          </w:tcPr>
          <w:p w14:paraId="61917B02" w14:textId="77777777" w:rsidR="00D176D2" w:rsidRDefault="00000000">
            <w:r>
              <w:t>132</w:t>
            </w:r>
          </w:p>
        </w:tc>
        <w:tc>
          <w:tcPr>
            <w:tcW w:w="5200" w:type="dxa"/>
            <w:tcMar>
              <w:top w:w="80" w:type="dxa"/>
              <w:left w:w="100" w:type="dxa"/>
              <w:bottom w:w="80" w:type="dxa"/>
              <w:right w:w="100" w:type="dxa"/>
            </w:tcMar>
          </w:tcPr>
          <w:p w14:paraId="2528EC32" w14:textId="77777777" w:rsidR="00D176D2" w:rsidRDefault="00000000">
            <w:r>
              <w:t>Falla de comunicación con CNSF.</w:t>
            </w:r>
          </w:p>
        </w:tc>
        <w:tc>
          <w:tcPr>
            <w:tcW w:w="2960" w:type="dxa"/>
            <w:tcMar>
              <w:top w:w="80" w:type="dxa"/>
              <w:left w:w="100" w:type="dxa"/>
              <w:bottom w:w="80" w:type="dxa"/>
              <w:right w:w="100" w:type="dxa"/>
            </w:tcMar>
          </w:tcPr>
          <w:p w14:paraId="2DFA064B" w14:textId="1F801162" w:rsidR="00D176D2" w:rsidRDefault="002A5D96">
            <w:r>
              <w:t>PROCESAR</w:t>
            </w:r>
          </w:p>
        </w:tc>
      </w:tr>
    </w:tbl>
    <w:p w14:paraId="2D5C4CAB" w14:textId="77777777" w:rsidR="00D176D2" w:rsidRDefault="00000000">
      <w:pPr>
        <w:pStyle w:val="Ttulo1"/>
        <w:spacing w:before="320" w:after="160"/>
      </w:pPr>
      <w:bookmarkStart w:id="6" w:name="_Toc240206203"/>
      <w:r>
        <w:t>5. Recomendaciones de soporte</w:t>
      </w:r>
      <w:bookmarkEnd w:id="6"/>
    </w:p>
    <w:p w14:paraId="48F612AA" w14:textId="77777777" w:rsidR="00D176D2" w:rsidRDefault="00000000">
      <w:pPr>
        <w:pStyle w:val="Prrafodelista"/>
        <w:numPr>
          <w:ilvl w:val="0"/>
          <w:numId w:val="1"/>
        </w:numPr>
        <w:spacing w:after="60"/>
      </w:pPr>
      <w:r>
        <w:t>Ante fallas de comunicación repetidas con un servicio externo, verificar primero la disponibilidad de red hacia el dominio correspondiente antes de escalar como incidencia funcional.</w:t>
      </w:r>
    </w:p>
    <w:p w14:paraId="2336D5BB" w14:textId="77777777" w:rsidR="00D176D2" w:rsidRDefault="00000000">
      <w:pPr>
        <w:pStyle w:val="Prrafodelista"/>
        <w:numPr>
          <w:ilvl w:val="0"/>
          <w:numId w:val="1"/>
        </w:numPr>
        <w:spacing w:after="60"/>
      </w:pPr>
      <w:r>
        <w:t>La bitácora de cuenta individual (BIT_CUENTA_IND) y el historial de estatus (CEI_TD_SOLICITUD) son la primera fuente de diagnóstico ante un reclamo de un folio específico.</w:t>
      </w:r>
    </w:p>
    <w:p w14:paraId="09B235D6" w14:textId="77777777" w:rsidR="00D176D2" w:rsidRDefault="00000000">
      <w:pPr>
        <w:pStyle w:val="Prrafodelista"/>
        <w:numPr>
          <w:ilvl w:val="0"/>
          <w:numId w:val="1"/>
        </w:numPr>
        <w:spacing w:after="60"/>
      </w:pPr>
      <w:r>
        <w:t>Las credenciales de firma (certificado/llave/contraseña) nunca deben exponerse en logs de depuración.</w:t>
      </w:r>
    </w:p>
    <w:p w14:paraId="14C8107C" w14:textId="77777777" w:rsidR="00D176D2" w:rsidRDefault="00000000">
      <w:pPr>
        <w:pStyle w:val="Prrafodelista"/>
        <w:numPr>
          <w:ilvl w:val="0"/>
          <w:numId w:val="1"/>
        </w:numPr>
        <w:spacing w:after="60"/>
      </w:pPr>
      <w:r>
        <w:t>Un derechohabiente con un trámite de portabilidad concluido previamente puede ser objeto de un nuevo trámite; esto es un comportamiento esperado y no debe tratarse como una inconsistencia. Los periodos con marca 410 en cuenta_ind son periodos ya portados y reutilizables en un trámite posterior.</w:t>
      </w:r>
    </w:p>
    <w:sectPr w:rsidR="00D176D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A6DB" w14:textId="77777777" w:rsidR="00E27804" w:rsidRDefault="00E27804">
      <w:r>
        <w:separator/>
      </w:r>
    </w:p>
  </w:endnote>
  <w:endnote w:type="continuationSeparator" w:id="0">
    <w:p w14:paraId="72C956E5" w14:textId="77777777" w:rsidR="00E27804" w:rsidRDefault="00E27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E8D8" w14:textId="77777777" w:rsidR="00D176D2"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2A5D96">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2A5D9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A626" w14:textId="77777777" w:rsidR="00E27804" w:rsidRDefault="00E27804">
      <w:r>
        <w:separator/>
      </w:r>
    </w:p>
  </w:footnote>
  <w:footnote w:type="continuationSeparator" w:id="0">
    <w:p w14:paraId="028BD0A8" w14:textId="77777777" w:rsidR="00E27804" w:rsidRDefault="00E27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0D3A" w14:textId="77777777" w:rsidR="00D176D2" w:rsidRDefault="00000000">
    <w:pPr>
      <w:jc w:val="right"/>
    </w:pPr>
    <w:r>
      <w:rPr>
        <w:color w:val="808080"/>
        <w:sz w:val="16"/>
        <w:szCs w:val="16"/>
      </w:rPr>
      <w:t>FJL-F09-TD ·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3674"/>
    <w:multiLevelType w:val="hybridMultilevel"/>
    <w:tmpl w:val="7B84DAEE"/>
    <w:lvl w:ilvl="0" w:tplc="68BC5AB8">
      <w:start w:val="1"/>
      <w:numFmt w:val="bullet"/>
      <w:lvlText w:val="•"/>
      <w:lvlJc w:val="left"/>
    </w:lvl>
    <w:lvl w:ilvl="1" w:tplc="9B6622AC">
      <w:numFmt w:val="decimal"/>
      <w:lvlText w:val=""/>
      <w:lvlJc w:val="left"/>
    </w:lvl>
    <w:lvl w:ilvl="2" w:tplc="A74A5658">
      <w:numFmt w:val="decimal"/>
      <w:lvlText w:val=""/>
      <w:lvlJc w:val="left"/>
    </w:lvl>
    <w:lvl w:ilvl="3" w:tplc="E402D1CE">
      <w:numFmt w:val="decimal"/>
      <w:lvlText w:val=""/>
      <w:lvlJc w:val="left"/>
    </w:lvl>
    <w:lvl w:ilvl="4" w:tplc="48F431BC">
      <w:numFmt w:val="decimal"/>
      <w:lvlText w:val=""/>
      <w:lvlJc w:val="left"/>
    </w:lvl>
    <w:lvl w:ilvl="5" w:tplc="8096909C">
      <w:numFmt w:val="decimal"/>
      <w:lvlText w:val=""/>
      <w:lvlJc w:val="left"/>
    </w:lvl>
    <w:lvl w:ilvl="6" w:tplc="2C8E87EC">
      <w:numFmt w:val="decimal"/>
      <w:lvlText w:val=""/>
      <w:lvlJc w:val="left"/>
    </w:lvl>
    <w:lvl w:ilvl="7" w:tplc="0E426726">
      <w:numFmt w:val="decimal"/>
      <w:lvlText w:val=""/>
      <w:lvlJc w:val="left"/>
    </w:lvl>
    <w:lvl w:ilvl="8" w:tplc="8AD0CBB6">
      <w:numFmt w:val="decimal"/>
      <w:lvlText w:val=""/>
      <w:lvlJc w:val="left"/>
    </w:lvl>
  </w:abstractNum>
  <w:abstractNum w:abstractNumId="1" w15:restartNumberingAfterBreak="0">
    <w:nsid w:val="5577038D"/>
    <w:multiLevelType w:val="hybridMultilevel"/>
    <w:tmpl w:val="B6A435E4"/>
    <w:lvl w:ilvl="0" w:tplc="C6C4C420">
      <w:start w:val="1"/>
      <w:numFmt w:val="bullet"/>
      <w:lvlText w:val="●"/>
      <w:lvlJc w:val="left"/>
      <w:pPr>
        <w:ind w:left="720" w:hanging="360"/>
      </w:pPr>
    </w:lvl>
    <w:lvl w:ilvl="1" w:tplc="B90A2A14">
      <w:start w:val="1"/>
      <w:numFmt w:val="bullet"/>
      <w:lvlText w:val="○"/>
      <w:lvlJc w:val="left"/>
      <w:pPr>
        <w:ind w:left="1440" w:hanging="360"/>
      </w:pPr>
    </w:lvl>
    <w:lvl w:ilvl="2" w:tplc="C6A89AB6">
      <w:start w:val="1"/>
      <w:numFmt w:val="bullet"/>
      <w:lvlText w:val="■"/>
      <w:lvlJc w:val="left"/>
      <w:pPr>
        <w:ind w:left="2160" w:hanging="360"/>
      </w:pPr>
    </w:lvl>
    <w:lvl w:ilvl="3" w:tplc="B792CEA6">
      <w:start w:val="1"/>
      <w:numFmt w:val="bullet"/>
      <w:lvlText w:val="●"/>
      <w:lvlJc w:val="left"/>
      <w:pPr>
        <w:ind w:left="2880" w:hanging="360"/>
      </w:pPr>
    </w:lvl>
    <w:lvl w:ilvl="4" w:tplc="732A81B6">
      <w:start w:val="1"/>
      <w:numFmt w:val="bullet"/>
      <w:lvlText w:val="○"/>
      <w:lvlJc w:val="left"/>
      <w:pPr>
        <w:ind w:left="3600" w:hanging="360"/>
      </w:pPr>
    </w:lvl>
    <w:lvl w:ilvl="5" w:tplc="B972005E">
      <w:start w:val="1"/>
      <w:numFmt w:val="bullet"/>
      <w:lvlText w:val="■"/>
      <w:lvlJc w:val="left"/>
      <w:pPr>
        <w:ind w:left="4320" w:hanging="360"/>
      </w:pPr>
    </w:lvl>
    <w:lvl w:ilvl="6" w:tplc="4E5A6130">
      <w:start w:val="1"/>
      <w:numFmt w:val="bullet"/>
      <w:lvlText w:val="●"/>
      <w:lvlJc w:val="left"/>
      <w:pPr>
        <w:ind w:left="5040" w:hanging="360"/>
      </w:pPr>
    </w:lvl>
    <w:lvl w:ilvl="7" w:tplc="C792BFBA">
      <w:start w:val="1"/>
      <w:numFmt w:val="bullet"/>
      <w:lvlText w:val="●"/>
      <w:lvlJc w:val="left"/>
      <w:pPr>
        <w:ind w:left="5760" w:hanging="360"/>
      </w:pPr>
    </w:lvl>
    <w:lvl w:ilvl="8" w:tplc="C6E25AD8">
      <w:start w:val="1"/>
      <w:numFmt w:val="bullet"/>
      <w:lvlText w:val="●"/>
      <w:lvlJc w:val="left"/>
      <w:pPr>
        <w:ind w:left="6480" w:hanging="360"/>
      </w:pPr>
    </w:lvl>
  </w:abstractNum>
  <w:num w:numId="1" w16cid:durableId="1519081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D2"/>
    <w:rsid w:val="00005FF9"/>
    <w:rsid w:val="00152DB2"/>
    <w:rsid w:val="002A5D96"/>
    <w:rsid w:val="00496952"/>
    <w:rsid w:val="004E7B12"/>
    <w:rsid w:val="00D176D2"/>
    <w:rsid w:val="00E278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A032"/>
  <w15:docId w15:val="{4D343C85-5D79-4B8F-9884-980E0872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semiHidden/>
    <w:unhideWhenUsed/>
    <w:qFormat/>
    <w:pPr>
      <w:outlineLvl w:val="1"/>
    </w:pPr>
    <w:rPr>
      <w:b/>
      <w:bCs/>
      <w:color w:val="1F3864"/>
      <w:sz w:val="26"/>
      <w:szCs w:val="26"/>
    </w:rPr>
  </w:style>
  <w:style w:type="paragraph" w:styleId="Ttulo3">
    <w:name w:val="heading 3"/>
    <w:uiPriority w:val="9"/>
    <w:semiHidden/>
    <w:unhideWhenUsed/>
    <w:qFormat/>
    <w:pPr>
      <w:outlineLvl w:val="2"/>
    </w:pPr>
    <w:rPr>
      <w:b/>
      <w:bCs/>
      <w:color w:val="C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A5D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65F950D60E1834B8D83E3E9E2A9DDAD" ma:contentTypeVersion="14" ma:contentTypeDescription="Crear nuevo documento." ma:contentTypeScope="" ma:versionID="fa98f095a7816ddf207bcd4a9b2efae3">
  <xsd:schema xmlns:xsd="http://www.w3.org/2001/XMLSchema" xmlns:xs="http://www.w3.org/2001/XMLSchema" xmlns:p="http://schemas.microsoft.com/office/2006/metadata/properties" xmlns:ns2="8792097f-8f50-4f4e-82f0-23731625fea7" xmlns:ns3="1b81ff49-d556-4718-ba3a-b4ee88364cae" targetNamespace="http://schemas.microsoft.com/office/2006/metadata/properties" ma:root="true" ma:fieldsID="732c2389252d2adffbc15801921660d1" ns2:_="" ns3:_="">
    <xsd:import namespace="8792097f-8f50-4f4e-82f0-23731625fea7"/>
    <xsd:import namespace="1b81ff49-d556-4718-ba3a-b4ee88364ca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097f-8f50-4f4e-82f0-23731625f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81ff49-d556-4718-ba3a-b4ee88364ca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17b80d75-4d2d-443f-b2a5-82dd36ea7342}" ma:internalName="TaxCatchAll" ma:showField="CatchAllData" ma:web="1b81ff49-d556-4718-ba3a-b4ee88364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92097f-8f50-4f4e-82f0-23731625fea7">
      <Terms xmlns="http://schemas.microsoft.com/office/infopath/2007/PartnerControls"/>
    </lcf76f155ced4ddcb4097134ff3c332f>
    <TaxCatchAll xmlns="1b81ff49-d556-4718-ba3a-b4ee88364cae" xsi:nil="true"/>
  </documentManagement>
</p:properties>
</file>

<file path=customXml/itemProps1.xml><?xml version="1.0" encoding="utf-8"?>
<ds:datastoreItem xmlns:ds="http://schemas.openxmlformats.org/officeDocument/2006/customXml" ds:itemID="{3076A617-E64C-4591-941D-229906D462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097f-8f50-4f4e-82f0-23731625fea7"/>
    <ds:schemaRef ds:uri="1b81ff49-d556-4718-ba3a-b4ee88364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E6523-4B84-4FEA-A654-CABC41BFF4BF}">
  <ds:schemaRefs>
    <ds:schemaRef ds:uri="http://schemas.microsoft.com/sharepoint/v3/contenttype/forms"/>
  </ds:schemaRefs>
</ds:datastoreItem>
</file>

<file path=customXml/itemProps3.xml><?xml version="1.0" encoding="utf-8"?>
<ds:datastoreItem xmlns:ds="http://schemas.openxmlformats.org/officeDocument/2006/customXml" ds:itemID="{E9BC700E-4B88-4644-9ACF-F8E91C27AAC8}">
  <ds:schemaRefs>
    <ds:schemaRef ds:uri="http://schemas.microsoft.com/office/2006/metadata/properties"/>
    <ds:schemaRef ds:uri="http://schemas.microsoft.com/office/infopath/2007/PartnerControls"/>
    <ds:schemaRef ds:uri="8792097f-8f50-4f4e-82f0-23731625fea7"/>
    <ds:schemaRef ds:uri="1b81ff49-d556-4718-ba3a-b4ee88364ca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738</Words>
  <Characters>4062</Characters>
  <Application>Microsoft Office Word</Application>
  <DocSecurity>0</DocSecurity>
  <Lines>33</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FJL-F09-TD · Manual Técnico</dc:title>
  <dc:subject>Documentación oficial del proyecto</dc:subject>
  <dc:creator>Carlos Quintero (carlos.quintero@4js.com)</dc:creator>
  <dc:description>Portabilidad de Derechos Pensionarios entre ISSSTE e IMSS</dc:description>
  <cp:lastModifiedBy>Carlos Quintero</cp:lastModifiedBy>
  <cp:revision>3</cp:revision>
  <dcterms:created xsi:type="dcterms:W3CDTF">2026-07-29T18:20:00Z</dcterms:created>
  <dcterms:modified xsi:type="dcterms:W3CDTF">2026-09-22T14:00:00Z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0x010100265F950D60E1834B8D83E3E9E2A9DDAD</vt:lpwstr>
  </property>
</Properties>
</file>