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imes New Roman"/>
          <w:color w:val="auto"/>
          <w:sz w:val="22"/>
          <w:szCs w:val="22"/>
          <w:lang w:eastAsia="en-US"/>
        </w:rPr>
        <w:id w:val="-1289355793"/>
        <w:docPartObj>
          <w:docPartGallery w:val="Table of Contents"/>
          <w:docPartUnique/>
        </w:docPartObj>
      </w:sdtPr>
      <w:sdtEndPr>
        <w:rPr>
          <w:b/>
          <w:bCs/>
          <w:sz w:val="20"/>
          <w:szCs w:val="20"/>
        </w:rPr>
      </w:sdtEndPr>
      <w:sdtContent>
        <w:p w14:paraId="4FAD83F3" w14:textId="77777777" w:rsidR="00146638" w:rsidRDefault="00146638" w:rsidP="00146638">
          <w:pPr>
            <w:pStyle w:val="TtuloTDC"/>
          </w:pPr>
          <w:r>
            <w:t>Índice</w:t>
          </w:r>
        </w:p>
        <w:p w14:paraId="75B0521F" w14:textId="54DFBE72" w:rsidR="000C6530" w:rsidRDefault="00146638">
          <w:pPr>
            <w:pStyle w:val="TDC1"/>
            <w:tabs>
              <w:tab w:val="left" w:pos="440"/>
              <w:tab w:val="right" w:leader="dot" w:pos="8494"/>
            </w:tabs>
            <w:rPr>
              <w:rFonts w:eastAsiaTheme="minorEastAsia" w:cstheme="minorBidi"/>
              <w:iCs w:val="0"/>
              <w:noProof/>
              <w:sz w:val="22"/>
              <w:szCs w:val="22"/>
              <w:lang w:val="es-MX" w:eastAsia="es-MX"/>
            </w:rPr>
          </w:pPr>
          <w:r>
            <w:rPr>
              <w:lang w:val="es-MX"/>
            </w:rPr>
            <w:fldChar w:fldCharType="begin"/>
          </w:r>
          <w:r>
            <w:instrText xml:space="preserve"> TOC \o "1-3" \h \z \u </w:instrText>
          </w:r>
          <w:r>
            <w:rPr>
              <w:lang w:val="es-MX"/>
            </w:rPr>
            <w:fldChar w:fldCharType="separate"/>
          </w:r>
          <w:hyperlink w:anchor="_Toc156815633" w:history="1">
            <w:r>
              <w:rPr>
                <w:rStyle w:val="Hipervnculo"/>
                <w:noProof/>
              </w:rPr>
              <w:t>1.</w:t>
            </w:r>
            <w:r>
              <w:rPr>
                <w:rFonts w:eastAsiaTheme="minorEastAsia" w:cstheme="minorBidi"/>
                <w:iCs w:val="0"/>
                <w:noProof/>
                <w:sz w:val="22"/>
                <w:szCs w:val="22"/>
                <w:lang w:val="es-MX" w:eastAsia="es-MX"/>
              </w:rPr>
              <w:tab/>
            </w:r>
            <w:r>
              <w:rPr>
                <w:rStyle w:val="Hipervnculo"/>
                <w:noProof/>
              </w:rPr>
              <w:t>Propósito</w:t>
            </w:r>
            <w:r>
              <w:rPr>
                <w:noProof/>
                <w:webHidden/>
              </w:rPr>
              <w:tab/>
              <w:fldChar w:fldCharType="begin"/>
              <w:instrText xml:space="preserve"> PAGEREF _Toc156815633 \h </w:instrText>
              <w:fldChar w:fldCharType="separate"/>
              <w:t>2</w:t>
              <w:fldChar w:fldCharType="end"/>
            </w:r>
          </w:hyperlink>
        </w:p>
        <w:p w14:paraId="084B5F6F" w14:textId="6064FA9C" w:rsidR="000C6530" w:rsidRDefault="00000000">
          <w:pPr>
            <w:pStyle w:val="TDC1"/>
            <w:tabs>
              <w:tab w:val="left" w:pos="440"/>
              <w:tab w:val="right" w:leader="dot" w:pos="8494"/>
            </w:tabs>
            <w:rPr>
              <w:rFonts w:eastAsiaTheme="minorEastAsia" w:cstheme="minorBidi"/>
              <w:iCs w:val="0"/>
              <w:noProof/>
              <w:sz w:val="22"/>
              <w:szCs w:val="22"/>
              <w:lang w:val="es-MX" w:eastAsia="es-MX"/>
            </w:rPr>
          </w:pPr>
          <w:hyperlink w:anchor="_Toc156815634" w:history="1">
            <w:r>
              <w:rPr>
                <w:rStyle w:val="Hipervnculo"/>
                <w:rFonts w:cstheme="majorHAnsi"/>
                <w:noProof/>
              </w:rPr>
              <w:t>2.</w:t>
            </w:r>
            <w:r>
              <w:rPr>
                <w:rFonts w:eastAsiaTheme="minorEastAsia" w:cstheme="minorBidi"/>
                <w:iCs w:val="0"/>
                <w:noProof/>
                <w:sz w:val="22"/>
                <w:szCs w:val="22"/>
                <w:lang w:val="es-MX" w:eastAsia="es-MX"/>
              </w:rPr>
              <w:tab/>
            </w:r>
            <w:r>
              <w:rPr>
                <w:rStyle w:val="Hipervnculo"/>
                <w:rFonts w:cstheme="majorHAnsi"/>
                <w:noProof/>
              </w:rPr>
              <w:t>Alcance</w:t>
            </w:r>
            <w:r>
              <w:rPr>
                <w:noProof/>
                <w:webHidden/>
              </w:rPr>
              <w:tab/>
              <w:fldChar w:fldCharType="begin"/>
              <w:instrText xml:space="preserve"> PAGEREF _Toc156815634 \h </w:instrText>
              <w:fldChar w:fldCharType="separate"/>
              <w:t>2</w:t>
              <w:fldChar w:fldCharType="end"/>
            </w:r>
          </w:hyperlink>
        </w:p>
        <w:p w14:paraId="4E98D5A7" w14:textId="1A0D6BC6" w:rsidR="000C6530" w:rsidRDefault="00000000">
          <w:pPr>
            <w:pStyle w:val="TDC1"/>
            <w:tabs>
              <w:tab w:val="left" w:pos="440"/>
              <w:tab w:val="right" w:leader="dot" w:pos="8494"/>
            </w:tabs>
            <w:rPr>
              <w:rFonts w:eastAsiaTheme="minorEastAsia" w:cstheme="minorBidi"/>
              <w:iCs w:val="0"/>
              <w:noProof/>
              <w:sz w:val="22"/>
              <w:szCs w:val="22"/>
              <w:lang w:val="es-MX" w:eastAsia="es-MX"/>
            </w:rPr>
          </w:pPr>
          <w:hyperlink w:anchor="_Toc156815635" w:history="1">
            <w:r>
              <w:rPr>
                <w:rStyle w:val="Hipervnculo"/>
                <w:noProof/>
              </w:rPr>
              <w:t>3.</w:t>
            </w:r>
            <w:r>
              <w:rPr>
                <w:rFonts w:eastAsiaTheme="minorEastAsia" w:cstheme="minorBidi"/>
                <w:iCs w:val="0"/>
                <w:noProof/>
                <w:sz w:val="22"/>
                <w:szCs w:val="22"/>
                <w:lang w:val="es-MX" w:eastAsia="es-MX"/>
              </w:rPr>
              <w:tab/>
            </w:r>
            <w:r>
              <w:rPr>
                <w:rStyle w:val="Hipervnculo"/>
                <w:noProof/>
              </w:rPr>
              <w:t>Ambiente operativo requerido</w:t>
            </w:r>
            <w:r>
              <w:rPr>
                <w:noProof/>
                <w:webHidden/>
              </w:rPr>
              <w:tab/>
              <w:fldChar w:fldCharType="begin"/>
              <w:instrText xml:space="preserve"> PAGEREF _Toc156815635 \h </w:instrText>
              <w:fldChar w:fldCharType="separate"/>
              <w:t>2</w:t>
              <w:fldChar w:fldCharType="end"/>
            </w:r>
          </w:hyperlink>
        </w:p>
        <w:p w14:paraId="58494793" w14:textId="75A447A1" w:rsidR="000C6530" w:rsidRDefault="00000000">
          <w:pPr>
            <w:pStyle w:val="TDC2"/>
            <w:tabs>
              <w:tab w:val="left" w:pos="880"/>
              <w:tab w:val="right" w:leader="dot" w:pos="8494"/>
            </w:tabs>
            <w:rPr>
              <w:rFonts w:eastAsiaTheme="minorEastAsia" w:cstheme="minorBidi"/>
              <w:iCs w:val="0"/>
              <w:noProof/>
              <w:sz w:val="22"/>
              <w:szCs w:val="22"/>
              <w:lang w:val="es-MX" w:eastAsia="es-MX"/>
            </w:rPr>
          </w:pPr>
          <w:hyperlink w:anchor="_Toc156815636" w:history="1">
            <w:r>
              <w:rPr>
                <w:rStyle w:val="Hipervnculo"/>
                <w:noProof/>
                <w:lang w:val="es-ES_tradnl"/>
              </w:rPr>
              <w:t>3.1.</w:t>
            </w:r>
            <w:r>
              <w:rPr>
                <w:rFonts w:eastAsiaTheme="minorEastAsia" w:cstheme="minorBidi"/>
                <w:iCs w:val="0"/>
                <w:noProof/>
                <w:sz w:val="22"/>
                <w:szCs w:val="22"/>
                <w:lang w:val="es-MX" w:eastAsia="es-MX"/>
              </w:rPr>
              <w:tab/>
            </w:r>
            <w:r>
              <w:rPr>
                <w:rStyle w:val="Hipervnculo"/>
                <w:noProof/>
                <w:lang w:val="es-ES_tradnl"/>
              </w:rPr>
              <w:t>Sistema operativo</w:t>
            </w:r>
            <w:r>
              <w:rPr>
                <w:noProof/>
                <w:webHidden/>
              </w:rPr>
              <w:tab/>
              <w:fldChar w:fldCharType="begin"/>
              <w:instrText xml:space="preserve"> PAGEREF _Toc156815636 \h </w:instrText>
              <w:fldChar w:fldCharType="separate"/>
              <w:t>2</w:t>
              <w:fldChar w:fldCharType="end"/>
            </w:r>
          </w:hyperlink>
        </w:p>
        <w:p w14:paraId="0E4BBF6D" w14:textId="1AADCCE9" w:rsidR="000C6530" w:rsidRDefault="00000000">
          <w:pPr>
            <w:pStyle w:val="TDC2"/>
            <w:tabs>
              <w:tab w:val="left" w:pos="880"/>
              <w:tab w:val="right" w:leader="dot" w:pos="8494"/>
            </w:tabs>
            <w:rPr>
              <w:rFonts w:eastAsiaTheme="minorEastAsia" w:cstheme="minorBidi"/>
              <w:iCs w:val="0"/>
              <w:noProof/>
              <w:sz w:val="22"/>
              <w:szCs w:val="22"/>
              <w:lang w:val="es-MX" w:eastAsia="es-MX"/>
            </w:rPr>
          </w:pPr>
          <w:hyperlink w:anchor="_Toc156815637" w:history="1">
            <w:r>
              <w:rPr>
                <w:rStyle w:val="Hipervnculo"/>
                <w:noProof/>
                <w:lang w:val="es-ES_tradnl"/>
              </w:rPr>
              <w:t>3.2.</w:t>
            </w:r>
            <w:r>
              <w:rPr>
                <w:rFonts w:eastAsiaTheme="minorEastAsia" w:cstheme="minorBidi"/>
                <w:iCs w:val="0"/>
                <w:noProof/>
                <w:sz w:val="22"/>
                <w:szCs w:val="22"/>
                <w:lang w:val="es-MX" w:eastAsia="es-MX"/>
              </w:rPr>
              <w:tab/>
            </w:r>
            <w:r>
              <w:rPr>
                <w:rStyle w:val="Hipervnculo"/>
                <w:noProof/>
                <w:lang w:val="es-ES_tradnl"/>
              </w:rPr>
              <w:t>Navegador</w:t>
            </w:r>
            <w:r>
              <w:rPr>
                <w:noProof/>
                <w:webHidden/>
              </w:rPr>
              <w:tab/>
              <w:fldChar w:fldCharType="begin"/>
              <w:instrText xml:space="preserve"> PAGEREF _Toc156815637 \h </w:instrText>
              <w:fldChar w:fldCharType="separate"/>
              <w:t>2</w:t>
              <w:fldChar w:fldCharType="end"/>
            </w:r>
          </w:hyperlink>
        </w:p>
        <w:p w14:paraId="0AFB7717" w14:textId="021CB1DC" w:rsidR="000C6530" w:rsidRDefault="00000000">
          <w:pPr>
            <w:pStyle w:val="TDC2"/>
            <w:tabs>
              <w:tab w:val="left" w:pos="880"/>
              <w:tab w:val="right" w:leader="dot" w:pos="8494"/>
            </w:tabs>
            <w:rPr>
              <w:rFonts w:eastAsiaTheme="minorEastAsia" w:cstheme="minorBidi"/>
              <w:iCs w:val="0"/>
              <w:noProof/>
              <w:sz w:val="22"/>
              <w:szCs w:val="22"/>
              <w:lang w:val="es-MX" w:eastAsia="es-MX"/>
            </w:rPr>
          </w:pPr>
          <w:hyperlink w:anchor="_Toc156815638" w:history="1">
            <w:r>
              <w:rPr>
                <w:rStyle w:val="Hipervnculo"/>
                <w:noProof/>
                <w:lang w:val="es-ES_tradnl"/>
              </w:rPr>
              <w:t>3.3.</w:t>
            </w:r>
            <w:r>
              <w:rPr>
                <w:rFonts w:eastAsiaTheme="minorEastAsia" w:cstheme="minorBidi"/>
                <w:iCs w:val="0"/>
                <w:noProof/>
                <w:sz w:val="22"/>
                <w:szCs w:val="22"/>
                <w:lang w:val="es-MX" w:eastAsia="es-MX"/>
              </w:rPr>
              <w:tab/>
            </w:r>
            <w:r>
              <w:rPr>
                <w:rStyle w:val="Hipervnculo"/>
                <w:noProof/>
                <w:lang w:val="es-ES_tradnl"/>
              </w:rPr>
              <w:t>Servidor web</w:t>
            </w:r>
            <w:r>
              <w:rPr>
                <w:noProof/>
                <w:webHidden/>
              </w:rPr>
              <w:tab/>
              <w:fldChar w:fldCharType="begin"/>
              <w:instrText xml:space="preserve"> PAGEREF _Toc156815638 \h </w:instrText>
              <w:fldChar w:fldCharType="separate"/>
              <w:t>2</w:t>
              <w:fldChar w:fldCharType="end"/>
            </w:r>
          </w:hyperlink>
        </w:p>
        <w:p w14:paraId="6C147390" w14:textId="2A967838" w:rsidR="000C6530" w:rsidRDefault="00000000">
          <w:pPr>
            <w:pStyle w:val="TDC1"/>
            <w:tabs>
              <w:tab w:val="left" w:pos="440"/>
              <w:tab w:val="right" w:leader="dot" w:pos="8494"/>
            </w:tabs>
            <w:rPr>
              <w:rFonts w:eastAsiaTheme="minorEastAsia" w:cstheme="minorBidi"/>
              <w:iCs w:val="0"/>
              <w:noProof/>
              <w:sz w:val="22"/>
              <w:szCs w:val="22"/>
              <w:lang w:val="es-MX" w:eastAsia="es-MX"/>
            </w:rPr>
          </w:pPr>
          <w:hyperlink w:anchor="_Toc156815639" w:history="1">
            <w:r>
              <w:rPr>
                <w:rStyle w:val="Hipervnculo"/>
                <w:rFonts w:cstheme="majorHAnsi"/>
                <w:noProof/>
                <w:lang w:val="es-ES_tradnl"/>
              </w:rPr>
              <w:t>4.</w:t>
            </w:r>
            <w:r>
              <w:rPr>
                <w:rFonts w:eastAsiaTheme="minorEastAsia" w:cstheme="minorBidi"/>
                <w:iCs w:val="0"/>
                <w:noProof/>
                <w:sz w:val="22"/>
                <w:szCs w:val="22"/>
                <w:lang w:val="es-MX" w:eastAsia="es-MX"/>
              </w:rPr>
              <w:tab/>
            </w:r>
            <w:r>
              <w:rPr>
                <w:rStyle w:val="Hipervnculo"/>
                <w:rFonts w:cstheme="majorHAnsi"/>
                <w:noProof/>
                <w:lang w:val="es-ES_tradnl"/>
              </w:rPr>
              <w:t>Instalación y configuración</w:t>
            </w:r>
            <w:r>
              <w:rPr>
                <w:noProof/>
                <w:webHidden/>
              </w:rPr>
              <w:tab/>
              <w:fldChar w:fldCharType="begin"/>
              <w:instrText xml:space="preserve"> PAGEREF _Toc156815639 \h </w:instrText>
              <w:fldChar w:fldCharType="separate"/>
              <w:t>2</w:t>
              <w:fldChar w:fldCharType="end"/>
            </w:r>
          </w:hyperlink>
        </w:p>
        <w:p w14:paraId="67A23CB8" w14:textId="253D7775" w:rsidR="000C6530" w:rsidRDefault="00000000">
          <w:pPr>
            <w:pStyle w:val="TDC1"/>
            <w:tabs>
              <w:tab w:val="left" w:pos="440"/>
              <w:tab w:val="right" w:leader="dot" w:pos="8494"/>
            </w:tabs>
            <w:rPr>
              <w:rFonts w:eastAsiaTheme="minorEastAsia" w:cstheme="minorBidi"/>
              <w:iCs w:val="0"/>
              <w:noProof/>
              <w:sz w:val="22"/>
              <w:szCs w:val="22"/>
              <w:lang w:val="es-MX" w:eastAsia="es-MX"/>
            </w:rPr>
          </w:pPr>
          <w:hyperlink w:anchor="_Toc156815640" w:history="1">
            <w:r>
              <w:rPr>
                <w:rStyle w:val="Hipervnculo"/>
                <w:noProof/>
                <w:lang w:val="es-ES_tradnl"/>
              </w:rPr>
              <w:t>5.</w:t>
            </w:r>
            <w:r>
              <w:rPr>
                <w:rFonts w:eastAsiaTheme="minorEastAsia" w:cstheme="minorBidi"/>
                <w:iCs w:val="0"/>
                <w:noProof/>
                <w:sz w:val="22"/>
                <w:szCs w:val="22"/>
                <w:lang w:val="es-MX" w:eastAsia="es-MX"/>
              </w:rPr>
              <w:tab/>
            </w:r>
            <w:r>
              <w:rPr>
                <w:rStyle w:val="Hipervnculo"/>
                <w:noProof/>
                <w:lang w:val="es-ES_tradnl"/>
              </w:rPr>
              <w:t>Advertencias de seguridad</w:t>
            </w:r>
            <w:r>
              <w:rPr>
                <w:noProof/>
                <w:webHidden/>
              </w:rPr>
              <w:tab/>
              <w:fldChar w:fldCharType="begin"/>
              <w:instrText xml:space="preserve"> PAGEREF _Toc156815640 \h </w:instrText>
              <w:fldChar w:fldCharType="separate"/>
              <w:t>2</w:t>
              <w:fldChar w:fldCharType="end"/>
            </w:r>
          </w:hyperlink>
        </w:p>
        <w:p w14:paraId="56003DC7" w14:textId="5DDB9581" w:rsidR="000C6530" w:rsidRDefault="00000000">
          <w:pPr>
            <w:pStyle w:val="TDC1"/>
            <w:tabs>
              <w:tab w:val="left" w:pos="440"/>
              <w:tab w:val="right" w:leader="dot" w:pos="8494"/>
            </w:tabs>
            <w:rPr>
              <w:rFonts w:eastAsiaTheme="minorEastAsia" w:cstheme="minorBidi"/>
              <w:iCs w:val="0"/>
              <w:noProof/>
              <w:sz w:val="22"/>
              <w:szCs w:val="22"/>
              <w:lang w:val="es-MX" w:eastAsia="es-MX"/>
            </w:rPr>
          </w:pPr>
          <w:hyperlink w:anchor="_Toc156815641" w:history="1">
            <w:r>
              <w:rPr>
                <w:rStyle w:val="Hipervnculo"/>
                <w:noProof/>
              </w:rPr>
              <w:t>6.</w:t>
            </w:r>
            <w:r>
              <w:rPr>
                <w:rFonts w:eastAsiaTheme="minorEastAsia" w:cstheme="minorBidi"/>
                <w:iCs w:val="0"/>
                <w:noProof/>
                <w:sz w:val="22"/>
                <w:szCs w:val="22"/>
                <w:lang w:val="es-MX" w:eastAsia="es-MX"/>
              </w:rPr>
              <w:tab/>
            </w:r>
            <w:r>
              <w:rPr>
                <w:rStyle w:val="Hipervnculo"/>
                <w:noProof/>
              </w:rPr>
              <w:t>Material de soporte</w:t>
            </w:r>
            <w:r>
              <w:rPr>
                <w:noProof/>
                <w:webHidden/>
              </w:rPr>
              <w:tab/>
              <w:fldChar w:fldCharType="begin"/>
              <w:instrText xml:space="preserve"> PAGEREF _Toc156815641 \h </w:instrText>
              <w:fldChar w:fldCharType="separate"/>
              <w:t>3</w:t>
              <w:fldChar w:fldCharType="end"/>
            </w:r>
          </w:hyperlink>
        </w:p>
        <w:p w14:paraId="624EDA73" w14:textId="3626BD4A" w:rsidR="000C6530" w:rsidRDefault="00000000">
          <w:pPr>
            <w:pStyle w:val="TDC1"/>
            <w:tabs>
              <w:tab w:val="left" w:pos="440"/>
              <w:tab w:val="right" w:leader="dot" w:pos="8494"/>
            </w:tabs>
            <w:rPr>
              <w:rFonts w:eastAsiaTheme="minorEastAsia" w:cstheme="minorBidi"/>
              <w:iCs w:val="0"/>
              <w:noProof/>
              <w:sz w:val="22"/>
              <w:szCs w:val="22"/>
              <w:lang w:val="es-MX" w:eastAsia="es-MX"/>
            </w:rPr>
          </w:pPr>
          <w:hyperlink w:anchor="_Toc156815642" w:history="1">
            <w:r>
              <w:rPr>
                <w:rStyle w:val="Hipervnculo"/>
                <w:noProof/>
                <w:lang w:val="es-ES_tradnl"/>
              </w:rPr>
              <w:t>7.</w:t>
            </w:r>
            <w:r>
              <w:rPr>
                <w:rFonts w:eastAsiaTheme="minorEastAsia" w:cstheme="minorBidi"/>
                <w:iCs w:val="0"/>
                <w:noProof/>
                <w:sz w:val="22"/>
                <w:szCs w:val="22"/>
                <w:lang w:val="es-MX" w:eastAsia="es-MX"/>
              </w:rPr>
              <w:tab/>
            </w:r>
            <w:r>
              <w:rPr>
                <w:rStyle w:val="Hipervnculo"/>
                <w:noProof/>
                <w:lang w:val="es-ES_tradnl"/>
              </w:rPr>
              <w:t>Preguntas frecuentes (FAQ)</w:t>
            </w:r>
            <w:r>
              <w:rPr>
                <w:noProof/>
                <w:webHidden/>
              </w:rPr>
              <w:tab/>
              <w:fldChar w:fldCharType="begin"/>
              <w:instrText xml:space="preserve"> PAGEREF _Toc156815642 \h </w:instrText>
              <w:fldChar w:fldCharType="separate"/>
              <w:t>3</w:t>
              <w:fldChar w:fldCharType="end"/>
            </w:r>
          </w:hyperlink>
        </w:p>
        <w:p w14:paraId="061F61D8" w14:textId="1DA84B56" w:rsidR="000C6530" w:rsidRDefault="00000000">
          <w:pPr>
            <w:pStyle w:val="TDC1"/>
            <w:tabs>
              <w:tab w:val="left" w:pos="440"/>
              <w:tab w:val="right" w:leader="dot" w:pos="8494"/>
            </w:tabs>
            <w:rPr>
              <w:rFonts w:eastAsiaTheme="minorEastAsia" w:cstheme="minorBidi"/>
              <w:iCs w:val="0"/>
              <w:noProof/>
              <w:sz w:val="22"/>
              <w:szCs w:val="22"/>
              <w:lang w:val="es-MX" w:eastAsia="es-MX"/>
            </w:rPr>
          </w:pPr>
          <w:hyperlink w:anchor="_Toc156815643" w:history="1">
            <w:r>
              <w:rPr>
                <w:rStyle w:val="Hipervnculo"/>
                <w:noProof/>
              </w:rPr>
              <w:t>8.</w:t>
            </w:r>
            <w:r>
              <w:rPr>
                <w:rFonts w:eastAsiaTheme="minorEastAsia" w:cstheme="minorBidi"/>
                <w:iCs w:val="0"/>
                <w:noProof/>
                <w:sz w:val="22"/>
                <w:szCs w:val="22"/>
                <w:lang w:val="es-MX" w:eastAsia="es-MX"/>
              </w:rPr>
              <w:tab/>
            </w:r>
            <w:r>
              <w:rPr>
                <w:rStyle w:val="Hipervnculo"/>
                <w:noProof/>
              </w:rPr>
              <w:t>Certificación y aprobación de seguridad</w:t>
            </w:r>
            <w:r>
              <w:rPr>
                <w:noProof/>
                <w:webHidden/>
              </w:rPr>
              <w:tab/>
              <w:fldChar w:fldCharType="begin"/>
              <w:instrText xml:space="preserve"> PAGEREF _Toc156815643 \h </w:instrText>
              <w:fldChar w:fldCharType="separate"/>
              <w:t>3</w:t>
              <w:fldChar w:fldCharType="end"/>
            </w:r>
          </w:hyperlink>
        </w:p>
        <w:p w14:paraId="7CF95CCE" w14:textId="3DB28016" w:rsidR="000C6530" w:rsidRDefault="00000000">
          <w:pPr>
            <w:pStyle w:val="TDC1"/>
            <w:tabs>
              <w:tab w:val="left" w:pos="440"/>
              <w:tab w:val="right" w:leader="dot" w:pos="8494"/>
            </w:tabs>
            <w:rPr>
              <w:rFonts w:eastAsiaTheme="minorEastAsia" w:cstheme="minorBidi"/>
              <w:iCs w:val="0"/>
              <w:noProof/>
              <w:sz w:val="22"/>
              <w:szCs w:val="22"/>
              <w:lang w:val="es-MX" w:eastAsia="es-MX"/>
            </w:rPr>
          </w:pPr>
          <w:hyperlink w:anchor="_Toc156815644" w:history="1">
            <w:r>
              <w:rPr>
                <w:rStyle w:val="Hipervnculo"/>
                <w:noProof/>
              </w:rPr>
              <w:t>9.</w:t>
            </w:r>
            <w:r>
              <w:rPr>
                <w:rFonts w:eastAsiaTheme="minorEastAsia" w:cstheme="minorBidi"/>
                <w:iCs w:val="0"/>
                <w:noProof/>
                <w:sz w:val="22"/>
                <w:szCs w:val="22"/>
                <w:lang w:val="es-MX" w:eastAsia="es-MX"/>
              </w:rPr>
              <w:tab/>
            </w:r>
            <w:r>
              <w:rPr>
                <w:rStyle w:val="Hipervnculo"/>
                <w:noProof/>
              </w:rPr>
              <w:t>Garantía</w:t>
            </w:r>
            <w:r>
              <w:rPr>
                <w:noProof/>
                <w:webHidden/>
              </w:rPr>
              <w:tab/>
              <w:fldChar w:fldCharType="begin"/>
              <w:instrText xml:space="preserve"> PAGEREF _Toc156815644 \h </w:instrText>
              <w:fldChar w:fldCharType="separate"/>
              <w:t>3</w:t>
              <w:fldChar w:fldCharType="end"/>
            </w:r>
          </w:hyperlink>
        </w:p>
        <w:p w14:paraId="056A33AA" w14:textId="0C2C50B7" w:rsidR="000C6530" w:rsidRDefault="00000000">
          <w:pPr>
            <w:pStyle w:val="TDC1"/>
            <w:tabs>
              <w:tab w:val="right" w:leader="dot" w:pos="8494"/>
            </w:tabs>
            <w:rPr>
              <w:rFonts w:eastAsiaTheme="minorEastAsia" w:cstheme="minorBidi"/>
              <w:iCs w:val="0"/>
              <w:noProof/>
              <w:sz w:val="22"/>
              <w:szCs w:val="22"/>
              <w:lang w:val="es-MX" w:eastAsia="es-MX"/>
            </w:rPr>
          </w:pPr>
          <w:hyperlink w:anchor="_Toc156815645" w:history="1">
            <w:r>
              <w:rPr>
                <w:rStyle w:val="Hipervnculo"/>
                <w:noProof/>
              </w:rPr>
              <w:t>Información del documento</w:t>
            </w:r>
            <w:r>
              <w:rPr>
                <w:noProof/>
                <w:webHidden/>
              </w:rPr>
              <w:tab/>
              <w:fldChar w:fldCharType="begin"/>
              <w:instrText xml:space="preserve"> PAGEREF _Toc156815645 \h </w:instrText>
              <w:fldChar w:fldCharType="separate"/>
              <w:t>4</w:t>
              <w:fldChar w:fldCharType="end"/>
            </w:r>
          </w:hyperlink>
        </w:p>
        <w:p w14:paraId="3DD8A325" w14:textId="564CB8BA" w:rsidR="00146638" w:rsidRDefault="00146638" w:rsidP="00146638">
          <w:r>
            <w:rPr>
              <w:b/>
              <w:bCs/>
            </w:rPr>
            <w:fldChar w:fldCharType="end"/>
          </w:r>
        </w:p>
      </w:sdtContent>
    </w:sdt>
    <w:p w14:paraId="3AF78953" w14:textId="77777777" w:rsidR="00146638" w:rsidRPr="00A7619C" w:rsidRDefault="00146638" w:rsidP="00146638">
      <w:pPr>
        <w:spacing w:line="276" w:lineRule="auto"/>
      </w:pPr>
    </w:p>
    <w:p w14:paraId="455C088C" w14:textId="77777777" w:rsidR="00146638" w:rsidRDefault="00146638" w:rsidP="00146638"/>
    <w:p w14:paraId="76C0C310" w14:textId="77777777" w:rsidR="00146638" w:rsidRDefault="00146638" w:rsidP="00146638"/>
    <w:p w14:paraId="41281620" w14:textId="5092E793" w:rsidR="00AE1793" w:rsidRDefault="00AE1793"/>
    <w:p w14:paraId="2ECAD802" w14:textId="36CD9AE5" w:rsidR="00146638" w:rsidRDefault="00146638"/>
    <w:p w14:paraId="08BC18B0" w14:textId="330BD515" w:rsidR="00146638" w:rsidRDefault="00146638"/>
    <w:p w14:paraId="67FA427F" w14:textId="06D5E100" w:rsidR="00146638" w:rsidRDefault="00146638"/>
    <w:p w14:paraId="56256ED4" w14:textId="75198CD6" w:rsidR="00146638" w:rsidRDefault="00146638"/>
    <w:p w14:paraId="703CD511" w14:textId="68C6D998" w:rsidR="00146638" w:rsidRDefault="00146638"/>
    <w:p w14:paraId="2F969621" w14:textId="3F0A37C5" w:rsidR="00146638" w:rsidRDefault="00146638"/>
    <w:p w14:paraId="060A5ADC" w14:textId="564C58AD" w:rsidR="00146638" w:rsidRDefault="00146638"/>
    <w:p w14:paraId="49F2CBE0" w14:textId="028420DA" w:rsidR="00146638" w:rsidRDefault="00146638"/>
    <w:p w14:paraId="21ED01D2" w14:textId="1C6B98BB" w:rsidR="00146638" w:rsidRDefault="00146638"/>
    <w:p w14:paraId="66CEF454" w14:textId="2C8035C6" w:rsidR="00146638" w:rsidRDefault="00146638"/>
    <w:p w14:paraId="4D9BBF0D" w14:textId="6AFD328E" w:rsidR="00146638" w:rsidRDefault="00146638"/>
    <w:p w14:paraId="0E8973D1" w14:textId="4A2CC0B6" w:rsidR="00146638" w:rsidRDefault="00146638"/>
    <w:p w14:paraId="0A421D65" w14:textId="09200993" w:rsidR="00146638" w:rsidRPr="00B13D65" w:rsidRDefault="00A15316" w:rsidP="00BC4B58">
      <w:pPr>
        <w:pStyle w:val="Ttulo1"/>
        <w:numPr>
          <w:ilvl w:val="0"/>
          <w:numId w:val="1"/>
        </w:numPr>
        <w:tabs>
          <w:tab w:val="left" w:pos="284"/>
        </w:tabs>
        <w:spacing w:line="276" w:lineRule="auto"/>
      </w:pPr>
      <w:r>
        <w:lastRenderedPageBreak/>
        <w:t xml:space="preserve"> </w:t>
      </w:r>
      <w:bookmarkStart w:id="0" w:name="_Toc156815633"/>
      <w:r>
        <w:t>Propósito</w:t>
      </w:r>
      <w:bookmarkEnd w:id="0"/>
    </w:p>
    <w:p w14:paraId="2525F892" w14:textId="480C43CE" w:rsidR="00D95381" w:rsidRPr="00D70941" w:rsidRDefault="0042661D" w:rsidP="00BC4B58">
      <w:pPr>
        <w:spacing w:after="0" w:line="276" w:lineRule="auto"/>
        <w:jc w:val="both"/>
      </w:pPr>
      <w:r>
        <w:t xml:space="preserve">El propósito del manual de operaciones es describir la información necesaria para poder operar correctamente el producto de software, esté manual va dirigido al responsable(s) de administrar el software.</w:t>
      </w:r>
    </w:p>
    <w:p w14:paraId="3647273C" w14:textId="0FE9D09E" w:rsidR="00D95381" w:rsidRPr="00D70941" w:rsidRDefault="00D95381" w:rsidP="00BC4B58">
      <w:pPr>
        <w:pStyle w:val="Ttulo1"/>
        <w:numPr>
          <w:ilvl w:val="0"/>
          <w:numId w:val="1"/>
        </w:numPr>
        <w:rPr>
          <w:rFonts w:cstheme="majorHAnsi"/>
        </w:rPr>
      </w:pPr>
      <w:bookmarkStart w:id="1" w:name="_Toc156815634"/>
      <w:r>
        <w:rPr>
          <w:rFonts w:cstheme="majorHAnsi"/>
        </w:rPr>
        <w:t>Alcance</w:t>
      </w:r>
      <w:bookmarkEnd w:id="1"/>
    </w:p>
    <w:p w14:paraId="35499A3B" w14:textId="30923930" w:rsidR="00E865F3" w:rsidRPr="00D70941" w:rsidRDefault="00E865F3" w:rsidP="00E865F3">
      <w:r>
        <w:rPr>
          <w:rStyle w:val="normaltextrun"/>
          <w:rFonts w:ascii="Calibri" w:hAnsi="Calibri" w:cs="Calibri"/>
          <w:color w:val="000000"/>
          <w:shd w:val="clear" w:color="auto" w:fill="FFFFFF"/>
        </w:rPr>
        <w:t xml:space="preserve">Este manual tiene un alcance exclusivo de </w:t>
      </w:r>
      <w:r>
        <w:rPr>
          <w:rStyle w:val="normaltextrun"/>
          <w:rFonts w:ascii="Calibri" w:hAnsi="Calibri" w:cs="Calibri"/>
          <w:i/>
          <w:color w:val="7F7F7F" w:themeColor="text1" w:themeTint="80"/>
          <w:shd w:val="clear" w:color="auto" w:fill="FFFFFF"/>
        </w:rPr>
        <w:t>Portabilidad de Derechos Pensionarios entre ISSSTE e IMSS</w:t>
      </w:r>
      <w:r>
        <w:rPr>
          <w:rStyle w:val="normaltextrun"/>
          <w:rFonts w:ascii="Calibri" w:hAnsi="Calibri" w:cs="Calibri"/>
          <w:color w:val="000000"/>
          <w:shd w:val="clear" w:color="auto" w:fill="FFFFFF"/>
        </w:rPr>
        <w:t xml:space="preserve"> para la versión número </w:t>
      </w:r>
      <w:r>
        <w:rPr>
          <w:rStyle w:val="normaltextrun"/>
          <w:rFonts w:ascii="Calibri" w:hAnsi="Calibri" w:cs="Calibri"/>
          <w:i/>
          <w:color w:val="7F7F7F" w:themeColor="text1" w:themeTint="80"/>
          <w:shd w:val="clear" w:color="auto" w:fill="FFFFFF"/>
        </w:rPr>
        <w:t>2.0</w:t>
      </w:r>
      <w:r>
        <w:rPr>
          <w:rStyle w:val="normaltextrun"/>
          <w:rFonts w:ascii="Calibri" w:hAnsi="Calibri" w:cs="Calibri"/>
          <w:color w:val="000000"/>
          <w:shd w:val="clear" w:color="auto" w:fill="FFFFFF"/>
        </w:rPr>
        <w:t>.</w:t>
      </w:r>
      <w:r>
        <w:rPr>
          <w:rStyle w:val="eop"/>
          <w:rFonts w:ascii="Calibri" w:hAnsi="Calibri" w:cs="Calibri"/>
          <w:color w:val="000000"/>
          <w:shd w:val="clear" w:color="auto" w:fill="FFFFFF"/>
        </w:rPr>
        <w:t> </w:t>
      </w:r>
    </w:p>
    <w:p w14:paraId="41986474" w14:textId="6DA4F381" w:rsidR="002D211F" w:rsidRPr="00D70941" w:rsidRDefault="002D211F" w:rsidP="00BC4B58">
      <w:pPr>
        <w:pStyle w:val="Ttulo1"/>
        <w:numPr>
          <w:ilvl w:val="0"/>
          <w:numId w:val="1"/>
        </w:numPr>
        <w:spacing w:line="276" w:lineRule="auto"/>
      </w:pPr>
      <w:bookmarkStart w:id="2" w:name="_Toc156815635"/>
      <w:r>
        <w:t xml:space="preserve">Ambiente operativo requerido</w:t>
      </w:r>
      <w:bookmarkEnd w:id="2"/>
    </w:p>
    <w:p w14:paraId="6C1E99D1" w14:textId="784A3411" w:rsidR="00794D0A" w:rsidRPr="00D70941" w:rsidRDefault="00BE49A4" w:rsidP="00BC4B58">
      <w:pPr>
        <w:spacing w:after="0" w:line="276" w:lineRule="auto"/>
        <w:jc w:val="both"/>
      </w:pPr>
      <w:r>
        <w:t xml:space="preserve">A continuación, se describe el ambiente requerido para que pueda operar el producto.</w:t>
      </w:r>
    </w:p>
    <w:p w14:paraId="15311C4F" w14:textId="030210AB" w:rsidR="00475BCF" w:rsidRPr="00D70941" w:rsidRDefault="0065241B" w:rsidP="00BC4B58">
      <w:pPr>
        <w:pStyle w:val="Ttulo2"/>
        <w:numPr>
          <w:ilvl w:val="1"/>
          <w:numId w:val="1"/>
        </w:numPr>
        <w:tabs>
          <w:tab w:val="left" w:pos="284"/>
          <w:tab w:val="left" w:pos="426"/>
        </w:tabs>
        <w:spacing w:line="276" w:lineRule="auto"/>
        <w:ind w:left="0" w:firstLine="0"/>
        <w:rPr>
          <w:sz w:val="24"/>
          <w:szCs w:val="24"/>
          <w:lang w:val="es-ES_tradnl"/>
        </w:rPr>
      </w:pPr>
      <w:r>
        <w:rPr>
          <w:sz w:val="24"/>
          <w:szCs w:val="24"/>
          <w:lang w:val="es-ES_tradnl"/>
        </w:rPr>
        <w:t xml:space="preserve"> </w:t>
      </w:r>
      <w:bookmarkStart w:id="3" w:name="_Toc156815636"/>
      <w:r>
        <w:rPr>
          <w:sz w:val="24"/>
          <w:szCs w:val="24"/>
          <w:lang w:val="es-ES_tradnl"/>
        </w:rPr>
        <w:t>Sistema operativo</w:t>
      </w:r>
      <w:bookmarkEnd w:id="3"/>
    </w:p>
    <w:p w14:paraId="53F3A259" w14:textId="7F1CFE5D" w:rsidR="00475BCF" w:rsidRPr="00D70941" w:rsidRDefault="007B0521" w:rsidP="00BC4B58">
      <w:pPr>
        <w:spacing w:after="0" w:line="276" w:lineRule="auto"/>
        <w:jc w:val="both"/>
        <w:rPr>
          <w:color w:val="000000" w:themeColor="text1"/>
          <w:lang w:val="es-ES_tradnl"/>
        </w:rPr>
      </w:pPr>
      <w:r>
        <w:rPr>
          <w:color w:val="000000" w:themeColor="text1"/>
          <w:lang w:val="es-ES_tradnl"/>
        </w:rPr>
        <w:t xml:space="preserve">Funciona en los siguientes sistemas operativos:</w:t>
      </w:r>
    </w:p>
    <w:p w14:paraId="4EEE33FB" w14:textId="05A95AB7" w:rsidR="00475BCF" w:rsidRPr="00D70941" w:rsidRDefault="00113C19" w:rsidP="00BC4B58">
      <w:pPr>
        <w:pStyle w:val="Prrafodelista"/>
        <w:numPr>
          <w:ilvl w:val="0"/>
          <w:numId w:val="2"/>
        </w:numPr>
        <w:spacing w:after="0" w:line="276" w:lineRule="auto"/>
        <w:jc w:val="both"/>
        <w:rPr>
          <w:i/>
          <w:iCs w:val="0"/>
          <w:color w:val="7F7F7F" w:themeColor="text1" w:themeTint="80"/>
          <w:lang w:val="es-ES_tradnl"/>
        </w:rPr>
      </w:pPr>
      <w:r>
        <w:rPr>
          <w:i/>
          <w:color w:val="7F7F7F" w:themeColor="text1" w:themeTint="80"/>
          <w:lang w:val="es-ES_tradnl"/>
        </w:rPr>
        <w:t xml:space="preserve">Windows 10 o superior (equipos de ventanilla de ISSSTE).</w:t>
      </w:r>
    </w:p>
    <w:p w14:paraId="00EDBED0" w14:textId="74A8AAB2" w:rsidR="00113C19" w:rsidRPr="00D70941" w:rsidRDefault="002B3EF7" w:rsidP="00BC4B58">
      <w:pPr>
        <w:pStyle w:val="Prrafodelista"/>
        <w:numPr>
          <w:ilvl w:val="0"/>
          <w:numId w:val="2"/>
        </w:numPr>
        <w:spacing w:after="0" w:line="276" w:lineRule="auto"/>
        <w:jc w:val="both"/>
        <w:rPr>
          <w:i/>
          <w:iCs w:val="0"/>
          <w:color w:val="7F7F7F" w:themeColor="text1" w:themeTint="80"/>
          <w:lang w:val="es-ES_tradnl"/>
        </w:rPr>
      </w:pPr>
      <w:r>
        <w:rPr>
          <w:i/>
          <w:color w:val="7F7F7F" w:themeColor="text1" w:themeTint="80"/>
          <w:lang w:val="es-ES_tradnl"/>
        </w:rPr>
        <w:t xml:space="preserve">No aplica (equipos institucionales, no se utiliza macOS).</w:t>
      </w:r>
    </w:p>
    <w:p w14:paraId="6DB0A70C" w14:textId="050B9E49" w:rsidR="00A85190" w:rsidRPr="00D70941" w:rsidRDefault="0065241B" w:rsidP="00BC4B58">
      <w:pPr>
        <w:pStyle w:val="Ttulo2"/>
        <w:numPr>
          <w:ilvl w:val="1"/>
          <w:numId w:val="1"/>
        </w:numPr>
        <w:tabs>
          <w:tab w:val="left" w:pos="142"/>
          <w:tab w:val="left" w:pos="426"/>
        </w:tabs>
        <w:spacing w:line="276" w:lineRule="auto"/>
        <w:ind w:left="0" w:firstLine="0"/>
        <w:rPr>
          <w:sz w:val="24"/>
          <w:szCs w:val="24"/>
          <w:lang w:val="es-ES_tradnl"/>
        </w:rPr>
      </w:pPr>
      <w:r>
        <w:rPr>
          <w:sz w:val="24"/>
          <w:szCs w:val="24"/>
          <w:lang w:val="es-ES_tradnl"/>
        </w:rPr>
        <w:t xml:space="preserve"> </w:t>
      </w:r>
      <w:bookmarkStart w:id="4" w:name="_Toc156815637"/>
      <w:r>
        <w:rPr>
          <w:sz w:val="24"/>
          <w:szCs w:val="24"/>
          <w:lang w:val="es-ES_tradnl"/>
        </w:rPr>
        <w:t>Navegador</w:t>
      </w:r>
      <w:bookmarkEnd w:id="4"/>
    </w:p>
    <w:p w14:paraId="6AE3B7B6" w14:textId="7C4ECE12" w:rsidR="001B7510" w:rsidRPr="00D70941" w:rsidRDefault="007B0521" w:rsidP="00BC4B58">
      <w:pPr>
        <w:spacing w:after="0" w:line="276" w:lineRule="auto"/>
        <w:jc w:val="both"/>
        <w:rPr>
          <w:color w:val="595959" w:themeColor="text1" w:themeTint="A6"/>
          <w:lang w:val="es-ES_tradnl"/>
        </w:rPr>
      </w:pPr>
      <w:r>
        <w:rPr>
          <w:color w:val="000000" w:themeColor="text1"/>
          <w:lang w:val="es-ES_tradnl"/>
        </w:rPr>
        <w:t xml:space="preserve">Funciona con los siguientes navegadores:</w:t>
      </w:r>
    </w:p>
    <w:p w14:paraId="2FBFA0DF" w14:textId="15997617" w:rsidR="00CE333E" w:rsidRPr="00D70941" w:rsidRDefault="00015595" w:rsidP="00BC4B58">
      <w:pPr>
        <w:pStyle w:val="Prrafodelista"/>
        <w:numPr>
          <w:ilvl w:val="0"/>
          <w:numId w:val="3"/>
        </w:numPr>
        <w:spacing w:after="0" w:line="276" w:lineRule="auto"/>
        <w:jc w:val="both"/>
        <w:rPr>
          <w:i/>
          <w:iCs w:val="0"/>
          <w:color w:val="7F7F7F" w:themeColor="text1" w:themeTint="80"/>
          <w:lang w:val="es-ES_tradnl"/>
        </w:rPr>
      </w:pPr>
      <w:r>
        <w:rPr>
          <w:i/>
          <w:color w:val="7F7F7F" w:themeColor="text1" w:themeTint="80"/>
          <w:lang w:val="es-ES_tradnl"/>
        </w:rPr>
        <w:t xml:space="preserve">Determinado por los portales institucionales SINAVID-OV y SIPE-AV, no por este módulo en particular.</w:t>
      </w:r>
    </w:p>
    <w:p w14:paraId="11920A0E" w14:textId="33E5D43C" w:rsidR="00D23B92" w:rsidRPr="00D70941" w:rsidRDefault="0065241B" w:rsidP="00BC4B58">
      <w:pPr>
        <w:pStyle w:val="Ttulo2"/>
        <w:numPr>
          <w:ilvl w:val="1"/>
          <w:numId w:val="1"/>
        </w:numPr>
        <w:tabs>
          <w:tab w:val="left" w:pos="284"/>
          <w:tab w:val="left" w:pos="426"/>
        </w:tabs>
        <w:spacing w:line="276" w:lineRule="auto"/>
        <w:ind w:left="0" w:firstLine="0"/>
        <w:rPr>
          <w:sz w:val="24"/>
          <w:szCs w:val="24"/>
          <w:lang w:val="es-ES_tradnl"/>
        </w:rPr>
      </w:pPr>
      <w:r>
        <w:rPr>
          <w:sz w:val="24"/>
          <w:szCs w:val="24"/>
          <w:lang w:val="es-ES_tradnl"/>
        </w:rPr>
        <w:t xml:space="preserve"> </w:t>
      </w:r>
      <w:bookmarkStart w:id="5" w:name="_Toc156815638"/>
      <w:r>
        <w:rPr>
          <w:sz w:val="24"/>
          <w:szCs w:val="24"/>
          <w:lang w:val="es-ES_tradnl"/>
        </w:rPr>
        <w:t>Servidor web</w:t>
      </w:r>
      <w:bookmarkEnd w:id="5"/>
    </w:p>
    <w:p w14:paraId="0490F47A" w14:textId="37EAB39F" w:rsidR="00622F25" w:rsidRPr="00D8665A" w:rsidRDefault="00D8665A" w:rsidP="00BC4B58">
      <w:pPr>
        <w:spacing w:after="0" w:line="276" w:lineRule="auto"/>
        <w:jc w:val="both"/>
        <w:rPr>
          <w:rFonts w:ascii="Times New Roman" w:hAnsi="Times New Roman"/>
          <w:sz w:val="18"/>
          <w:szCs w:val="18"/>
          <w:lang w:val="es-ES_tradnl"/>
        </w:rPr>
      </w:pPr>
      <w:r>
        <w:rPr>
          <w:lang w:val="es-ES_tradnl"/>
        </w:rPr>
        <w:t xml:space="preserve">Características del servidor web que son requeridas para el uso del producto. </w:t>
      </w:r>
      <w:r>
        <w:rPr>
          <w:rFonts w:ascii="Times New Roman" w:hAnsi="Times New Roman"/>
          <w:b/>
          <w:bCs/>
          <w:i/>
          <w:iCs w:val="0"/>
          <w:sz w:val="18"/>
          <w:szCs w:val="18"/>
          <w:lang w:val="es-ES_tradnl"/>
        </w:rPr>
        <w:t>(Si no aplica eliminar)</w:t>
      </w:r>
    </w:p>
    <w:p w14:paraId="16E9D4D2" w14:textId="2DBD939D" w:rsidR="00D77B5F" w:rsidRPr="00D70941" w:rsidRDefault="0058427A" w:rsidP="00BC4B58">
      <w:pPr>
        <w:spacing w:after="0" w:line="276" w:lineRule="auto"/>
        <w:jc w:val="both"/>
        <w:rPr>
          <w:i/>
          <w:iCs w:val="0"/>
          <w:color w:val="7F7F7F" w:themeColor="text1" w:themeTint="80"/>
        </w:rPr>
      </w:pPr>
      <w:r>
        <w:rPr>
          <w:i/>
          <w:color w:val="7F7F7F" w:themeColor="text1" w:themeTint="80"/>
        </w:rPr>
        <w:t xml:space="preserve">Genero Application Server (GAS): es el servidor de aplicaciones institucional sobre el que se ejecutan los módulos Genero BDL/4GL.</w:t>
      </w:r>
    </w:p>
    <w:p w14:paraId="40C61600" w14:textId="5CD4B045" w:rsidR="00D77B5F" w:rsidRPr="00D70941" w:rsidRDefault="00D77B5F" w:rsidP="00BC4B58">
      <w:pPr>
        <w:spacing w:after="0" w:line="276" w:lineRule="auto"/>
        <w:jc w:val="both"/>
        <w:rPr>
          <w:i/>
          <w:iCs w:val="0"/>
          <w:color w:val="7F7F7F" w:themeColor="text1" w:themeTint="80"/>
        </w:rPr>
      </w:pPr>
      <w:r>
        <w:rPr>
          <w:i/>
          <w:color w:val="7F7F7F" w:themeColor="text1" w:themeTint="80"/>
        </w:rPr>
        <w:t xml:space="preserve">El módulo de Portabilidad de Derechos Pensionarios entre ISSSTE e IMSS requiere de este servidor para su correcto funcionamiento.</w:t>
      </w:r>
    </w:p>
    <w:p w14:paraId="568C251B" w14:textId="157BE485" w:rsidR="005A1F56" w:rsidRPr="00D70941" w:rsidRDefault="005A1F56" w:rsidP="00BC4B58">
      <w:pPr>
        <w:pStyle w:val="Ttulo1"/>
        <w:numPr>
          <w:ilvl w:val="0"/>
          <w:numId w:val="1"/>
        </w:numPr>
        <w:spacing w:line="276" w:lineRule="auto"/>
        <w:rPr>
          <w:rFonts w:cstheme="majorHAnsi"/>
          <w:lang w:val="es-ES_tradnl"/>
        </w:rPr>
      </w:pPr>
      <w:bookmarkStart w:id="6" w:name="_Toc156815639"/>
      <w:commentRangeStart w:id="7"/>
      <w:r>
        <w:rPr>
          <w:rFonts w:cstheme="majorHAnsi"/>
          <w:lang w:val="es-ES_tradnl"/>
        </w:rPr>
        <w:t xml:space="preserve">Instalación y configuración</w:t>
      </w:r>
      <w:commentRangeEnd w:id="7"/>
      <w:r>
        <w:rPr>
          <w:rStyle w:val="Refdecomentario"/>
          <w:rFonts w:eastAsiaTheme="minorHAnsi" w:cstheme="majorHAnsi"/>
          <w:color w:val="auto"/>
          <w:sz w:val="32"/>
          <w:szCs w:val="32"/>
        </w:rPr>
        <w:commentReference w:id="7"/>
      </w:r>
      <w:bookmarkEnd w:id="6"/>
    </w:p>
    <w:p w14:paraId="0F440062" w14:textId="667B36C8" w:rsidR="008C71B1" w:rsidRPr="00D70941" w:rsidRDefault="00FD3D5E" w:rsidP="00FD3D5E">
      <w:pPr>
        <w:pStyle w:val="Prrafodelista"/>
        <w:numPr>
          <w:ilvl w:val="0"/>
          <w:numId w:val="6"/>
        </w:numPr>
        <w:spacing w:after="0" w:line="276" w:lineRule="auto"/>
        <w:rPr>
          <w:i/>
          <w:iCs w:val="0"/>
          <w:color w:val="7F7F7F" w:themeColor="text1" w:themeTint="80"/>
          <w:lang w:val="es-ES_tradnl"/>
        </w:rPr>
      </w:pPr>
      <w:r>
        <w:rPr>
          <w:i/>
          <w:color w:val="7F7F7F" w:themeColor="text1" w:themeTint="80"/>
          <w:lang w:val="es-ES_tradnl"/>
        </w:rPr>
        <w:t xml:space="preserve">Configuración del servidor: el área de sistemas de ISSSTE instala y configura Genero Application Server (GAS) sobre el servidor Solaris institucional. </w:t>
      </w:r>
    </w:p>
    <w:p w14:paraId="319658D3" w14:textId="52151338" w:rsidR="002A6E17" w:rsidRPr="00D70941" w:rsidRDefault="00E9324E" w:rsidP="00FD3D5E">
      <w:pPr>
        <w:pStyle w:val="Prrafodelista"/>
        <w:numPr>
          <w:ilvl w:val="0"/>
          <w:numId w:val="6"/>
        </w:numPr>
        <w:spacing w:after="0" w:line="276" w:lineRule="auto"/>
        <w:rPr>
          <w:i/>
          <w:iCs w:val="0"/>
          <w:color w:val="7F7F7F" w:themeColor="text1" w:themeTint="80"/>
          <w:lang w:val="es-ES_tradnl"/>
        </w:rPr>
      </w:pPr>
      <w:r>
        <w:rPr>
          <w:i/>
          <w:color w:val="7F7F7F" w:themeColor="text1" w:themeTint="80"/>
          <w:lang w:val="es-ES_tradnl"/>
        </w:rPr>
        <w:t xml:space="preserve">Conexión de base de datos: se configura la conexión al motor Informix 12.10 (dsipe@aguila_sipe_tcp), donde reside la base de datos unificada de derechohabientes. </w:t>
      </w:r>
    </w:p>
    <w:p w14:paraId="475BC735" w14:textId="07AB99B2" w:rsidR="00683C35" w:rsidRPr="00D70941" w:rsidRDefault="00E46F0E" w:rsidP="00FD3D5E">
      <w:pPr>
        <w:pStyle w:val="Prrafodelista"/>
        <w:numPr>
          <w:ilvl w:val="0"/>
          <w:numId w:val="6"/>
        </w:numPr>
        <w:spacing w:after="0" w:line="276" w:lineRule="auto"/>
        <w:rPr>
          <w:i/>
          <w:iCs w:val="0"/>
          <w:color w:val="7F7F7F" w:themeColor="text1" w:themeTint="80"/>
          <w:lang w:val="es-ES_tradnl"/>
        </w:rPr>
      </w:pPr>
      <w:r>
        <w:rPr>
          <w:i/>
          <w:color w:val="7F7F7F" w:themeColor="text1" w:themeTint="80"/>
          <w:lang w:val="es-ES_tradnl"/>
        </w:rPr>
        <w:t xml:space="preserve">Configuración de roles y usuarios: el acceso se realiza únicamente a través de los portales institucionales SINAVID-OV o SIPE-AV, con CURP y usuario encriptados. </w:t>
      </w:r>
    </w:p>
    <w:p w14:paraId="2DDA318B" w14:textId="1FF19031" w:rsidR="009869A0" w:rsidRPr="00D70941" w:rsidRDefault="009869A0" w:rsidP="00FD3D5E">
      <w:pPr>
        <w:pStyle w:val="Prrafodelista"/>
        <w:numPr>
          <w:ilvl w:val="0"/>
          <w:numId w:val="6"/>
        </w:numPr>
        <w:spacing w:after="0" w:line="276" w:lineRule="auto"/>
        <w:rPr>
          <w:i/>
          <w:iCs w:val="0"/>
          <w:color w:val="7F7F7F" w:themeColor="text1" w:themeTint="80"/>
          <w:lang w:val="es-ES_tradnl"/>
        </w:rPr>
      </w:pPr>
      <w:r>
        <w:rPr>
          <w:i/>
          <w:color w:val="7F7F7F" w:themeColor="text1" w:themeTint="80"/>
          <w:lang w:val="es-ES_tradnl"/>
        </w:rPr>
        <w:t xml:space="preserve">Integración con otros sistemas: se configuran en el fglprofile los endpoints de RENAPO, IMSS, ProceSAR, CNSF y el servicio de firma electrónica (wsfirma).</w:t>
      </w:r>
    </w:p>
    <w:p w14:paraId="2A1E82AC" w14:textId="39CA5EF8" w:rsidR="001F3887" w:rsidRPr="00D70941" w:rsidRDefault="001F3887" w:rsidP="00BC4B58">
      <w:pPr>
        <w:pStyle w:val="Ttulo1"/>
        <w:numPr>
          <w:ilvl w:val="0"/>
          <w:numId w:val="1"/>
        </w:numPr>
        <w:spacing w:line="276" w:lineRule="auto"/>
        <w:rPr>
          <w:lang w:val="es-ES_tradnl"/>
        </w:rPr>
      </w:pPr>
      <w:bookmarkStart w:id="8" w:name="_Toc156815640"/>
      <w:r>
        <w:rPr>
          <w:lang w:val="es-ES_tradnl"/>
        </w:rPr>
        <w:t>Advertencias de seguridad</w:t>
      </w:r>
      <w:bookmarkEnd w:id="8"/>
    </w:p>
    <w:p w14:paraId="24D74120" w14:textId="65C46060" w:rsidR="00B25CD1" w:rsidRPr="005C6AA9" w:rsidRDefault="00B25CD1" w:rsidP="00BC4B58">
      <w:pPr>
        <w:spacing w:after="0" w:line="276" w:lineRule="auto"/>
        <w:jc w:val="both"/>
      </w:pPr>
      <w:r>
        <w:t xml:space="preserve">Se mostrará un mensaje de advertencia, cuando se cambié la configuración por defecto.</w:t>
      </w:r>
    </w:p>
    <w:p w14:paraId="7A461726" w14:textId="47C6F482" w:rsidR="00AB3785" w:rsidRPr="005C6AA9" w:rsidRDefault="00AB3785" w:rsidP="00BC4B58">
      <w:pPr>
        <w:spacing w:after="0" w:line="276" w:lineRule="auto"/>
      </w:pPr>
      <w:r>
        <w:rPr>
          <w:i/>
          <w:color w:val="595959" w:themeColor="text1" w:themeTint="A6"/>
        </w:rPr>
        <w:t>Ejemplo</w:t>
      </w:r>
      <w:r>
        <w:t>:</w:t>
      </w:r>
    </w:p>
    <w:p w14:paraId="4FB7945B" w14:textId="369EF864" w:rsidR="00AB3785" w:rsidRPr="00D70941" w:rsidRDefault="00AB3785" w:rsidP="00BC4B58">
      <w:pPr>
        <w:spacing w:after="0" w:line="276" w:lineRule="auto"/>
        <w:rPr>
          <w:i/>
          <w:iCs w:val="0"/>
          <w:color w:val="7F7F7F" w:themeColor="text1" w:themeTint="80"/>
        </w:rPr>
      </w:pPr>
      <w:r>
        <w:rPr>
          <w:i/>
          <w:color w:val="7F7F7F" w:themeColor="text1" w:themeTint="80"/>
        </w:rPr>
        <w:t>“Advertencia de seguridad abrir archivo” incorpora los controles necesarios para, en el caso de que el programa no sea de nuestra entera confianza, poder negarles el acceso a los recursos del sistema, con lo cual no se instalará.</w:t>
      </w:r>
    </w:p>
    <w:p w14:paraId="121A7410" w14:textId="11A6A188" w:rsidR="0093227A" w:rsidRPr="00D70941" w:rsidRDefault="0093227A" w:rsidP="00BC4B58">
      <w:pPr>
        <w:pStyle w:val="Ttulo1"/>
        <w:numPr>
          <w:ilvl w:val="0"/>
          <w:numId w:val="1"/>
        </w:numPr>
        <w:spacing w:line="276" w:lineRule="auto"/>
      </w:pPr>
      <w:bookmarkStart w:id="9" w:name="_Toc156815641"/>
      <w:r>
        <w:lastRenderedPageBreak/>
        <w:t>Material de soporte</w:t>
      </w:r>
      <w:bookmarkEnd w:id="9"/>
    </w:p>
    <w:p w14:paraId="408F8C0A" w14:textId="79EFBB2F" w:rsidR="003C1653" w:rsidRPr="00D70941" w:rsidRDefault="00B204F0" w:rsidP="00BC4B58">
      <w:pPr>
        <w:spacing w:after="0" w:line="276" w:lineRule="auto"/>
        <w:jc w:val="both"/>
        <w:rPr>
          <w:lang w:val="es-ES_tradnl"/>
        </w:rPr>
      </w:pPr>
      <w:r>
        <w:rPr>
          <w:lang w:val="es-ES_tradnl"/>
        </w:rPr>
        <w:t xml:space="preserve">Lista del material o herramientas de soporte para el uso del producto.</w:t>
      </w:r>
    </w:p>
    <w:p w14:paraId="155B70EE" w14:textId="655CCFA7" w:rsidR="00DA2E3B" w:rsidRPr="00D66D62" w:rsidRDefault="00BF74D1" w:rsidP="00D66D62">
      <w:pPr>
        <w:pStyle w:val="Prrafodelista"/>
        <w:numPr>
          <w:ilvl w:val="0"/>
          <w:numId w:val="5"/>
        </w:numPr>
        <w:spacing w:after="0" w:line="276" w:lineRule="auto"/>
        <w:ind w:left="284" w:hanging="284"/>
        <w:jc w:val="both"/>
        <w:rPr>
          <w:lang w:val="es-ES_tradnl"/>
        </w:rPr>
      </w:pPr>
      <w:r>
        <w:rPr>
          <w:lang w:val="es-ES_tradnl"/>
        </w:rPr>
        <w:t xml:space="preserve">Manual de usuario: describe el funcionamiento del software para los usuarios. </w:t>
      </w:r>
      <w:r>
        <w:rPr>
          <w:i/>
          <w:color w:val="7F7F7F" w:themeColor="text1" w:themeTint="80"/>
          <w:lang w:val="es-ES_tradnl"/>
        </w:rPr>
        <w:t>Ver FT-Manual de usuario (Portabilidad de Derechos Pensionarios entre ISSSTE e IMSS)</w:t>
      </w:r>
      <w:r>
        <w:rPr>
          <w:i/>
          <w:lang w:val="es-ES_tradnl"/>
        </w:rPr>
        <w:t>.</w:t>
      </w:r>
    </w:p>
    <w:p w14:paraId="4909B72A" w14:textId="59D2387F" w:rsidR="000F469E" w:rsidRPr="00D70941" w:rsidRDefault="00ED2096" w:rsidP="00BC4B58">
      <w:pPr>
        <w:pStyle w:val="Prrafodelista"/>
        <w:numPr>
          <w:ilvl w:val="0"/>
          <w:numId w:val="5"/>
        </w:numPr>
        <w:spacing w:after="0" w:line="276" w:lineRule="auto"/>
        <w:ind w:left="284" w:hanging="284"/>
        <w:jc w:val="both"/>
        <w:rPr>
          <w:lang w:val="es-ES_tradnl"/>
        </w:rPr>
      </w:pPr>
      <w:r>
        <w:rPr>
          <w:lang w:val="es-ES_tradnl"/>
        </w:rPr>
        <w:t xml:space="preserve">Manual de mantenimiento: describe los procesos de mantenimiento que se deben hacer para facilitar la comprensión y ejecución de las futuras modificaciones. </w:t>
      </w:r>
      <w:r>
        <w:rPr>
          <w:i/>
          <w:color w:val="7F7F7F" w:themeColor="text1" w:themeTint="80"/>
          <w:lang w:val="es-ES_tradnl"/>
        </w:rPr>
        <w:t xml:space="preserve">Ver FT-Manual de mantenimiento (Portabilidad de Derechos Pensionarios entre ISSSTE e IMSS)</w:t>
      </w:r>
      <w:r>
        <w:rPr>
          <w:i/>
          <w:color w:val="404040" w:themeColor="text1" w:themeTint="BF"/>
          <w:lang w:val="es-ES_tradnl"/>
        </w:rPr>
        <w:t>.</w:t>
      </w:r>
    </w:p>
    <w:p w14:paraId="0EFFCB47" w14:textId="63C865CD" w:rsidR="005D6698" w:rsidRPr="00D70941" w:rsidRDefault="000C23B8" w:rsidP="00BC4B58">
      <w:pPr>
        <w:spacing w:after="0" w:line="276" w:lineRule="auto"/>
        <w:jc w:val="both"/>
        <w:rPr>
          <w:b/>
          <w:bCs/>
          <w:i/>
          <w:iCs w:val="0"/>
          <w:sz w:val="18"/>
          <w:szCs w:val="18"/>
          <w:lang w:val="es-ES_tradnl"/>
        </w:rPr>
      </w:pPr>
      <w:r>
        <w:rPr>
          <w:b/>
          <w:bCs/>
          <w:i/>
          <w:sz w:val="18"/>
          <w:szCs w:val="18"/>
          <w:lang w:val="es-ES_tradnl"/>
        </w:rPr>
        <w:t xml:space="preserve">Nota: sí existe otro material o herramienta de soporte para el uso del producto, registrarlo en este apartado.</w:t>
      </w:r>
    </w:p>
    <w:p w14:paraId="609C1209" w14:textId="6FF98192" w:rsidR="008D7B2A" w:rsidRPr="009E5FF3" w:rsidRDefault="005D6698" w:rsidP="00BC4B58">
      <w:pPr>
        <w:pStyle w:val="Ttulo1"/>
        <w:numPr>
          <w:ilvl w:val="0"/>
          <w:numId w:val="1"/>
        </w:numPr>
        <w:spacing w:line="276" w:lineRule="auto"/>
        <w:rPr>
          <w:sz w:val="28"/>
          <w:szCs w:val="28"/>
          <w:lang w:val="es-ES_tradnl"/>
        </w:rPr>
      </w:pPr>
      <w:bookmarkStart w:id="10" w:name="_Toc156815642"/>
      <w:r>
        <w:rPr>
          <w:sz w:val="28"/>
          <w:szCs w:val="28"/>
          <w:lang w:val="es-ES_tradnl"/>
        </w:rPr>
        <w:t>Preguntas frecuentes (FAQ)</w:t>
      </w:r>
      <w:bookmarkEnd w:id="10"/>
    </w:p>
    <w:p w14:paraId="15761824" w14:textId="74DA623F" w:rsidR="00287880" w:rsidRPr="00D70941" w:rsidRDefault="00287880" w:rsidP="00BC4B58">
      <w:pPr>
        <w:spacing w:after="0" w:line="276" w:lineRule="auto"/>
        <w:jc w:val="both"/>
        <w:rPr>
          <w:i/>
          <w:iCs w:val="0"/>
          <w:color w:val="7F7F7F" w:themeColor="text1" w:themeTint="80"/>
          <w:lang w:val="es-ES_tradnl"/>
        </w:rPr>
      </w:pPr>
      <w:r>
        <w:rPr>
          <w:i/>
          <w:color w:val="7F7F7F" w:themeColor="text1" w:themeTint="80"/>
          <w:lang w:val="es-ES_tradnl"/>
        </w:rPr>
        <w:t>Ejemplo:</w:t>
      </w:r>
    </w:p>
    <w:p w14:paraId="0B424D39" w14:textId="7CCE50A5" w:rsidR="00287880" w:rsidRPr="00D70941" w:rsidRDefault="00287880" w:rsidP="00BC4B58">
      <w:pPr>
        <w:spacing w:after="0" w:line="276" w:lineRule="auto"/>
        <w:jc w:val="both"/>
        <w:rPr>
          <w:i/>
          <w:iCs w:val="0"/>
          <w:color w:val="7F7F7F" w:themeColor="text1" w:themeTint="80"/>
          <w:lang w:val="es-ES_tradnl"/>
        </w:rPr>
      </w:pPr>
      <w:r>
        <w:rPr>
          <w:i/>
          <w:color w:val="7F7F7F" w:themeColor="text1" w:themeTint="80"/>
          <w:lang w:val="es-ES_tradnl"/>
        </w:rPr>
        <w:t xml:space="preserve">Pregunta: ¿qué hago si el sistema rechaza una solicitud de portabilidad?</w:t>
      </w:r>
    </w:p>
    <w:p w14:paraId="0B750500" w14:textId="78F803BE" w:rsidR="0065241B" w:rsidRPr="00D70941" w:rsidRDefault="00287880" w:rsidP="00BC4B58">
      <w:pPr>
        <w:spacing w:after="0" w:line="276" w:lineRule="auto"/>
        <w:jc w:val="both"/>
        <w:rPr>
          <w:i/>
          <w:iCs w:val="0"/>
          <w:color w:val="7F7F7F" w:themeColor="text1" w:themeTint="80"/>
          <w:lang w:val="es-ES_tradnl"/>
        </w:rPr>
      </w:pPr>
      <w:r>
        <w:rPr>
          <w:i/>
          <w:color w:val="7F7F7F" w:themeColor="text1" w:themeTint="80"/>
          <w:lang w:val="es-ES_tradnl"/>
        </w:rPr>
        <w:t xml:space="preserve">Respuesta: Consultar el catálogo de motivos de rechazo (claves 101 a 134 para el proceso saliente y 201 a 225 para el entrante) que el sistema despliega junto con la </w:t>
      </w:r>
      <w:r>
        <w:rPr>
          <w:b/>
          <w:bCs/>
          <w:i/>
          <w:color w:val="7F7F7F" w:themeColor="text1" w:themeTint="80"/>
          <w:lang w:val="es-ES_tradnl"/>
        </w:rPr>
        <w:t xml:space="preserve">solicitud rechazada, </w:t>
      </w:r>
      <w:r>
        <w:rPr>
          <w:i/>
          <w:color w:val="7F7F7F" w:themeColor="text1" w:themeTint="80"/>
          <w:lang w:val="es-ES_tradnl"/>
        </w:rPr>
        <w:t>y corregir la información correspondiente antes de volver a intentar el trámite.</w:t>
      </w:r>
    </w:p>
    <w:p w14:paraId="6C2A8F98" w14:textId="105A10F4" w:rsidR="00465B93" w:rsidRPr="00D70941" w:rsidRDefault="00465B93" w:rsidP="00BC4B58">
      <w:pPr>
        <w:pStyle w:val="Ttulo1"/>
        <w:numPr>
          <w:ilvl w:val="0"/>
          <w:numId w:val="1"/>
        </w:numPr>
        <w:spacing w:line="276" w:lineRule="auto"/>
      </w:pPr>
      <w:bookmarkStart w:id="11" w:name="_Toc156815643"/>
      <w:r>
        <w:t>Certificación y aprobación de seguridad</w:t>
      </w:r>
      <w:bookmarkEnd w:id="11"/>
      <w:r>
        <w:rPr>
          <w:rFonts w:ascii="Calibri" w:hAnsi="Calibri" w:cs="Calibri"/>
          <w:color w:val="000000"/>
          <w:sz w:val="36"/>
          <w:szCs w:val="36"/>
        </w:rPr>
        <w:t xml:space="preserve"> </w:t>
      </w:r>
    </w:p>
    <w:p w14:paraId="3CED5204" w14:textId="77777777" w:rsidR="00C33536" w:rsidRDefault="00C33536" w:rsidP="00BC4B58">
      <w:pPr>
        <w:spacing w:after="0" w:line="276" w:lineRule="auto"/>
        <w:jc w:val="both"/>
        <w:rPr>
          <w:rStyle w:val="cf01"/>
        </w:rPr>
      </w:pPr>
      <w:r>
        <w:rPr>
          <w:rStyle w:val="cf01"/>
        </w:rPr>
        <w:t>Describir las referencias de certificaciones, validaciones criptográficas y pautas de seguridad del producto.</w:t>
      </w:r>
    </w:p>
    <w:p w14:paraId="08F4D678" w14:textId="7993FA11" w:rsidR="0006187D" w:rsidRPr="00D70941" w:rsidRDefault="0006187D" w:rsidP="00BC4B58">
      <w:pPr>
        <w:spacing w:after="0" w:line="276" w:lineRule="auto"/>
        <w:jc w:val="both"/>
        <w:rPr>
          <w:rFonts w:ascii="Calibri" w:hAnsi="Calibri" w:cs="Calibri"/>
          <w:i/>
          <w:iCs w:val="0"/>
          <w:color w:val="7F7F7F" w:themeColor="text1" w:themeTint="80"/>
        </w:rPr>
      </w:pPr>
      <w:r>
        <w:rPr>
          <w:rFonts w:ascii="Calibri" w:hAnsi="Calibri" w:cs="Calibri"/>
          <w:i/>
          <w:color w:val="7F7F7F" w:themeColor="text1" w:themeTint="80"/>
        </w:rPr>
        <w:t>Ejemplo:</w:t>
      </w:r>
    </w:p>
    <w:p w14:paraId="00BB712A" w14:textId="5F552E03" w:rsidR="0006187D" w:rsidRPr="00D70941" w:rsidRDefault="0006187D" w:rsidP="00BC4B58">
      <w:pPr>
        <w:spacing w:after="0" w:line="276" w:lineRule="auto"/>
        <w:jc w:val="both"/>
        <w:rPr>
          <w:rFonts w:ascii="Calibri" w:hAnsi="Calibri" w:cs="Calibri"/>
          <w:i/>
          <w:iCs w:val="0"/>
          <w:color w:val="7F7F7F" w:themeColor="text1" w:themeTint="80"/>
        </w:rPr>
      </w:pPr>
      <w:r>
        <w:rPr>
          <w:rFonts w:ascii="Calibri" w:hAnsi="Calibri" w:cs="Calibri"/>
          <w:i/>
          <w:color w:val="7F7F7F" w:themeColor="text1" w:themeTint="80"/>
        </w:rPr>
        <w:t xml:space="preserve">El acceso al módulo se realiza únicamente a través de los portales institucionales SINAVID-OV y SIPE-AV, con CURP y usuario encriptados. La firma electrónica de la Solicitud y Resolución de Transferencia de Derechos se realiza mediante el servicio institucional wsfirma.</w:t>
        <w:br/>
      </w:r>
    </w:p>
    <w:p w14:paraId="42F41517" w14:textId="40B8432B" w:rsidR="001D78A6" w:rsidRPr="00D70941" w:rsidRDefault="00465B93" w:rsidP="00BC4B58">
      <w:pPr>
        <w:pStyle w:val="Ttulo1"/>
        <w:numPr>
          <w:ilvl w:val="0"/>
          <w:numId w:val="1"/>
        </w:numPr>
        <w:spacing w:line="276" w:lineRule="auto"/>
      </w:pPr>
      <w:bookmarkStart w:id="12" w:name="_Toc156815644"/>
      <w:r>
        <w:t>Garantía</w:t>
      </w:r>
      <w:bookmarkEnd w:id="12"/>
    </w:p>
    <w:p w14:paraId="2DCDC646" w14:textId="77777777" w:rsidR="005D380C" w:rsidRDefault="005D380C" w:rsidP="00BC4B58">
      <w:pPr>
        <w:spacing w:after="0" w:line="276" w:lineRule="auto"/>
        <w:jc w:val="both"/>
        <w:rPr>
          <w:rStyle w:val="cf01"/>
        </w:rPr>
      </w:pPr>
      <w:r>
        <w:rPr>
          <w:rStyle w:val="cf01"/>
        </w:rPr>
        <w:t>Describir las características cuando aplica garantía.</w:t>
      </w:r>
    </w:p>
    <w:p w14:paraId="219799DE" w14:textId="2355CE08" w:rsidR="001D78A6" w:rsidRPr="00D70941" w:rsidRDefault="00465B93" w:rsidP="00BC4B58">
      <w:pPr>
        <w:spacing w:after="0" w:line="276" w:lineRule="auto"/>
        <w:jc w:val="both"/>
        <w:rPr>
          <w:i/>
          <w:iCs w:val="0"/>
          <w:color w:val="7F7F7F" w:themeColor="text1" w:themeTint="80"/>
        </w:rPr>
      </w:pPr>
      <w:r>
        <w:rPr>
          <w:i/>
          <w:color w:val="7F7F7F" w:themeColor="text1" w:themeTint="80"/>
        </w:rPr>
        <w:t xml:space="preserve">Por ejemplo:  </w:t>
      </w:r>
    </w:p>
    <w:p w14:paraId="71EC33E9" w14:textId="4FF698BD" w:rsidR="001D78A6" w:rsidRPr="00D70941" w:rsidRDefault="001D78A6" w:rsidP="00BC4B58">
      <w:pPr>
        <w:spacing w:after="0" w:line="276" w:lineRule="auto"/>
        <w:jc w:val="both"/>
        <w:rPr>
          <w:i/>
          <w:iCs w:val="0"/>
          <w:color w:val="7F7F7F" w:themeColor="text1" w:themeTint="80"/>
        </w:rPr>
      </w:pPr>
      <w:r>
        <w:rPr>
          <w:i/>
          <w:color w:val="7F7F7F" w:themeColor="text1" w:themeTint="80"/>
        </w:rPr>
        <w:t>No aplica una garantía comercial; al ser un sistema institucional, la estabilización del software se cubre dentro del alcance del proyecto.</w:t>
      </w:r>
    </w:p>
    <w:p w14:paraId="3081756C" w14:textId="2DABE569" w:rsidR="00006007" w:rsidRPr="00D70941" w:rsidRDefault="001D78A6" w:rsidP="00BC4B58">
      <w:pPr>
        <w:spacing w:after="0" w:line="276" w:lineRule="auto"/>
        <w:jc w:val="both"/>
        <w:rPr>
          <w:i/>
          <w:iCs w:val="0"/>
          <w:color w:val="7F7F7F" w:themeColor="text1" w:themeTint="80"/>
        </w:rPr>
      </w:pPr>
      <w:r>
        <w:rPr>
          <w:i/>
          <w:color w:val="7F7F7F" w:themeColor="text1" w:themeTint="80"/>
        </w:rPr>
        <w:t xml:space="preserve">El soporte y mantenimiento posteriores se rigen por el contrato de servicios profesionales vigente entre Four J S Development Tools Latinoamérica e ISSSTE.</w:t>
      </w:r>
    </w:p>
    <w:p w14:paraId="74A86BE2" w14:textId="77777777" w:rsidR="006574BE" w:rsidRPr="00465B93" w:rsidRDefault="006574BE" w:rsidP="0065241B">
      <w:pPr>
        <w:spacing w:line="276" w:lineRule="auto"/>
      </w:pPr>
    </w:p>
    <w:p w14:paraId="5110CE11" w14:textId="1163C52A" w:rsidR="00465B93" w:rsidRDefault="00465B93" w:rsidP="0065241B">
      <w:pPr>
        <w:spacing w:line="276" w:lineRule="auto"/>
      </w:pPr>
    </w:p>
    <w:p w14:paraId="3B8FA876" w14:textId="113E94A9" w:rsidR="00990053" w:rsidRDefault="00990053" w:rsidP="0065241B">
      <w:pPr>
        <w:spacing w:line="276" w:lineRule="auto"/>
      </w:pPr>
    </w:p>
    <w:p w14:paraId="28D9E2A0" w14:textId="49D7D5B0" w:rsidR="00990053" w:rsidRDefault="00990053" w:rsidP="0065241B">
      <w:pPr>
        <w:spacing w:line="276" w:lineRule="auto"/>
      </w:pPr>
    </w:p>
    <w:p w14:paraId="782D984D" w14:textId="0838BA3C" w:rsidR="00990053" w:rsidRDefault="00990053" w:rsidP="0065241B">
      <w:pPr>
        <w:spacing w:line="276" w:lineRule="auto"/>
      </w:pPr>
    </w:p>
    <w:p w14:paraId="034D57CF" w14:textId="492E42AA" w:rsidR="00990053" w:rsidRDefault="00990053" w:rsidP="0065241B">
      <w:pPr>
        <w:spacing w:line="276" w:lineRule="auto"/>
      </w:pPr>
    </w:p>
    <w:p w14:paraId="0EC062E2" w14:textId="059E2A88" w:rsidR="00990053" w:rsidRDefault="00990053" w:rsidP="008D7B2A"/>
    <w:p w14:paraId="5A6E9694" w14:textId="77777777" w:rsidR="00C84012" w:rsidRDefault="00C84012" w:rsidP="008D7B2A"/>
    <w:p w14:paraId="3CFD1480" w14:textId="77777777" w:rsidR="00C84012" w:rsidRDefault="00C84012" w:rsidP="008D7B2A"/>
    <w:p w14:paraId="682DF84F" w14:textId="77777777" w:rsidR="00D70941" w:rsidRDefault="00D70941" w:rsidP="008D7B2A"/>
    <w:p w14:paraId="723DFEDC" w14:textId="4F674491" w:rsidR="00990053" w:rsidRDefault="00990053" w:rsidP="008D7B2A"/>
    <w:p w14:paraId="07D7366D" w14:textId="77777777" w:rsidR="007E3B24" w:rsidRDefault="007E3B24" w:rsidP="008D7B2A"/>
    <w:p w14:paraId="38417D9D" w14:textId="2A6EB85B" w:rsidR="00990053" w:rsidRPr="0065241B" w:rsidRDefault="00990053" w:rsidP="007E3B24">
      <w:pPr>
        <w:pStyle w:val="Ttulo1"/>
        <w:rPr>
          <w:sz w:val="28"/>
          <w:szCs w:val="28"/>
        </w:rPr>
      </w:pPr>
      <w:bookmarkStart w:id="13" w:name="_Toc156815645"/>
      <w:r>
        <w:rPr>
          <w:sz w:val="28"/>
          <w:szCs w:val="28"/>
        </w:rPr>
        <w:lastRenderedPageBreak/>
        <w:t>Información del documento</w:t>
      </w:r>
      <w:bookmarkEnd w:id="13"/>
    </w:p>
    <w:p w14:paraId="74A342E9" w14:textId="364AEC44" w:rsidR="002163FE" w:rsidRDefault="002163FE" w:rsidP="002163FE"/>
    <w:p w14:paraId="0BFE1C8A" w14:textId="4D1758A1" w:rsidR="002163FE" w:rsidRPr="00B37888" w:rsidRDefault="002163FE" w:rsidP="002163FE">
      <w:pPr>
        <w:jc w:val="both"/>
      </w:pPr>
      <w:r>
        <w:t>Si se tiene un sistema de gestión de versiones eliminar este apartado.</w:t>
      </w:r>
    </w:p>
    <w:p w14:paraId="2E999028" w14:textId="77777777" w:rsidR="002163FE" w:rsidRPr="00B37888" w:rsidRDefault="002163FE" w:rsidP="002163FE">
      <w:pPr>
        <w:jc w:val="center"/>
        <w:rPr>
          <w:rFonts w:cstheme="minorHAnsi"/>
        </w:rPr>
      </w:pPr>
      <w:r>
        <w:rPr>
          <w:rFonts w:cstheme="minorHAnsi"/>
          <w:sz w:val="24"/>
        </w:rPr>
        <w:t>Historial de versiones</w:t>
      </w:r>
    </w:p>
    <w:tbl>
      <w:tblPr>
        <w:tblW w:w="964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701"/>
        <w:gridCol w:w="4252"/>
        <w:gridCol w:w="2127"/>
      </w:tblGrid>
      <w:tr w:rsidR="002163FE" w:rsidRPr="00B37888" w14:paraId="3F1F813F" w14:textId="77777777" w:rsidTr="00B37888">
        <w:trPr>
          <w:cantSplit/>
          <w:trHeight w:val="365"/>
          <w:tblHeader/>
        </w:trPr>
        <w:tc>
          <w:tcPr>
            <w:tcW w:w="1560" w:type="dxa"/>
            <w:shd w:val="clear" w:color="auto" w:fill="404040" w:themeFill="text1" w:themeFillTint="BF"/>
          </w:tcPr>
          <w:p w14:paraId="543C26F2" w14:textId="77777777" w:rsidR="002163FE" w:rsidRPr="00B37888" w:rsidRDefault="002163FE" w:rsidP="006D412D">
            <w:pPr>
              <w:pStyle w:val="Tabletext"/>
              <w:spacing w:line="240" w:lineRule="auto"/>
              <w:jc w:val="center"/>
              <w:rPr>
                <w:rFonts w:asciiTheme="minorHAnsi" w:hAnsiTheme="minorHAnsi" w:cstheme="minorHAnsi"/>
                <w:b/>
                <w:color w:val="FFFFFF" w:themeColor="background1"/>
                <w:szCs w:val="18"/>
                <w:lang w:val="es-MX"/>
              </w:rPr>
            </w:pPr>
            <w:r>
              <w:rPr>
                <w:rFonts w:asciiTheme="minorHAnsi" w:hAnsiTheme="minorHAnsi" w:cstheme="minorHAnsi"/>
                <w:b/>
                <w:color w:val="FFFFFF" w:themeColor="background1"/>
                <w:szCs w:val="18"/>
                <w:lang w:val="es-MX"/>
              </w:rPr>
              <w:t>Fecha</w:t>
            </w:r>
          </w:p>
        </w:tc>
        <w:tc>
          <w:tcPr>
            <w:tcW w:w="1701" w:type="dxa"/>
            <w:shd w:val="clear" w:color="auto" w:fill="404040" w:themeFill="text1" w:themeFillTint="BF"/>
          </w:tcPr>
          <w:p w14:paraId="22AEF8A5" w14:textId="77777777" w:rsidR="002163FE" w:rsidRPr="00B37888" w:rsidRDefault="002163FE" w:rsidP="006D412D">
            <w:pPr>
              <w:pStyle w:val="Tabletext"/>
              <w:spacing w:line="240" w:lineRule="auto"/>
              <w:jc w:val="center"/>
              <w:rPr>
                <w:rFonts w:asciiTheme="minorHAnsi" w:hAnsiTheme="minorHAnsi" w:cstheme="minorHAnsi"/>
                <w:b/>
                <w:color w:val="FFFFFF" w:themeColor="background1"/>
                <w:szCs w:val="18"/>
                <w:lang w:val="es-MX"/>
              </w:rPr>
            </w:pPr>
            <w:r>
              <w:rPr>
                <w:rFonts w:asciiTheme="minorHAnsi" w:hAnsiTheme="minorHAnsi" w:cstheme="minorHAnsi"/>
                <w:b/>
                <w:color w:val="FFFFFF" w:themeColor="background1"/>
                <w:szCs w:val="18"/>
                <w:lang w:val="es-MX"/>
              </w:rPr>
              <w:t>Versión</w:t>
            </w:r>
          </w:p>
        </w:tc>
        <w:tc>
          <w:tcPr>
            <w:tcW w:w="4252" w:type="dxa"/>
            <w:shd w:val="clear" w:color="auto" w:fill="404040" w:themeFill="text1" w:themeFillTint="BF"/>
          </w:tcPr>
          <w:p w14:paraId="2D85868B" w14:textId="77777777" w:rsidR="002163FE" w:rsidRPr="00B37888" w:rsidRDefault="002163FE" w:rsidP="006D412D">
            <w:pPr>
              <w:pStyle w:val="Tabletext"/>
              <w:spacing w:line="240" w:lineRule="auto"/>
              <w:jc w:val="center"/>
              <w:rPr>
                <w:rFonts w:asciiTheme="minorHAnsi" w:hAnsiTheme="minorHAnsi" w:cstheme="minorHAnsi"/>
                <w:b/>
                <w:color w:val="FFFFFF" w:themeColor="background1"/>
                <w:szCs w:val="18"/>
                <w:lang w:val="es-MX"/>
              </w:rPr>
            </w:pPr>
            <w:r>
              <w:rPr>
                <w:rFonts w:asciiTheme="minorHAnsi" w:hAnsiTheme="minorHAnsi" w:cstheme="minorHAnsi"/>
                <w:b/>
                <w:color w:val="FFFFFF" w:themeColor="background1"/>
                <w:szCs w:val="18"/>
                <w:lang w:val="es-MX"/>
              </w:rPr>
              <w:t>Descripción</w:t>
            </w:r>
          </w:p>
        </w:tc>
        <w:tc>
          <w:tcPr>
            <w:tcW w:w="2127" w:type="dxa"/>
            <w:shd w:val="clear" w:color="auto" w:fill="404040" w:themeFill="text1" w:themeFillTint="BF"/>
          </w:tcPr>
          <w:p w14:paraId="7687499A" w14:textId="77777777" w:rsidR="002163FE" w:rsidRPr="00B37888" w:rsidRDefault="002163FE" w:rsidP="006D412D">
            <w:pPr>
              <w:pStyle w:val="Tabletext"/>
              <w:spacing w:line="240" w:lineRule="auto"/>
              <w:jc w:val="center"/>
              <w:rPr>
                <w:rFonts w:asciiTheme="minorHAnsi" w:hAnsiTheme="minorHAnsi" w:cstheme="minorHAnsi"/>
                <w:b/>
                <w:color w:val="FFFFFF" w:themeColor="background1"/>
                <w:szCs w:val="18"/>
                <w:lang w:val="es-MX"/>
              </w:rPr>
            </w:pPr>
            <w:r>
              <w:rPr>
                <w:rFonts w:asciiTheme="minorHAnsi" w:hAnsiTheme="minorHAnsi" w:cstheme="minorHAnsi"/>
                <w:b/>
                <w:color w:val="FFFFFF" w:themeColor="background1"/>
                <w:szCs w:val="18"/>
                <w:lang w:val="es-MX"/>
              </w:rPr>
              <w:t>Autor</w:t>
            </w:r>
          </w:p>
        </w:tc>
      </w:tr>
      <w:tr w:rsidR="002163FE" w:rsidRPr="00B37888" w14:paraId="087B4609" w14:textId="77777777">
        <w:trPr>
          <w:cantSplit/>
        </w:trPr>
        <w:tc>
          <w:tcPr>
            <w:tcW w:w="1560" w:type="dxa"/>
          </w:tcPr>
          <w:p w14:paraId="36AE21BB" w14:textId="069A4AD7" w:rsidR="002163FE" w:rsidRPr="00133056" w:rsidRDefault="002163FE" w:rsidP="006D412D">
            <w:pPr>
              <w:pStyle w:val="Tabletext"/>
              <w:spacing w:after="0" w:line="240" w:lineRule="auto"/>
              <w:jc w:val="center"/>
              <w:rPr>
                <w:rStyle w:val="ExplicacinSeccin"/>
                <w:rFonts w:asciiTheme="minorHAnsi" w:hAnsiTheme="minorHAnsi" w:cstheme="minorHAnsi"/>
                <w:i/>
                <w:iCs w:val="0"/>
                <w:color w:val="595959" w:themeColor="text1" w:themeTint="A6"/>
                <w:kern w:val="0"/>
                <w:sz w:val="18"/>
                <w:szCs w:val="18"/>
                <w:lang w:val="es-MX"/>
              </w:rPr>
            </w:pPr>
            <w:r>
              <w:rPr>
                <w:rStyle w:val="ExplicacinSeccin"/>
                <w:rFonts w:asciiTheme="minorHAnsi" w:hAnsiTheme="minorHAnsi" w:cstheme="minorHAnsi"/>
                <w:i/>
                <w:color w:val="595959" w:themeColor="text1" w:themeTint="A6"/>
                <w:kern w:val="0"/>
                <w:sz w:val="18"/>
                <w:szCs w:val="18"/>
                <w:lang w:val="es-MX"/>
              </w:rPr>
              <w:t>dd/mm/aaaa.</w:t>
            </w:r>
          </w:p>
        </w:tc>
        <w:tc>
          <w:tcPr>
            <w:tcW w:w="1701" w:type="dxa"/>
          </w:tcPr>
          <w:p w14:paraId="5150E696" w14:textId="2E1F4BF1" w:rsidR="002163FE" w:rsidRPr="00133056" w:rsidRDefault="002163FE" w:rsidP="006D412D">
            <w:pPr>
              <w:pStyle w:val="Tabletext"/>
              <w:spacing w:after="0" w:line="240" w:lineRule="auto"/>
              <w:jc w:val="center"/>
              <w:rPr>
                <w:rStyle w:val="ExplicacinSeccin"/>
                <w:rFonts w:asciiTheme="minorHAnsi" w:hAnsiTheme="minorHAnsi" w:cstheme="minorHAnsi"/>
                <w:i/>
                <w:iCs w:val="0"/>
                <w:color w:val="595959" w:themeColor="text1" w:themeTint="A6"/>
                <w:kern w:val="0"/>
                <w:sz w:val="18"/>
                <w:szCs w:val="18"/>
                <w:lang w:val="es-MX"/>
              </w:rPr>
            </w:pPr>
            <w:r>
              <w:rPr>
                <w:rFonts w:asciiTheme="minorHAnsi" w:hAnsiTheme="minorHAnsi" w:cstheme="minorHAnsi"/>
                <w:i/>
                <w:color w:val="595959" w:themeColor="text1" w:themeTint="A6"/>
                <w:kern w:val="0"/>
                <w:sz w:val="18"/>
                <w:szCs w:val="18"/>
                <w:lang w:val="es-MX"/>
              </w:rPr>
              <w:t xml:space="preserve">Número de la versión v.v.</w:t>
            </w:r>
          </w:p>
        </w:tc>
        <w:tc>
          <w:tcPr>
            <w:tcW w:w="4252" w:type="dxa"/>
          </w:tcPr>
          <w:p w14:paraId="27AAF8A9" w14:textId="61F89AC7" w:rsidR="002163FE" w:rsidRPr="00133056" w:rsidRDefault="002163FE" w:rsidP="006D412D">
            <w:pPr>
              <w:pStyle w:val="Tabletext"/>
              <w:spacing w:after="0" w:line="240" w:lineRule="auto"/>
              <w:jc w:val="center"/>
              <w:rPr>
                <w:rStyle w:val="ExplicacinSeccin"/>
                <w:rFonts w:asciiTheme="minorHAnsi" w:hAnsiTheme="minorHAnsi" w:cstheme="minorHAnsi"/>
                <w:i/>
                <w:iCs w:val="0"/>
                <w:color w:val="595959" w:themeColor="text1" w:themeTint="A6"/>
                <w:kern w:val="0"/>
                <w:sz w:val="18"/>
                <w:szCs w:val="18"/>
                <w:lang w:val="es-MX"/>
              </w:rPr>
            </w:pPr>
            <w:r>
              <w:rPr>
                <w:rFonts w:asciiTheme="minorHAnsi" w:hAnsiTheme="minorHAnsi" w:cstheme="minorHAnsi"/>
                <w:i/>
                <w:color w:val="595959" w:themeColor="text1" w:themeTint="A6"/>
                <w:sz w:val="18"/>
                <w:szCs w:val="18"/>
                <w:lang w:val="es-MX"/>
              </w:rPr>
              <w:t>Descripción de los cambios realizados en el documento.</w:t>
            </w:r>
          </w:p>
        </w:tc>
        <w:tc>
          <w:tcPr>
            <w:tcW w:w="2127" w:type="dxa"/>
          </w:tcPr>
          <w:p w14:paraId="65124202" w14:textId="733C545E" w:rsidR="002163FE" w:rsidRPr="00133056" w:rsidRDefault="002163FE" w:rsidP="006D412D">
            <w:pPr>
              <w:pStyle w:val="Tabletext"/>
              <w:spacing w:after="0" w:line="240" w:lineRule="auto"/>
              <w:jc w:val="center"/>
              <w:rPr>
                <w:rStyle w:val="ExplicacinSeccin"/>
                <w:rFonts w:asciiTheme="minorHAnsi" w:hAnsiTheme="minorHAnsi" w:cstheme="minorHAnsi"/>
                <w:i/>
                <w:iCs w:val="0"/>
                <w:color w:val="595959" w:themeColor="text1" w:themeTint="A6"/>
                <w:kern w:val="0"/>
                <w:sz w:val="18"/>
                <w:szCs w:val="18"/>
                <w:lang w:val="es-MX"/>
              </w:rPr>
            </w:pPr>
            <w:r>
              <w:rPr>
                <w:rStyle w:val="ExplicacinSeccin"/>
                <w:rFonts w:asciiTheme="minorHAnsi" w:hAnsiTheme="minorHAnsi" w:cstheme="minorHAnsi"/>
                <w:i/>
                <w:color w:val="595959" w:themeColor="text1" w:themeTint="A6"/>
                <w:kern w:val="0"/>
                <w:sz w:val="18"/>
                <w:szCs w:val="18"/>
                <w:lang w:val="es-MX"/>
              </w:rPr>
              <w:t>Nombre y apellido.</w:t>
            </w:r>
          </w:p>
        </w:tc>
      </w:tr>
      <w:tr w:rsidR="002163FE" w:rsidRPr="00B37888" w14:paraId="087B4609" w14:textId="77777777">
        <w:trPr>
          <w:cantSplit/>
        </w:trPr>
        <w:tc>
          <w:tcPr>
            <w:tcW w:w="1560" w:type="dxa"/>
          </w:tcPr>
          <w:p w14:paraId="36AE21BB" w14:textId="069A4AD7" w:rsidR="002163FE" w:rsidRPr="00133056" w:rsidRDefault="002163FE" w:rsidP="006D412D">
            <w:pPr>
              <w:pStyle w:val="Tabletext"/>
              <w:spacing w:after="0" w:line="240" w:lineRule="auto"/>
              <w:jc w:val="center"/>
              <w:rPr>
                <w:rStyle w:val="ExplicacinSeccin"/>
                <w:rFonts w:asciiTheme="minorHAnsi" w:hAnsiTheme="minorHAnsi" w:cstheme="minorHAnsi"/>
                <w:i/>
                <w:iCs w:val="0"/>
                <w:color w:val="595959" w:themeColor="text1" w:themeTint="A6"/>
                <w:kern w:val="0"/>
                <w:sz w:val="18"/>
                <w:szCs w:val="18"/>
                <w:lang w:val="es-MX"/>
              </w:rPr>
            </w:pPr>
            <w:r>
              <w:rPr>
                <w:rStyle w:val="ExplicacinSeccin"/>
                <w:rFonts w:asciiTheme="minorHAnsi" w:hAnsiTheme="minorHAnsi" w:cstheme="minorHAnsi"/>
                <w:i/>
                <w:color w:val="595959" w:themeColor="text1" w:themeTint="A6"/>
                <w:kern w:val="0"/>
                <w:sz w:val="18"/>
                <w:szCs w:val="18"/>
                <w:lang w:val="es-MX"/>
              </w:rPr>
              <w:t>27/07/2026</w:t>
            </w:r>
          </w:p>
        </w:tc>
        <w:tc>
          <w:tcPr>
            <w:tcW w:w="1701" w:type="dxa"/>
          </w:tcPr>
          <w:p w14:paraId="5150E696" w14:textId="2E1F4BF1" w:rsidR="002163FE" w:rsidRPr="00133056" w:rsidRDefault="002163FE" w:rsidP="006D412D">
            <w:pPr>
              <w:pStyle w:val="Tabletext"/>
              <w:spacing w:after="0" w:line="240" w:lineRule="auto"/>
              <w:jc w:val="center"/>
              <w:rPr>
                <w:rStyle w:val="ExplicacinSeccin"/>
                <w:rFonts w:asciiTheme="minorHAnsi" w:hAnsiTheme="minorHAnsi" w:cstheme="minorHAnsi"/>
                <w:i/>
                <w:iCs w:val="0"/>
                <w:color w:val="595959" w:themeColor="text1" w:themeTint="A6"/>
                <w:kern w:val="0"/>
                <w:sz w:val="18"/>
                <w:szCs w:val="18"/>
                <w:lang w:val="es-MX"/>
              </w:rPr>
            </w:pPr>
            <w:r>
              <w:rPr>
                <w:rFonts w:asciiTheme="minorHAnsi" w:hAnsiTheme="minorHAnsi" w:cstheme="minorHAnsi"/>
                <w:i/>
                <w:color w:val="595959" w:themeColor="text1" w:themeTint="A6"/>
                <w:kern w:val="0"/>
                <w:sz w:val="18"/>
                <w:szCs w:val="18"/>
                <w:lang w:val="es-MX"/>
              </w:rPr>
              <w:t xml:space="preserve">2.0</w:t>
            </w:r>
          </w:p>
        </w:tc>
        <w:tc>
          <w:tcPr>
            <w:tcW w:w="4252" w:type="dxa"/>
          </w:tcPr>
          <w:p w14:paraId="27AAF8A9" w14:textId="61F89AC7" w:rsidR="002163FE" w:rsidRPr="00133056" w:rsidRDefault="002163FE" w:rsidP="006D412D">
            <w:pPr>
              <w:pStyle w:val="Tabletext"/>
              <w:spacing w:after="0" w:line="240" w:lineRule="auto"/>
              <w:jc w:val="center"/>
              <w:rPr>
                <w:rStyle w:val="ExplicacinSeccin"/>
                <w:rFonts w:asciiTheme="minorHAnsi" w:hAnsiTheme="minorHAnsi" w:cstheme="minorHAnsi"/>
                <w:i/>
                <w:iCs w:val="0"/>
                <w:color w:val="595959" w:themeColor="text1" w:themeTint="A6"/>
                <w:kern w:val="0"/>
                <w:sz w:val="18"/>
                <w:szCs w:val="18"/>
                <w:lang w:val="es-MX"/>
              </w:rPr>
            </w:pPr>
            <w:r>
              <w:rPr>
                <w:rFonts w:asciiTheme="minorHAnsi" w:hAnsiTheme="minorHAnsi" w:cstheme="minorHAnsi"/>
                <w:i/>
                <w:color w:val="595959" w:themeColor="text1" w:themeTint="A6"/>
                <w:sz w:val="18"/>
                <w:szCs w:val="18"/>
                <w:lang w:val="es-MX"/>
              </w:rPr>
              <w:t>Se completa el manual de operaciones real para Portabilidad de Derechos Pensionarios ISSSTE-IMSS (GAS, Informix 12.10, SINAVID-OV/SIPE-AV).</w:t>
            </w:r>
          </w:p>
        </w:tc>
        <w:tc>
          <w:tcPr>
            <w:tcW w:w="2127" w:type="dxa"/>
          </w:tcPr>
          <w:p w14:paraId="65124202" w14:textId="733C545E" w:rsidR="002163FE" w:rsidRPr="00133056" w:rsidRDefault="002163FE" w:rsidP="006D412D">
            <w:pPr>
              <w:pStyle w:val="Tabletext"/>
              <w:spacing w:after="0" w:line="240" w:lineRule="auto"/>
              <w:jc w:val="center"/>
              <w:rPr>
                <w:rStyle w:val="ExplicacinSeccin"/>
                <w:rFonts w:asciiTheme="minorHAnsi" w:hAnsiTheme="minorHAnsi" w:cstheme="minorHAnsi"/>
                <w:i/>
                <w:iCs w:val="0"/>
                <w:color w:val="595959" w:themeColor="text1" w:themeTint="A6"/>
                <w:kern w:val="0"/>
                <w:sz w:val="18"/>
                <w:szCs w:val="18"/>
                <w:lang w:val="es-MX"/>
              </w:rPr>
            </w:pPr>
            <w:r>
              <w:rPr>
                <w:rStyle w:val="ExplicacinSeccin"/>
                <w:rFonts w:asciiTheme="minorHAnsi" w:hAnsiTheme="minorHAnsi" w:cstheme="minorHAnsi"/>
                <w:i/>
                <w:color w:val="595959" w:themeColor="text1" w:themeTint="A6"/>
                <w:kern w:val="0"/>
                <w:sz w:val="18"/>
                <w:szCs w:val="18"/>
                <w:lang w:val="es-MX"/>
              </w:rPr>
              <w:t>Carlos Quintero N.</w:t>
            </w:r>
          </w:p>
        </w:tc>
      </w:tr>
      <w:tr w:rsidR="002163FE" w:rsidRPr="00B37888" w14:paraId="6CD2AE5A" w14:textId="77777777">
        <w:trPr>
          <w:cantSplit/>
          <w:trHeight w:val="63"/>
        </w:trPr>
        <w:tc>
          <w:tcPr>
            <w:tcW w:w="1560" w:type="dxa"/>
          </w:tcPr>
          <w:p w14:paraId="7C3A6BAE" w14:textId="77777777" w:rsidR="002163FE" w:rsidRPr="00B37888" w:rsidRDefault="002163FE" w:rsidP="006D412D">
            <w:pPr>
              <w:pStyle w:val="Tabletext"/>
              <w:spacing w:after="0" w:line="240" w:lineRule="auto"/>
              <w:jc w:val="center"/>
              <w:rPr>
                <w:rFonts w:asciiTheme="minorHAnsi" w:hAnsiTheme="minorHAnsi" w:cstheme="minorHAnsi"/>
                <w:sz w:val="18"/>
                <w:szCs w:val="18"/>
                <w:lang w:val="es-MX"/>
              </w:rPr>
            </w:pPr>
          </w:p>
        </w:tc>
        <w:tc>
          <w:tcPr>
            <w:tcW w:w="1701" w:type="dxa"/>
          </w:tcPr>
          <w:p w14:paraId="6841FD0D" w14:textId="77777777" w:rsidR="002163FE" w:rsidRPr="00B37888" w:rsidRDefault="002163FE" w:rsidP="006D412D">
            <w:pPr>
              <w:pStyle w:val="Tabletext"/>
              <w:spacing w:after="0" w:line="240" w:lineRule="auto"/>
              <w:jc w:val="center"/>
              <w:rPr>
                <w:rFonts w:asciiTheme="minorHAnsi" w:hAnsiTheme="minorHAnsi" w:cstheme="minorHAnsi"/>
                <w:sz w:val="18"/>
                <w:szCs w:val="18"/>
                <w:lang w:val="es-MX"/>
              </w:rPr>
            </w:pPr>
          </w:p>
        </w:tc>
        <w:tc>
          <w:tcPr>
            <w:tcW w:w="4252" w:type="dxa"/>
          </w:tcPr>
          <w:p w14:paraId="4695CBE4" w14:textId="77777777" w:rsidR="002163FE" w:rsidRPr="00B37888" w:rsidRDefault="002163FE" w:rsidP="006D412D">
            <w:pPr>
              <w:pStyle w:val="Tabletext"/>
              <w:spacing w:after="0" w:line="240" w:lineRule="auto"/>
              <w:rPr>
                <w:rFonts w:asciiTheme="minorHAnsi" w:hAnsiTheme="minorHAnsi" w:cstheme="minorHAnsi"/>
                <w:sz w:val="18"/>
                <w:szCs w:val="18"/>
                <w:lang w:val="es-MX"/>
              </w:rPr>
            </w:pPr>
          </w:p>
        </w:tc>
        <w:tc>
          <w:tcPr>
            <w:tcW w:w="2127" w:type="dxa"/>
          </w:tcPr>
          <w:p w14:paraId="7BBBC071" w14:textId="77777777" w:rsidR="002163FE" w:rsidRPr="00B37888" w:rsidRDefault="002163FE" w:rsidP="006D412D">
            <w:pPr>
              <w:pStyle w:val="Tabletext"/>
              <w:spacing w:after="0" w:line="240" w:lineRule="auto"/>
              <w:jc w:val="center"/>
              <w:rPr>
                <w:rFonts w:asciiTheme="minorHAnsi" w:hAnsiTheme="minorHAnsi" w:cstheme="minorHAnsi"/>
                <w:sz w:val="18"/>
                <w:szCs w:val="18"/>
                <w:lang w:val="es-MX"/>
              </w:rPr>
            </w:pPr>
          </w:p>
        </w:tc>
      </w:tr>
      <w:tr w:rsidR="002163FE" w:rsidRPr="00B37888" w14:paraId="196BF4E1" w14:textId="77777777">
        <w:trPr>
          <w:cantSplit/>
        </w:trPr>
        <w:tc>
          <w:tcPr>
            <w:tcW w:w="1560" w:type="dxa"/>
          </w:tcPr>
          <w:p w14:paraId="6977A3E9" w14:textId="77777777" w:rsidR="002163FE" w:rsidRPr="00B37888" w:rsidRDefault="002163FE" w:rsidP="006D412D">
            <w:pPr>
              <w:pStyle w:val="Tabletext"/>
              <w:spacing w:after="0" w:line="240" w:lineRule="auto"/>
              <w:jc w:val="center"/>
              <w:rPr>
                <w:rFonts w:asciiTheme="minorHAnsi" w:hAnsiTheme="minorHAnsi" w:cstheme="minorHAnsi"/>
                <w:sz w:val="18"/>
                <w:szCs w:val="18"/>
                <w:lang w:val="es-MX"/>
              </w:rPr>
            </w:pPr>
          </w:p>
        </w:tc>
        <w:tc>
          <w:tcPr>
            <w:tcW w:w="1701" w:type="dxa"/>
          </w:tcPr>
          <w:p w14:paraId="2DD80D2B" w14:textId="77777777" w:rsidR="002163FE" w:rsidRPr="00B37888" w:rsidRDefault="002163FE" w:rsidP="006D412D">
            <w:pPr>
              <w:pStyle w:val="Tabletext"/>
              <w:spacing w:after="0" w:line="240" w:lineRule="auto"/>
              <w:jc w:val="center"/>
              <w:rPr>
                <w:rFonts w:asciiTheme="minorHAnsi" w:hAnsiTheme="minorHAnsi" w:cstheme="minorHAnsi"/>
                <w:sz w:val="18"/>
                <w:szCs w:val="18"/>
                <w:lang w:val="es-MX"/>
              </w:rPr>
            </w:pPr>
          </w:p>
        </w:tc>
        <w:tc>
          <w:tcPr>
            <w:tcW w:w="4252" w:type="dxa"/>
          </w:tcPr>
          <w:p w14:paraId="547DF732" w14:textId="77777777" w:rsidR="002163FE" w:rsidRPr="00B37888" w:rsidRDefault="002163FE" w:rsidP="006D412D">
            <w:pPr>
              <w:pStyle w:val="Tabletext"/>
              <w:spacing w:after="0" w:line="240" w:lineRule="auto"/>
              <w:rPr>
                <w:rFonts w:asciiTheme="minorHAnsi" w:hAnsiTheme="minorHAnsi" w:cstheme="minorHAnsi"/>
                <w:sz w:val="18"/>
                <w:szCs w:val="18"/>
                <w:lang w:val="es-MX"/>
              </w:rPr>
            </w:pPr>
          </w:p>
        </w:tc>
        <w:tc>
          <w:tcPr>
            <w:tcW w:w="2127" w:type="dxa"/>
          </w:tcPr>
          <w:p w14:paraId="7F812B6D" w14:textId="77777777" w:rsidR="002163FE" w:rsidRPr="00B37888" w:rsidRDefault="002163FE" w:rsidP="006D412D">
            <w:pPr>
              <w:pStyle w:val="Tabletext"/>
              <w:spacing w:after="0" w:line="240" w:lineRule="auto"/>
              <w:jc w:val="center"/>
              <w:rPr>
                <w:rFonts w:asciiTheme="minorHAnsi" w:hAnsiTheme="minorHAnsi" w:cstheme="minorHAnsi"/>
                <w:sz w:val="18"/>
                <w:szCs w:val="18"/>
                <w:lang w:val="es-MX"/>
              </w:rPr>
            </w:pPr>
          </w:p>
        </w:tc>
      </w:tr>
      <w:tr w:rsidR="002163FE" w:rsidRPr="00B37888" w14:paraId="66D065B2" w14:textId="77777777">
        <w:trPr>
          <w:cantSplit/>
        </w:trPr>
        <w:tc>
          <w:tcPr>
            <w:tcW w:w="1560" w:type="dxa"/>
          </w:tcPr>
          <w:p w14:paraId="5D9E0E04" w14:textId="77777777" w:rsidR="002163FE" w:rsidRPr="00B37888" w:rsidRDefault="002163FE" w:rsidP="006D412D">
            <w:pPr>
              <w:pStyle w:val="Tabletext"/>
              <w:spacing w:after="0" w:line="240" w:lineRule="auto"/>
              <w:jc w:val="center"/>
              <w:rPr>
                <w:rFonts w:asciiTheme="minorHAnsi" w:hAnsiTheme="minorHAnsi" w:cstheme="minorHAnsi"/>
                <w:sz w:val="18"/>
                <w:szCs w:val="18"/>
                <w:lang w:val="es-ES"/>
              </w:rPr>
            </w:pPr>
          </w:p>
        </w:tc>
        <w:tc>
          <w:tcPr>
            <w:tcW w:w="1701" w:type="dxa"/>
          </w:tcPr>
          <w:p w14:paraId="138C84B9" w14:textId="77777777" w:rsidR="002163FE" w:rsidRPr="00B37888" w:rsidRDefault="002163FE" w:rsidP="006D412D">
            <w:pPr>
              <w:pStyle w:val="Tabletext"/>
              <w:spacing w:after="0" w:line="240" w:lineRule="auto"/>
              <w:jc w:val="center"/>
              <w:rPr>
                <w:rFonts w:asciiTheme="minorHAnsi" w:hAnsiTheme="minorHAnsi" w:cstheme="minorHAnsi"/>
                <w:sz w:val="18"/>
                <w:szCs w:val="18"/>
                <w:lang w:val="es-ES"/>
              </w:rPr>
            </w:pPr>
          </w:p>
        </w:tc>
        <w:tc>
          <w:tcPr>
            <w:tcW w:w="4252" w:type="dxa"/>
          </w:tcPr>
          <w:p w14:paraId="10CC7BCF" w14:textId="77777777" w:rsidR="002163FE" w:rsidRPr="00B37888" w:rsidRDefault="002163FE" w:rsidP="006D412D">
            <w:pPr>
              <w:pStyle w:val="Tabletext"/>
              <w:spacing w:after="0" w:line="240" w:lineRule="auto"/>
              <w:rPr>
                <w:rFonts w:asciiTheme="minorHAnsi" w:hAnsiTheme="minorHAnsi" w:cstheme="minorHAnsi"/>
                <w:sz w:val="18"/>
                <w:szCs w:val="18"/>
                <w:lang w:val="es-ES"/>
              </w:rPr>
            </w:pPr>
          </w:p>
        </w:tc>
        <w:tc>
          <w:tcPr>
            <w:tcW w:w="2127" w:type="dxa"/>
          </w:tcPr>
          <w:p w14:paraId="0FB67C6F" w14:textId="77777777" w:rsidR="002163FE" w:rsidRPr="00B37888" w:rsidRDefault="002163FE" w:rsidP="006D412D">
            <w:pPr>
              <w:pStyle w:val="Tabletext"/>
              <w:spacing w:after="0" w:line="240" w:lineRule="auto"/>
              <w:jc w:val="center"/>
              <w:rPr>
                <w:rFonts w:asciiTheme="minorHAnsi" w:hAnsiTheme="minorHAnsi" w:cstheme="minorHAnsi"/>
                <w:sz w:val="18"/>
                <w:szCs w:val="18"/>
                <w:lang w:val="es-ES"/>
              </w:rPr>
            </w:pPr>
          </w:p>
        </w:tc>
      </w:tr>
    </w:tbl>
    <w:p w14:paraId="7356BDD9" w14:textId="565813D8" w:rsidR="002163FE" w:rsidRPr="002163FE" w:rsidRDefault="002163FE" w:rsidP="002163FE"/>
    <w:p w14:paraId="2411B6CB" w14:textId="569E4636" w:rsidR="00990053" w:rsidRDefault="00990053" w:rsidP="008D7B2A"/>
    <w:p w14:paraId="10F875DD" w14:textId="26CE5682" w:rsidR="00990053" w:rsidRDefault="00990053" w:rsidP="008D7B2A"/>
    <w:p w14:paraId="54D98E0B" w14:textId="392B2D83" w:rsidR="00990053" w:rsidRDefault="00990053" w:rsidP="008D7B2A"/>
    <w:p w14:paraId="487DDB8C" w14:textId="77777777" w:rsidR="00990053" w:rsidRPr="00465B93" w:rsidRDefault="00990053" w:rsidP="008D7B2A"/>
    <w:sectPr w:rsidR="00990053" w:rsidRPr="00465B93">
      <w:head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Documentación Innevo" w:date="2023-07-20T16:26:00Z" w:initials="DI">
    <w:p w14:paraId="26D547FD" w14:textId="77777777" w:rsidR="00560E38" w:rsidRDefault="00560E38" w:rsidP="007B6381">
      <w:pPr>
        <w:pStyle w:val="Textocomentario"/>
      </w:pPr>
      <w:r>
        <w:rPr>
          <w:rStyle w:val="Refdecomentario"/>
        </w:rPr>
        <w:annotationRef/>
      </w:r>
      <w:r>
        <w:t>Es la configuración que debe de hacer un administrador de TI para que funcione el software. Por ejemplo,  si se instala el software en un servidor sería el tipo de configuraciones que debería de hacer para que el software opere, es decir, que pueda funcionar.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6D547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63DECF" w16cex:dateUtc="2023-07-20T22: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6D547FD" w16cid:durableId="2863DEC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E020B" w14:textId="77777777" w:rsidR="00932515" w:rsidRDefault="00932515" w:rsidP="00942EEB">
      <w:pPr>
        <w:spacing w:after="0" w:line="240" w:lineRule="auto"/>
      </w:pPr>
      <w:r>
        <w:separator/>
      </w:r>
    </w:p>
  </w:endnote>
  <w:endnote w:type="continuationSeparator" w:id="0">
    <w:p w14:paraId="163986A9" w14:textId="77777777" w:rsidR="00932515" w:rsidRDefault="00932515" w:rsidP="00942EEB">
      <w:pPr>
        <w:spacing w:after="0" w:line="240" w:lineRule="auto"/>
      </w:pPr>
      <w:r>
        <w:continuationSeparator/>
      </w:r>
    </w:p>
  </w:endnote>
  <w:endnote w:type="continuationNotice" w:id="1">
    <w:p w14:paraId="01DB021C" w14:textId="77777777" w:rsidR="00932515" w:rsidRDefault="0093251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OpenSymbol">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ewsGotT">
    <w:altName w:val="Calibri"/>
    <w:charset w:val="00"/>
    <w:family w:val="auto"/>
    <w:pitch w:val="variable"/>
  </w:font>
  <w:font w:name="Arial Unicode MS">
    <w:panose1 w:val="020B0604020202020204"/>
    <w:charset w:val="00"/>
    <w:family w:val="roman"/>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6E43FC" w14:textId="77777777" w:rsidR="00932515" w:rsidRDefault="00932515" w:rsidP="00942EEB">
      <w:pPr>
        <w:spacing w:after="0" w:line="240" w:lineRule="auto"/>
      </w:pPr>
      <w:r>
        <w:separator/>
      </w:r>
    </w:p>
  </w:footnote>
  <w:footnote w:type="continuationSeparator" w:id="0">
    <w:p w14:paraId="787184A6" w14:textId="77777777" w:rsidR="00932515" w:rsidRDefault="00932515" w:rsidP="00942EEB">
      <w:pPr>
        <w:spacing w:after="0" w:line="240" w:lineRule="auto"/>
      </w:pPr>
      <w:r>
        <w:continuationSeparator/>
      </w:r>
    </w:p>
  </w:footnote>
  <w:footnote w:type="continuationNotice" w:id="1">
    <w:p w14:paraId="73CB5B7C" w14:textId="77777777" w:rsidR="00932515" w:rsidRDefault="0093251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2187"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2187"/>
    </w:tblGrid>
    <w:tr w:rsidR="00BF4CF9" w:rsidRPr="00CC2432" w14:paraId="50245469" w14:textId="77777777" w:rsidTr="00BF4CF9">
      <w:trPr>
        <w:cantSplit/>
        <w:trHeight w:val="269"/>
      </w:trPr>
      <w:tc>
        <w:tcPr>
          <w:tcW w:w="2187" w:type="dxa"/>
          <w:vMerge w:val="restart"/>
          <w:shd w:val="clear" w:color="auto" w:fill="FFFFFF"/>
          <w:vAlign w:val="center"/>
        </w:tcPr>
        <w:p w14:paraId="615E5110" w14:textId="77777777" w:rsidR="00BF4CF9" w:rsidRPr="00CC2432" w:rsidRDefault="00BF4CF9" w:rsidP="00942EEB">
          <w:pPr>
            <w:pStyle w:val="Encabezado"/>
            <w:jc w:val="center"/>
          </w:pPr>
          <w:r w:rsidRPr="00CC2432">
            <w:t>Logo de la empresa</w:t>
          </w:r>
          <w:r>
            <w:t>.</w:t>
          </w:r>
        </w:p>
      </w:tc>
    </w:tr>
    <w:tr w:rsidR="00BF4CF9" w:rsidRPr="00CC2432" w14:paraId="14648AF7" w14:textId="77777777" w:rsidTr="00BF4CF9">
      <w:trPr>
        <w:cantSplit/>
        <w:trHeight w:val="317"/>
      </w:trPr>
      <w:tc>
        <w:tcPr>
          <w:tcW w:w="2187" w:type="dxa"/>
          <w:vMerge/>
          <w:shd w:val="clear" w:color="auto" w:fill="FFFFFF"/>
        </w:tcPr>
        <w:p w14:paraId="1CC730B0" w14:textId="77777777" w:rsidR="00BF4CF9" w:rsidRPr="00CC2432" w:rsidRDefault="00BF4CF9" w:rsidP="00942EEB">
          <w:pPr>
            <w:pStyle w:val="Encabezado"/>
            <w:jc w:val="center"/>
          </w:pPr>
        </w:p>
      </w:tc>
    </w:tr>
    <w:tr w:rsidR="00BF4CF9" w:rsidRPr="00CC2432" w14:paraId="58DA9EA6" w14:textId="77777777" w:rsidTr="00BF4CF9">
      <w:trPr>
        <w:cantSplit/>
        <w:trHeight w:val="317"/>
      </w:trPr>
      <w:tc>
        <w:tcPr>
          <w:tcW w:w="2187" w:type="dxa"/>
          <w:vMerge/>
          <w:shd w:val="clear" w:color="auto" w:fill="FFFFFF"/>
        </w:tcPr>
        <w:p w14:paraId="7033D23C" w14:textId="77777777" w:rsidR="00BF4CF9" w:rsidRPr="00CC2432" w:rsidRDefault="00BF4CF9" w:rsidP="00942EEB">
          <w:pPr>
            <w:pStyle w:val="Encabezado"/>
            <w:jc w:val="center"/>
          </w:pPr>
        </w:p>
      </w:tc>
    </w:tr>
  </w:tbl>
  <w:p w14:paraId="25FE576E" w14:textId="77777777" w:rsidR="00942EEB" w:rsidRDefault="00942E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2517B"/>
    <w:multiLevelType w:val="multilevel"/>
    <w:tmpl w:val="8C2E54C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F5E3525"/>
    <w:multiLevelType w:val="hybridMultilevel"/>
    <w:tmpl w:val="FEF253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8286903"/>
    <w:multiLevelType w:val="hybridMultilevel"/>
    <w:tmpl w:val="131A1412"/>
    <w:lvl w:ilvl="0" w:tplc="6688DD8E">
      <w:start w:val="1"/>
      <w:numFmt w:val="decimal"/>
      <w:lvlText w:val="%1."/>
      <w:lvlJc w:val="left"/>
      <w:pPr>
        <w:ind w:left="720" w:hanging="360"/>
      </w:pPr>
      <w:rPr>
        <w:rFonts w:ascii="Segoe UI" w:hAnsi="Segoe UI" w:cs="Segoe UI" w:hint="default"/>
        <w:sz w:val="1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98F7C1C"/>
    <w:multiLevelType w:val="hybridMultilevel"/>
    <w:tmpl w:val="022C89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EEB2DD0"/>
    <w:multiLevelType w:val="multilevel"/>
    <w:tmpl w:val="94726368"/>
    <w:lvl w:ilvl="0">
      <w:numFmt w:val="bullet"/>
      <w:lvlText w:val="•"/>
      <w:lvlJc w:val="left"/>
      <w:pPr>
        <w:ind w:left="360" w:hanging="360"/>
      </w:pPr>
      <w:rPr>
        <w:rFonts w:ascii="OpenSymbol" w:eastAsia="OpenSymbol" w:hAnsi="OpenSymbol" w:cs="OpenSymbol"/>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5" w15:restartNumberingAfterBreak="0">
    <w:nsid w:val="67C704EF"/>
    <w:multiLevelType w:val="hybridMultilevel"/>
    <w:tmpl w:val="4AA2BE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375037117">
    <w:abstractNumId w:val="0"/>
  </w:num>
  <w:num w:numId="2" w16cid:durableId="1360353110">
    <w:abstractNumId w:val="1"/>
  </w:num>
  <w:num w:numId="3" w16cid:durableId="1807889098">
    <w:abstractNumId w:val="3"/>
  </w:num>
  <w:num w:numId="4" w16cid:durableId="1893301969">
    <w:abstractNumId w:val="4"/>
  </w:num>
  <w:num w:numId="5" w16cid:durableId="87702869">
    <w:abstractNumId w:val="5"/>
  </w:num>
  <w:num w:numId="6" w16cid:durableId="193443298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ocumentación Innevo">
    <w15:presenceInfo w15:providerId="None" w15:userId="Documentación Innev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EEB"/>
    <w:rsid w:val="00006007"/>
    <w:rsid w:val="0001505D"/>
    <w:rsid w:val="00015595"/>
    <w:rsid w:val="00024E4C"/>
    <w:rsid w:val="000255D3"/>
    <w:rsid w:val="00043E36"/>
    <w:rsid w:val="0006187D"/>
    <w:rsid w:val="00065BAB"/>
    <w:rsid w:val="00086376"/>
    <w:rsid w:val="00087010"/>
    <w:rsid w:val="000920D4"/>
    <w:rsid w:val="000B580E"/>
    <w:rsid w:val="000C1A3B"/>
    <w:rsid w:val="000C23B8"/>
    <w:rsid w:val="000C6530"/>
    <w:rsid w:val="000E1F60"/>
    <w:rsid w:val="000E78B0"/>
    <w:rsid w:val="000F03BB"/>
    <w:rsid w:val="000F469E"/>
    <w:rsid w:val="00100263"/>
    <w:rsid w:val="00106152"/>
    <w:rsid w:val="00113C19"/>
    <w:rsid w:val="00130742"/>
    <w:rsid w:val="00133056"/>
    <w:rsid w:val="00133649"/>
    <w:rsid w:val="00135863"/>
    <w:rsid w:val="00146638"/>
    <w:rsid w:val="001577E7"/>
    <w:rsid w:val="00165A3E"/>
    <w:rsid w:val="00197EB7"/>
    <w:rsid w:val="001B700F"/>
    <w:rsid w:val="001B7510"/>
    <w:rsid w:val="001C6431"/>
    <w:rsid w:val="001C6C2E"/>
    <w:rsid w:val="001D78A6"/>
    <w:rsid w:val="001E62B5"/>
    <w:rsid w:val="001F3887"/>
    <w:rsid w:val="002163FE"/>
    <w:rsid w:val="00227571"/>
    <w:rsid w:val="00235EFF"/>
    <w:rsid w:val="002455D5"/>
    <w:rsid w:val="002527FD"/>
    <w:rsid w:val="002710ED"/>
    <w:rsid w:val="00287880"/>
    <w:rsid w:val="002A6E17"/>
    <w:rsid w:val="002B3EF7"/>
    <w:rsid w:val="002B4444"/>
    <w:rsid w:val="002D0DCA"/>
    <w:rsid w:val="002D211F"/>
    <w:rsid w:val="002F5770"/>
    <w:rsid w:val="002F6664"/>
    <w:rsid w:val="00356883"/>
    <w:rsid w:val="003578CD"/>
    <w:rsid w:val="00364F96"/>
    <w:rsid w:val="00376597"/>
    <w:rsid w:val="003A1494"/>
    <w:rsid w:val="003B1565"/>
    <w:rsid w:val="003B777B"/>
    <w:rsid w:val="003C1653"/>
    <w:rsid w:val="003C71F8"/>
    <w:rsid w:val="003D757F"/>
    <w:rsid w:val="003E77F7"/>
    <w:rsid w:val="00410706"/>
    <w:rsid w:val="0042661D"/>
    <w:rsid w:val="00430F54"/>
    <w:rsid w:val="00434009"/>
    <w:rsid w:val="00447F59"/>
    <w:rsid w:val="00451D64"/>
    <w:rsid w:val="00465B93"/>
    <w:rsid w:val="00475BCF"/>
    <w:rsid w:val="00486616"/>
    <w:rsid w:val="004A68F6"/>
    <w:rsid w:val="004B3C58"/>
    <w:rsid w:val="004C7450"/>
    <w:rsid w:val="004E55AC"/>
    <w:rsid w:val="004E5DCB"/>
    <w:rsid w:val="004F1596"/>
    <w:rsid w:val="00523A10"/>
    <w:rsid w:val="00560E38"/>
    <w:rsid w:val="0058427A"/>
    <w:rsid w:val="005A1F56"/>
    <w:rsid w:val="005B575B"/>
    <w:rsid w:val="005C6AA9"/>
    <w:rsid w:val="005D0BBA"/>
    <w:rsid w:val="005D380C"/>
    <w:rsid w:val="005D51F1"/>
    <w:rsid w:val="005D6698"/>
    <w:rsid w:val="005F11F7"/>
    <w:rsid w:val="005F3900"/>
    <w:rsid w:val="00603214"/>
    <w:rsid w:val="00605A0C"/>
    <w:rsid w:val="00615841"/>
    <w:rsid w:val="00622F25"/>
    <w:rsid w:val="00642FE4"/>
    <w:rsid w:val="0065241B"/>
    <w:rsid w:val="00653B0B"/>
    <w:rsid w:val="006574BE"/>
    <w:rsid w:val="00674B8B"/>
    <w:rsid w:val="0067635C"/>
    <w:rsid w:val="00683C35"/>
    <w:rsid w:val="006B6E55"/>
    <w:rsid w:val="006B7B89"/>
    <w:rsid w:val="006D412D"/>
    <w:rsid w:val="006F3A9B"/>
    <w:rsid w:val="006F4A9E"/>
    <w:rsid w:val="0072313C"/>
    <w:rsid w:val="00743711"/>
    <w:rsid w:val="007512CF"/>
    <w:rsid w:val="0078283E"/>
    <w:rsid w:val="00785D2F"/>
    <w:rsid w:val="00786A13"/>
    <w:rsid w:val="00792EA8"/>
    <w:rsid w:val="007947B4"/>
    <w:rsid w:val="00794D0A"/>
    <w:rsid w:val="007B00BD"/>
    <w:rsid w:val="007B0521"/>
    <w:rsid w:val="007E3B24"/>
    <w:rsid w:val="007E48E2"/>
    <w:rsid w:val="007E5B37"/>
    <w:rsid w:val="007F28BC"/>
    <w:rsid w:val="00803565"/>
    <w:rsid w:val="0083106E"/>
    <w:rsid w:val="00836EF2"/>
    <w:rsid w:val="008420CD"/>
    <w:rsid w:val="008C71B1"/>
    <w:rsid w:val="008D0AE4"/>
    <w:rsid w:val="008D7B2A"/>
    <w:rsid w:val="00921FF9"/>
    <w:rsid w:val="0093227A"/>
    <w:rsid w:val="00932515"/>
    <w:rsid w:val="00942EEB"/>
    <w:rsid w:val="009869A0"/>
    <w:rsid w:val="00990053"/>
    <w:rsid w:val="00997B65"/>
    <w:rsid w:val="009C426F"/>
    <w:rsid w:val="009C74C1"/>
    <w:rsid w:val="009E3B0F"/>
    <w:rsid w:val="009E5FF3"/>
    <w:rsid w:val="009F0493"/>
    <w:rsid w:val="009F2521"/>
    <w:rsid w:val="00A05909"/>
    <w:rsid w:val="00A15316"/>
    <w:rsid w:val="00A22A15"/>
    <w:rsid w:val="00A378B1"/>
    <w:rsid w:val="00A85190"/>
    <w:rsid w:val="00A977A8"/>
    <w:rsid w:val="00AB1FD8"/>
    <w:rsid w:val="00AB3785"/>
    <w:rsid w:val="00AE07BD"/>
    <w:rsid w:val="00AE1793"/>
    <w:rsid w:val="00B13D65"/>
    <w:rsid w:val="00B14046"/>
    <w:rsid w:val="00B204F0"/>
    <w:rsid w:val="00B25CD1"/>
    <w:rsid w:val="00B37888"/>
    <w:rsid w:val="00B60C48"/>
    <w:rsid w:val="00B972CF"/>
    <w:rsid w:val="00BB5B73"/>
    <w:rsid w:val="00BC4B58"/>
    <w:rsid w:val="00BD0B68"/>
    <w:rsid w:val="00BD3BD8"/>
    <w:rsid w:val="00BE49A4"/>
    <w:rsid w:val="00BF4CF9"/>
    <w:rsid w:val="00BF74D1"/>
    <w:rsid w:val="00C03FFF"/>
    <w:rsid w:val="00C05306"/>
    <w:rsid w:val="00C3178A"/>
    <w:rsid w:val="00C33536"/>
    <w:rsid w:val="00C455AF"/>
    <w:rsid w:val="00C64FBC"/>
    <w:rsid w:val="00C66736"/>
    <w:rsid w:val="00C76A67"/>
    <w:rsid w:val="00C84012"/>
    <w:rsid w:val="00C90506"/>
    <w:rsid w:val="00CB1134"/>
    <w:rsid w:val="00CC40A9"/>
    <w:rsid w:val="00CC7AC1"/>
    <w:rsid w:val="00CD5F61"/>
    <w:rsid w:val="00CE333E"/>
    <w:rsid w:val="00CF6424"/>
    <w:rsid w:val="00D10B6E"/>
    <w:rsid w:val="00D224B3"/>
    <w:rsid w:val="00D23B92"/>
    <w:rsid w:val="00D33C88"/>
    <w:rsid w:val="00D61FF4"/>
    <w:rsid w:val="00D66D62"/>
    <w:rsid w:val="00D70941"/>
    <w:rsid w:val="00D72ED8"/>
    <w:rsid w:val="00D77B5F"/>
    <w:rsid w:val="00D841A1"/>
    <w:rsid w:val="00D8665A"/>
    <w:rsid w:val="00D95381"/>
    <w:rsid w:val="00DA2E3B"/>
    <w:rsid w:val="00DA36BB"/>
    <w:rsid w:val="00DA4239"/>
    <w:rsid w:val="00DB2CB7"/>
    <w:rsid w:val="00DB4A34"/>
    <w:rsid w:val="00DE1D91"/>
    <w:rsid w:val="00E1066B"/>
    <w:rsid w:val="00E21505"/>
    <w:rsid w:val="00E37BC1"/>
    <w:rsid w:val="00E46F0E"/>
    <w:rsid w:val="00E572A6"/>
    <w:rsid w:val="00E67E99"/>
    <w:rsid w:val="00E7316B"/>
    <w:rsid w:val="00E808B5"/>
    <w:rsid w:val="00E865F3"/>
    <w:rsid w:val="00E9324E"/>
    <w:rsid w:val="00EA2AB5"/>
    <w:rsid w:val="00EB6933"/>
    <w:rsid w:val="00ED2096"/>
    <w:rsid w:val="00EE2ED1"/>
    <w:rsid w:val="00EF6649"/>
    <w:rsid w:val="00F12D85"/>
    <w:rsid w:val="00F21983"/>
    <w:rsid w:val="00F31DCD"/>
    <w:rsid w:val="00F746D0"/>
    <w:rsid w:val="00F86021"/>
    <w:rsid w:val="00FA79C6"/>
    <w:rsid w:val="00FC2A8A"/>
    <w:rsid w:val="00FD3D5E"/>
    <w:rsid w:val="00FE005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4240CD"/>
  <w15:chartTrackingRefBased/>
  <w15:docId w15:val="{E970BAE6-5CB6-4CED-A738-7711E4F7C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w:iCs/>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638"/>
  </w:style>
  <w:style w:type="paragraph" w:styleId="Ttulo1">
    <w:name w:val="heading 1"/>
    <w:basedOn w:val="Normal"/>
    <w:next w:val="Normal"/>
    <w:link w:val="Ttulo1Car"/>
    <w:uiPriority w:val="9"/>
    <w:qFormat/>
    <w:rsid w:val="001466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F577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42E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2EEB"/>
    <w:rPr>
      <w:lang w:val="es-MX"/>
    </w:rPr>
  </w:style>
  <w:style w:type="paragraph" w:styleId="Piedepgina">
    <w:name w:val="footer"/>
    <w:basedOn w:val="Normal"/>
    <w:link w:val="PiedepginaCar"/>
    <w:uiPriority w:val="99"/>
    <w:unhideWhenUsed/>
    <w:rsid w:val="00942E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2EEB"/>
    <w:rPr>
      <w:lang w:val="es-MX"/>
    </w:rPr>
  </w:style>
  <w:style w:type="character" w:customStyle="1" w:styleId="Ttulo1Car">
    <w:name w:val="Título 1 Car"/>
    <w:basedOn w:val="Fuentedeprrafopredeter"/>
    <w:link w:val="Ttulo1"/>
    <w:uiPriority w:val="9"/>
    <w:rsid w:val="00146638"/>
    <w:rPr>
      <w:rFonts w:asciiTheme="majorHAnsi" w:eastAsiaTheme="majorEastAsia" w:hAnsiTheme="majorHAnsi" w:cstheme="majorBidi"/>
      <w:color w:val="2F5496" w:themeColor="accent1" w:themeShade="BF"/>
      <w:sz w:val="32"/>
      <w:szCs w:val="32"/>
      <w:lang w:val="es-MX"/>
    </w:rPr>
  </w:style>
  <w:style w:type="paragraph" w:styleId="TtuloTDC">
    <w:name w:val="TOC Heading"/>
    <w:basedOn w:val="Ttulo1"/>
    <w:next w:val="Normal"/>
    <w:uiPriority w:val="39"/>
    <w:unhideWhenUsed/>
    <w:qFormat/>
    <w:rsid w:val="00146638"/>
    <w:pPr>
      <w:outlineLvl w:val="9"/>
    </w:pPr>
    <w:rPr>
      <w:lang w:eastAsia="es-MX"/>
    </w:rPr>
  </w:style>
  <w:style w:type="paragraph" w:styleId="TDC1">
    <w:name w:val="toc 1"/>
    <w:basedOn w:val="Normal"/>
    <w:next w:val="Normal"/>
    <w:autoRedefine/>
    <w:uiPriority w:val="39"/>
    <w:unhideWhenUsed/>
    <w:rsid w:val="00146638"/>
    <w:pPr>
      <w:spacing w:after="100"/>
    </w:pPr>
  </w:style>
  <w:style w:type="paragraph" w:styleId="TDC2">
    <w:name w:val="toc 2"/>
    <w:basedOn w:val="Normal"/>
    <w:next w:val="Normal"/>
    <w:autoRedefine/>
    <w:uiPriority w:val="39"/>
    <w:unhideWhenUsed/>
    <w:rsid w:val="00146638"/>
    <w:pPr>
      <w:spacing w:after="100"/>
      <w:ind w:left="220"/>
    </w:pPr>
  </w:style>
  <w:style w:type="character" w:styleId="Hipervnculo">
    <w:name w:val="Hyperlink"/>
    <w:basedOn w:val="Fuentedeprrafopredeter"/>
    <w:uiPriority w:val="99"/>
    <w:unhideWhenUsed/>
    <w:rsid w:val="00146638"/>
    <w:rPr>
      <w:color w:val="0563C1" w:themeColor="hyperlink"/>
      <w:u w:val="single"/>
    </w:rPr>
  </w:style>
  <w:style w:type="character" w:customStyle="1" w:styleId="Ttulo2Car">
    <w:name w:val="Título 2 Car"/>
    <w:basedOn w:val="Fuentedeprrafopredeter"/>
    <w:link w:val="Ttulo2"/>
    <w:uiPriority w:val="9"/>
    <w:rsid w:val="002F5770"/>
    <w:rPr>
      <w:rFonts w:asciiTheme="majorHAnsi" w:eastAsiaTheme="majorEastAsia" w:hAnsiTheme="majorHAnsi" w:cstheme="majorBidi"/>
      <w:color w:val="2F5496" w:themeColor="accent1" w:themeShade="BF"/>
      <w:sz w:val="26"/>
      <w:szCs w:val="26"/>
      <w:lang w:val="es-MX"/>
    </w:rPr>
  </w:style>
  <w:style w:type="paragraph" w:styleId="Prrafodelista">
    <w:name w:val="List Paragraph"/>
    <w:basedOn w:val="Normal"/>
    <w:uiPriority w:val="34"/>
    <w:qFormat/>
    <w:rsid w:val="00475BCF"/>
    <w:pPr>
      <w:ind w:left="720"/>
      <w:contextualSpacing/>
    </w:pPr>
  </w:style>
  <w:style w:type="paragraph" w:styleId="Textodeglobo">
    <w:name w:val="Balloon Text"/>
    <w:basedOn w:val="Normal"/>
    <w:link w:val="TextodegloboCar"/>
    <w:uiPriority w:val="99"/>
    <w:semiHidden/>
    <w:unhideWhenUsed/>
    <w:rsid w:val="00C03FF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03FFF"/>
    <w:rPr>
      <w:rFonts w:ascii="Segoe UI" w:hAnsi="Segoe UI" w:cs="Segoe UI"/>
      <w:sz w:val="18"/>
      <w:szCs w:val="18"/>
      <w:lang w:val="es-MX"/>
    </w:rPr>
  </w:style>
  <w:style w:type="paragraph" w:customStyle="1" w:styleId="Textbody">
    <w:name w:val="Text body"/>
    <w:basedOn w:val="Normal"/>
    <w:rsid w:val="004B3C58"/>
    <w:pPr>
      <w:widowControl w:val="0"/>
      <w:suppressAutoHyphens/>
      <w:autoSpaceDN w:val="0"/>
      <w:spacing w:after="120" w:line="240" w:lineRule="auto"/>
      <w:jc w:val="both"/>
      <w:textAlignment w:val="baseline"/>
    </w:pPr>
    <w:rPr>
      <w:rFonts w:ascii="NewsGotT" w:eastAsia="Arial Unicode MS" w:hAnsi="NewsGotT" w:cs="Mangal"/>
      <w:kern w:val="3"/>
      <w:szCs w:val="24"/>
      <w:lang w:eastAsia="zh-CN" w:bidi="hi-IN"/>
    </w:rPr>
  </w:style>
  <w:style w:type="paragraph" w:customStyle="1" w:styleId="Standard">
    <w:name w:val="Standard"/>
    <w:rsid w:val="003578CD"/>
    <w:pPr>
      <w:widowControl w:val="0"/>
      <w:suppressAutoHyphens/>
      <w:autoSpaceDN w:val="0"/>
      <w:spacing w:after="0" w:line="240" w:lineRule="auto"/>
      <w:textAlignment w:val="baseline"/>
    </w:pPr>
    <w:rPr>
      <w:rFonts w:ascii="NewsGotT" w:eastAsia="Arial Unicode MS" w:hAnsi="NewsGotT" w:cs="Mangal"/>
      <w:kern w:val="3"/>
      <w:szCs w:val="24"/>
      <w:lang w:eastAsia="zh-CN" w:bidi="hi-IN"/>
    </w:rPr>
  </w:style>
  <w:style w:type="paragraph" w:customStyle="1" w:styleId="TableContents">
    <w:name w:val="Table Contents"/>
    <w:basedOn w:val="Standard"/>
    <w:rsid w:val="003578CD"/>
    <w:pPr>
      <w:suppressLineNumbers/>
      <w:jc w:val="both"/>
    </w:pPr>
  </w:style>
  <w:style w:type="paragraph" w:styleId="NormalWeb">
    <w:name w:val="Normal (Web)"/>
    <w:basedOn w:val="Normal"/>
    <w:uiPriority w:val="99"/>
    <w:semiHidden/>
    <w:unhideWhenUsed/>
    <w:rsid w:val="00465B93"/>
    <w:pPr>
      <w:spacing w:before="100" w:beforeAutospacing="1" w:after="100" w:afterAutospacing="1" w:line="240" w:lineRule="auto"/>
    </w:pPr>
    <w:rPr>
      <w:rFonts w:ascii="Times New Roman" w:eastAsia="Times New Roman" w:hAnsi="Times New Roman"/>
      <w:sz w:val="24"/>
      <w:szCs w:val="24"/>
      <w:lang w:eastAsia="es-MX"/>
    </w:rPr>
  </w:style>
  <w:style w:type="paragraph" w:customStyle="1" w:styleId="Tabletext">
    <w:name w:val="Tabletext"/>
    <w:basedOn w:val="Normal"/>
    <w:rsid w:val="002163FE"/>
    <w:pPr>
      <w:keepLines/>
      <w:widowControl w:val="0"/>
      <w:spacing w:after="120" w:line="240" w:lineRule="atLeast"/>
      <w:jc w:val="both"/>
    </w:pPr>
    <w:rPr>
      <w:rFonts w:ascii="Garamond" w:eastAsia="Times New Roman" w:hAnsi="Garamond" w:cs="Arial"/>
      <w:bCs/>
      <w:kern w:val="32"/>
      <w:lang w:val="en-US" w:eastAsia="es-ES"/>
    </w:rPr>
  </w:style>
  <w:style w:type="character" w:customStyle="1" w:styleId="ExplicacinSeccin">
    <w:name w:val="Explicación Sección"/>
    <w:basedOn w:val="Fuentedeprrafopredeter"/>
    <w:rsid w:val="002163FE"/>
    <w:rPr>
      <w:color w:val="666699"/>
    </w:rPr>
  </w:style>
  <w:style w:type="character" w:customStyle="1" w:styleId="normaltextrun">
    <w:name w:val="normaltextrun"/>
    <w:basedOn w:val="Fuentedeprrafopredeter"/>
    <w:rsid w:val="00043E36"/>
  </w:style>
  <w:style w:type="character" w:customStyle="1" w:styleId="eop">
    <w:name w:val="eop"/>
    <w:basedOn w:val="Fuentedeprrafopredeter"/>
    <w:rsid w:val="00043E36"/>
  </w:style>
  <w:style w:type="character" w:styleId="Refdecomentario">
    <w:name w:val="annotation reference"/>
    <w:basedOn w:val="Fuentedeprrafopredeter"/>
    <w:uiPriority w:val="99"/>
    <w:semiHidden/>
    <w:unhideWhenUsed/>
    <w:rsid w:val="00043E36"/>
    <w:rPr>
      <w:sz w:val="16"/>
      <w:szCs w:val="16"/>
    </w:rPr>
  </w:style>
  <w:style w:type="paragraph" w:styleId="Textocomentario">
    <w:name w:val="annotation text"/>
    <w:basedOn w:val="Normal"/>
    <w:link w:val="TextocomentarioCar"/>
    <w:uiPriority w:val="99"/>
    <w:unhideWhenUsed/>
    <w:rsid w:val="00043E36"/>
    <w:pPr>
      <w:spacing w:line="240" w:lineRule="auto"/>
    </w:pPr>
  </w:style>
  <w:style w:type="character" w:customStyle="1" w:styleId="TextocomentarioCar">
    <w:name w:val="Texto comentario Car"/>
    <w:basedOn w:val="Fuentedeprrafopredeter"/>
    <w:link w:val="Textocomentario"/>
    <w:uiPriority w:val="99"/>
    <w:rsid w:val="00043E36"/>
    <w:rPr>
      <w:sz w:val="20"/>
      <w:szCs w:val="20"/>
      <w:lang w:val="es-MX"/>
    </w:rPr>
  </w:style>
  <w:style w:type="paragraph" w:styleId="Asuntodelcomentario">
    <w:name w:val="annotation subject"/>
    <w:basedOn w:val="Textocomentario"/>
    <w:next w:val="Textocomentario"/>
    <w:link w:val="AsuntodelcomentarioCar"/>
    <w:uiPriority w:val="99"/>
    <w:semiHidden/>
    <w:unhideWhenUsed/>
    <w:rsid w:val="00043E36"/>
    <w:rPr>
      <w:b/>
      <w:bCs/>
    </w:rPr>
  </w:style>
  <w:style w:type="character" w:customStyle="1" w:styleId="AsuntodelcomentarioCar">
    <w:name w:val="Asunto del comentario Car"/>
    <w:basedOn w:val="TextocomentarioCar"/>
    <w:link w:val="Asuntodelcomentario"/>
    <w:uiPriority w:val="99"/>
    <w:semiHidden/>
    <w:rsid w:val="00043E36"/>
    <w:rPr>
      <w:b/>
      <w:bCs/>
      <w:sz w:val="20"/>
      <w:szCs w:val="20"/>
      <w:lang w:val="es-MX"/>
    </w:rPr>
  </w:style>
  <w:style w:type="character" w:styleId="Mencinsinresolver">
    <w:name w:val="Unresolved Mention"/>
    <w:basedOn w:val="Fuentedeprrafopredeter"/>
    <w:uiPriority w:val="99"/>
    <w:unhideWhenUsed/>
    <w:rsid w:val="008C71B1"/>
    <w:rPr>
      <w:color w:val="605E5C"/>
      <w:shd w:val="clear" w:color="auto" w:fill="E1DFDD"/>
    </w:rPr>
  </w:style>
  <w:style w:type="character" w:styleId="Mencionar">
    <w:name w:val="Mention"/>
    <w:basedOn w:val="Fuentedeprrafopredeter"/>
    <w:uiPriority w:val="99"/>
    <w:unhideWhenUsed/>
    <w:rsid w:val="008C71B1"/>
    <w:rPr>
      <w:color w:val="2B579A"/>
      <w:shd w:val="clear" w:color="auto" w:fill="E1DFDD"/>
    </w:rPr>
  </w:style>
  <w:style w:type="character" w:customStyle="1" w:styleId="cf01">
    <w:name w:val="cf01"/>
    <w:basedOn w:val="Fuentedeprrafopredeter"/>
    <w:rsid w:val="00EB6933"/>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175549">
      <w:bodyDiv w:val="1"/>
      <w:marLeft w:val="0"/>
      <w:marRight w:val="0"/>
      <w:marTop w:val="0"/>
      <w:marBottom w:val="0"/>
      <w:divBdr>
        <w:top w:val="none" w:sz="0" w:space="0" w:color="auto"/>
        <w:left w:val="none" w:sz="0" w:space="0" w:color="auto"/>
        <w:bottom w:val="none" w:sz="0" w:space="0" w:color="auto"/>
        <w:right w:val="none" w:sz="0" w:space="0" w:color="auto"/>
      </w:divBdr>
    </w:div>
    <w:div w:id="1069234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Estado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F79CA91C779E94BAF39074ADA180F65" ma:contentTypeVersion="14" ma:contentTypeDescription="Crear nuevo documento." ma:contentTypeScope="" ma:versionID="d6205b0d1c25ed055490250e5b851106">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30a4542a350e85cf4441d679f58bc062"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6453E-A969-4232-9E7E-D2F3690A20C1}">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customXml/itemProps2.xml><?xml version="1.0" encoding="utf-8"?>
<ds:datastoreItem xmlns:ds="http://schemas.openxmlformats.org/officeDocument/2006/customXml" ds:itemID="{AD4F71C6-FA85-46E3-9D2A-7591BDDA53B9}">
  <ds:schemaRefs>
    <ds:schemaRef ds:uri="http://schemas.microsoft.com/sharepoint/v3/contenttype/forms"/>
  </ds:schemaRefs>
</ds:datastoreItem>
</file>

<file path=customXml/itemProps3.xml><?xml version="1.0" encoding="utf-8"?>
<ds:datastoreItem xmlns:ds="http://schemas.openxmlformats.org/officeDocument/2006/customXml" ds:itemID="{734AF792-E7C5-40A5-8D2E-D5C4617A23C0}"/>
</file>

<file path=customXml/itemProps4.xml><?xml version="1.0" encoding="utf-8"?>
<ds:datastoreItem xmlns:ds="http://schemas.openxmlformats.org/officeDocument/2006/customXml" ds:itemID="{9C8C528E-04B7-4199-99CD-DFA4E56BC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4</Pages>
  <Words>772</Words>
  <Characters>4251</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5013</CharactersWithSpaces>
  <SharedDoc>false</SharedDoc>
  <HLinks>
    <vt:vector size="84" baseType="variant">
      <vt:variant>
        <vt:i4>1245241</vt:i4>
      </vt:variant>
      <vt:variant>
        <vt:i4>74</vt:i4>
      </vt:variant>
      <vt:variant>
        <vt:i4>0</vt:i4>
      </vt:variant>
      <vt:variant>
        <vt:i4>5</vt:i4>
      </vt:variant>
      <vt:variant>
        <vt:lpwstr/>
      </vt:variant>
      <vt:variant>
        <vt:lpwstr>_Toc139619080</vt:lpwstr>
      </vt:variant>
      <vt:variant>
        <vt:i4>1835065</vt:i4>
      </vt:variant>
      <vt:variant>
        <vt:i4>68</vt:i4>
      </vt:variant>
      <vt:variant>
        <vt:i4>0</vt:i4>
      </vt:variant>
      <vt:variant>
        <vt:i4>5</vt:i4>
      </vt:variant>
      <vt:variant>
        <vt:lpwstr/>
      </vt:variant>
      <vt:variant>
        <vt:lpwstr>_Toc139619079</vt:lpwstr>
      </vt:variant>
      <vt:variant>
        <vt:i4>1835065</vt:i4>
      </vt:variant>
      <vt:variant>
        <vt:i4>62</vt:i4>
      </vt:variant>
      <vt:variant>
        <vt:i4>0</vt:i4>
      </vt:variant>
      <vt:variant>
        <vt:i4>5</vt:i4>
      </vt:variant>
      <vt:variant>
        <vt:lpwstr/>
      </vt:variant>
      <vt:variant>
        <vt:lpwstr>_Toc139619078</vt:lpwstr>
      </vt:variant>
      <vt:variant>
        <vt:i4>1835065</vt:i4>
      </vt:variant>
      <vt:variant>
        <vt:i4>56</vt:i4>
      </vt:variant>
      <vt:variant>
        <vt:i4>0</vt:i4>
      </vt:variant>
      <vt:variant>
        <vt:i4>5</vt:i4>
      </vt:variant>
      <vt:variant>
        <vt:lpwstr/>
      </vt:variant>
      <vt:variant>
        <vt:lpwstr>_Toc139619077</vt:lpwstr>
      </vt:variant>
      <vt:variant>
        <vt:i4>1835065</vt:i4>
      </vt:variant>
      <vt:variant>
        <vt:i4>50</vt:i4>
      </vt:variant>
      <vt:variant>
        <vt:i4>0</vt:i4>
      </vt:variant>
      <vt:variant>
        <vt:i4>5</vt:i4>
      </vt:variant>
      <vt:variant>
        <vt:lpwstr/>
      </vt:variant>
      <vt:variant>
        <vt:lpwstr>_Toc139619076</vt:lpwstr>
      </vt:variant>
      <vt:variant>
        <vt:i4>1835065</vt:i4>
      </vt:variant>
      <vt:variant>
        <vt:i4>44</vt:i4>
      </vt:variant>
      <vt:variant>
        <vt:i4>0</vt:i4>
      </vt:variant>
      <vt:variant>
        <vt:i4>5</vt:i4>
      </vt:variant>
      <vt:variant>
        <vt:lpwstr/>
      </vt:variant>
      <vt:variant>
        <vt:lpwstr>_Toc139619075</vt:lpwstr>
      </vt:variant>
      <vt:variant>
        <vt:i4>1835065</vt:i4>
      </vt:variant>
      <vt:variant>
        <vt:i4>38</vt:i4>
      </vt:variant>
      <vt:variant>
        <vt:i4>0</vt:i4>
      </vt:variant>
      <vt:variant>
        <vt:i4>5</vt:i4>
      </vt:variant>
      <vt:variant>
        <vt:lpwstr/>
      </vt:variant>
      <vt:variant>
        <vt:lpwstr>_Toc139619074</vt:lpwstr>
      </vt:variant>
      <vt:variant>
        <vt:i4>1835065</vt:i4>
      </vt:variant>
      <vt:variant>
        <vt:i4>32</vt:i4>
      </vt:variant>
      <vt:variant>
        <vt:i4>0</vt:i4>
      </vt:variant>
      <vt:variant>
        <vt:i4>5</vt:i4>
      </vt:variant>
      <vt:variant>
        <vt:lpwstr/>
      </vt:variant>
      <vt:variant>
        <vt:lpwstr>_Toc139619073</vt:lpwstr>
      </vt:variant>
      <vt:variant>
        <vt:i4>1835065</vt:i4>
      </vt:variant>
      <vt:variant>
        <vt:i4>26</vt:i4>
      </vt:variant>
      <vt:variant>
        <vt:i4>0</vt:i4>
      </vt:variant>
      <vt:variant>
        <vt:i4>5</vt:i4>
      </vt:variant>
      <vt:variant>
        <vt:lpwstr/>
      </vt:variant>
      <vt:variant>
        <vt:lpwstr>_Toc139619072</vt:lpwstr>
      </vt:variant>
      <vt:variant>
        <vt:i4>1835065</vt:i4>
      </vt:variant>
      <vt:variant>
        <vt:i4>20</vt:i4>
      </vt:variant>
      <vt:variant>
        <vt:i4>0</vt:i4>
      </vt:variant>
      <vt:variant>
        <vt:i4>5</vt:i4>
      </vt:variant>
      <vt:variant>
        <vt:lpwstr/>
      </vt:variant>
      <vt:variant>
        <vt:lpwstr>_Toc139619071</vt:lpwstr>
      </vt:variant>
      <vt:variant>
        <vt:i4>1835065</vt:i4>
      </vt:variant>
      <vt:variant>
        <vt:i4>14</vt:i4>
      </vt:variant>
      <vt:variant>
        <vt:i4>0</vt:i4>
      </vt:variant>
      <vt:variant>
        <vt:i4>5</vt:i4>
      </vt:variant>
      <vt:variant>
        <vt:lpwstr/>
      </vt:variant>
      <vt:variant>
        <vt:lpwstr>_Toc139619070</vt:lpwstr>
      </vt:variant>
      <vt:variant>
        <vt:i4>1900601</vt:i4>
      </vt:variant>
      <vt:variant>
        <vt:i4>8</vt:i4>
      </vt:variant>
      <vt:variant>
        <vt:i4>0</vt:i4>
      </vt:variant>
      <vt:variant>
        <vt:i4>5</vt:i4>
      </vt:variant>
      <vt:variant>
        <vt:lpwstr/>
      </vt:variant>
      <vt:variant>
        <vt:lpwstr>_Toc139619069</vt:lpwstr>
      </vt:variant>
      <vt:variant>
        <vt:i4>1900601</vt:i4>
      </vt:variant>
      <vt:variant>
        <vt:i4>2</vt:i4>
      </vt:variant>
      <vt:variant>
        <vt:i4>0</vt:i4>
      </vt:variant>
      <vt:variant>
        <vt:i4>5</vt:i4>
      </vt:variant>
      <vt:variant>
        <vt:lpwstr/>
      </vt:variant>
      <vt:variant>
        <vt:lpwstr>_Toc139619068</vt:lpwstr>
      </vt:variant>
      <vt:variant>
        <vt:i4>5308532</vt:i4>
      </vt:variant>
      <vt:variant>
        <vt:i4>0</vt:i4>
      </vt:variant>
      <vt:variant>
        <vt:i4>0</vt:i4>
      </vt:variant>
      <vt:variant>
        <vt:i4>5</vt:i4>
      </vt:variant>
      <vt:variant>
        <vt:lpwstr>mailto:mota@innevo.com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Quintero N.</dc:creator>
  <cp:keywords/>
  <dc:description/>
  <cp:lastModifiedBy>Carlos Quintero N.</cp:lastModifiedBy>
  <cp:revision>201</cp:revision>
  <cp:lastPrinted>2024-07-11T22:30:00Z</cp:lastPrinted>
  <dcterms:created xsi:type="dcterms:W3CDTF">2019-09-23T20:30:00Z</dcterms:created>
  <dcterms:modified xsi:type="dcterms:W3CDTF">2026-09-23T07:02:01Z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y fmtid="{D5CDD505-2E9C-101B-9397-08002B2CF9AE}" pid="4" name="Email">
    <vt:lpwstr>carlos.quintero@4js.com</vt:lpwstr>
  </property>
</Properties>
</file>