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808080"/>
          <w:sz w:val="20"/>
          <w:szCs w:val="20"/>
        </w:rPr>
        <w:t xml:space="preserve">FJL-F02-TD</w:t>
      </w:r>
    </w:p>
    <w:p>
      <w:pPr>
        <w:pStyle w:val="Title"/>
        <w:spacing w:after="200"/>
        <w:jc w:val="center"/>
      </w:pPr>
      <w:r>
        <w:t xml:space="preserve">Especificación de Requerimientos</w:t>
      </w:r>
    </w:p>
    <w:p>
      <w:pPr>
        <w:spacing w:after="100"/>
        <w:jc w:val="center"/>
      </w:pPr>
      <w:r>
        <w:rPr>
          <w:b/>
          <w:bCs/>
          <w:sz w:val="26"/>
          <w:szCs w:val="26"/>
        </w:rPr>
        <w:t xml:space="preserve">Portabilidad de Derechos Pensionarios entre ISSSTE e IMSS — Fase 2: Re-portabilidad</w:t>
      </w:r>
    </w:p>
    <w:p>
      <w:pPr>
        <w:spacing w:after="400"/>
        <w:jc w:val="center"/>
      </w:pPr>
      <w:r>
        <w:rPr>
          <w:i/>
          <w:iCs/>
          <w:color w:val="595959"/>
          <w:sz w:val="20"/>
          <w:szCs w:val="20"/>
        </w:rPr>
        <w:t xml:space="preserve">Entregable para Instituto de Seguridad y Servicios Sociales de los Trabajadores del Estado (ISSSTE) — Versión 1.0 (Entrega Final, Fase 2)</w:t>
      </w:r>
    </w:p>
    <w:p>
      <w:r>
        <w:br w:type="page"/>
      </w:r>
    </w:p>
    <w:p>
      <w:pPr>
        <w:pStyle w:val="Heading1"/>
        <w:spacing w:after="160" w:before="320"/>
      </w:pPr>
      <w:r>
        <w:t xml:space="preserve">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2600"/>
        <w:gridCol w:w="1800"/>
        <w:gridCol w:w="2560"/>
      </w:tblGrid>
      <w:tr>
        <w:trPr>
          <w:tblHeader/>
        </w:trPr>
        <w:tc>
          <w:tcPr>
            <w:tcW w:type="dxa" w:w="1000"/>
            <w:shd w:fill="DCE6F1" w:val="clear"/>
            <w:tcMar>
              <w:top w:type="dxa" w:w="80"/>
              <w:left w:type="dxa" w:w="100"/>
              <w:bottom w:type="dxa" w:w="80"/>
              <w:right w:type="dxa" w:w="100"/>
            </w:tcMar>
          </w:tcPr>
          <w:p>
            <w:r>
              <w:rPr>
                <w:b/>
                <w:bCs/>
              </w:rPr>
              <w:t xml:space="preserve">Versión</w:t>
            </w:r>
          </w:p>
        </w:tc>
        <w:tc>
          <w:tcPr>
            <w:tcW w:type="dxa" w:w="1400"/>
            <w:shd w:fill="DCE6F1" w:val="clear"/>
            <w:tcMar>
              <w:top w:type="dxa" w:w="80"/>
              <w:left w:type="dxa" w:w="100"/>
              <w:bottom w:type="dxa" w:w="80"/>
              <w:right w:type="dxa" w:w="100"/>
            </w:tcMar>
          </w:tcPr>
          <w:p>
            <w:r>
              <w:rPr>
                <w:b/>
                <w:bCs/>
              </w:rPr>
              <w:t xml:space="preserve">Fecha</w:t>
            </w:r>
          </w:p>
        </w:tc>
        <w:tc>
          <w:tcPr>
            <w:tcW w:type="dxa" w:w="2600"/>
            <w:shd w:fill="DCE6F1" w:val="clear"/>
            <w:tcMar>
              <w:top w:type="dxa" w:w="80"/>
              <w:left w:type="dxa" w:w="100"/>
              <w:bottom w:type="dxa" w:w="80"/>
              <w:right w:type="dxa" w:w="100"/>
            </w:tcMar>
          </w:tcPr>
          <w:p>
            <w:r>
              <w:rPr>
                <w:b/>
                <w:bCs/>
              </w:rPr>
              <w:t xml:space="preserve">Autor</w:t>
            </w:r>
          </w:p>
        </w:tc>
        <w:tc>
          <w:tcPr>
            <w:tcW w:type="dxa" w:w="1800"/>
            <w:shd w:fill="DCE6F1" w:val="clear"/>
            <w:tcMar>
              <w:top w:type="dxa" w:w="80"/>
              <w:left w:type="dxa" w:w="100"/>
              <w:bottom w:type="dxa" w:w="80"/>
              <w:right w:type="dxa" w:w="100"/>
            </w:tcMar>
          </w:tcPr>
          <w:p>
            <w:r>
              <w:rPr>
                <w:b/>
                <w:bCs/>
              </w:rPr>
              <w:t xml:space="preserve">Estado</w:t>
            </w:r>
          </w:p>
        </w:tc>
        <w:tc>
          <w:tcPr>
            <w:tcW w:type="dxa" w:w="2560"/>
            <w:shd w:fill="DCE6F1" w:val="clear"/>
            <w:tcMar>
              <w:top w:type="dxa" w:w="80"/>
              <w:left w:type="dxa" w:w="100"/>
              <w:bottom w:type="dxa" w:w="80"/>
              <w:right w:type="dxa" w:w="100"/>
            </w:tcMar>
          </w:tcPr>
          <w:p>
            <w:r>
              <w:rPr>
                <w:b/>
                <w:bCs/>
              </w:rPr>
              <w:t xml:space="preserve">Descripción</w:t>
            </w:r>
          </w:p>
        </w:tc>
      </w:tr>
      <w:tr>
        <w:tc>
          <w:tcPr>
            <w:tcW w:type="dxa" w:w="1000"/>
            <w:tcMar>
              <w:top w:type="dxa" w:w="80"/>
              <w:left w:type="dxa" w:w="100"/>
              <w:bottom w:type="dxa" w:w="80"/>
              <w:right w:type="dxa" w:w="100"/>
            </w:tcMar>
          </w:tcPr>
          <w:p>
            <w:r>
              <w:rPr>
                <w:b w:val="false"/>
                <w:bCs w:val="false"/>
              </w:rPr>
              <w:t xml:space="preserve">1.0</w:t>
            </w:r>
          </w:p>
        </w:tc>
        <w:tc>
          <w:tcPr>
            <w:tcW w:type="dxa" w:w="1400"/>
            <w:tcMar>
              <w:top w:type="dxa" w:w="80"/>
              <w:left w:type="dxa" w:w="100"/>
              <w:bottom w:type="dxa" w:w="80"/>
              <w:right w:type="dxa" w:w="100"/>
            </w:tcMar>
          </w:tcPr>
          <w:p>
            <w:r>
              <w:rPr>
                <w:b w:val="false"/>
                <w:bCs w:val="false"/>
              </w:rPr>
              <w:t xml:space="preserve">27/07/2026</w:t>
            </w:r>
          </w:p>
        </w:tc>
        <w:tc>
          <w:tcPr>
            <w:tcW w:type="dxa" w:w="2600"/>
            <w:tcMar>
              <w:top w:type="dxa" w:w="80"/>
              <w:left w:type="dxa" w:w="100"/>
              <w:bottom w:type="dxa" w:w="80"/>
              <w:right w:type="dxa" w:w="100"/>
            </w:tcMar>
          </w:tcPr>
          <w:p>
            <w:r>
              <w:rPr>
                <w:b w:val="false"/>
                <w:bCs w:val="false"/>
              </w:rPr>
              <w:t xml:space="preserve">Carlos Quintero (Four Js)</w:t>
            </w:r>
          </w:p>
        </w:tc>
        <w:tc>
          <w:tcPr>
            <w:tcW w:type="dxa" w:w="1800"/>
            <w:tcMar>
              <w:top w:type="dxa" w:w="80"/>
              <w:left w:type="dxa" w:w="100"/>
              <w:bottom w:type="dxa" w:w="80"/>
              <w:right w:type="dxa" w:w="100"/>
            </w:tcMar>
          </w:tcPr>
          <w:p>
            <w:r>
              <w:rPr>
                <w:b w:val="false"/>
                <w:bCs w:val="false"/>
              </w:rPr>
              <w:t xml:space="preserve">Entrega Final</w:t>
            </w:r>
          </w:p>
        </w:tc>
        <w:tc>
          <w:tcPr>
            <w:tcW w:type="dxa" w:w="2560"/>
            <w:tcMar>
              <w:top w:type="dxa" w:w="80"/>
              <w:left w:type="dxa" w:w="100"/>
              <w:bottom w:type="dxa" w:w="80"/>
              <w:right w:type="dxa" w:w="100"/>
            </w:tcMar>
          </w:tcPr>
          <w:p>
            <w:r>
              <w:rPr>
                <w:b w:val="false"/>
                <w:bCs w:val="false"/>
              </w:rPr>
              <w:t xml:space="preserve">Versión inicial — entrega formal a ISSSTE</w:t>
            </w:r>
          </w:p>
        </w:tc>
      </w:tr>
    </w:tbl>
    <w:p>
      <w:r>
        <w:br w:type="page"/>
      </w:r>
    </w:p>
    <w:p>
      <w:pPr>
        <w:pStyle w:val="Heading1"/>
        <w:spacing w:after="160" w:before="32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Introducción</w:t>
      </w:r>
    </w:p>
    <w:p>
      <w:pPr>
        <w:pStyle w:val="Heading2"/>
        <w:spacing w:after="120" w:before="240"/>
      </w:pPr>
      <w:r>
        <w:t xml:space="preserve">1.1 Propósito</w:t>
      </w:r>
    </w:p>
    <w:p>
      <w:pPr>
        <w:spacing w:after="140"/>
      </w:pPr>
      <w:r>
        <w:t xml:space="preserve">Este documento especifica los requerimientos de la segunda fase del proyecto, correspondiente a la habilitación de la re-portabilidad en el proceso entrante (IMSS inicia la portabilidad hacia ISSSTE). Complementa, sin sustituir, la Especificación de Requerimientos de la Fase 1.</w:t>
      </w:r>
    </w:p>
    <w:p>
      <w:pPr>
        <w:pStyle w:val="Heading2"/>
        <w:spacing w:after="120" w:before="240"/>
      </w:pPr>
      <w:r>
        <w:t xml:space="preserve">1.2 Alcance</w:t>
      </w:r>
    </w:p>
    <w:p>
      <w:pPr>
        <w:spacing w:after="140"/>
      </w:pPr>
      <w:r>
        <w:t xml:space="preserve">Permitir que un derechohabiente que ya concluyó un trámite de portabilidad pueda realizar uno nuevo, reutilizando los periodos de cotización previamente marcados, sin cancelar ni alterar el trámite anterior.</w:t>
      </w:r>
    </w:p>
    <w:p>
      <w:pPr>
        <w:pStyle w:val="Heading2"/>
        <w:spacing w:after="120" w:before="240"/>
      </w:pPr>
      <w:r>
        <w:t xml:space="preserve">1.3 Definiciones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CE6F1" w:val="clear"/>
            <w:tcMar>
              <w:top w:type="dxa" w:w="80"/>
              <w:left w:type="dxa" w:w="100"/>
              <w:bottom w:type="dxa" w:w="80"/>
              <w:right w:type="dxa" w:w="100"/>
            </w:tcMar>
          </w:tcPr>
          <w:p>
            <w:r>
              <w:rPr>
                <w:b/>
                <w:bCs/>
              </w:rPr>
              <w:t xml:space="preserve">Término</w:t>
            </w:r>
          </w:p>
        </w:tc>
        <w:tc>
          <w:tcPr>
            <w:tcW w:type="dxa" w:w="6960"/>
            <w:shd w:fill="DCE6F1" w:val="clear"/>
            <w:tcMar>
              <w:top w:type="dxa" w:w="80"/>
              <w:left w:type="dxa" w:w="100"/>
              <w:bottom w:type="dxa" w:w="80"/>
              <w:right w:type="dxa" w:w="100"/>
            </w:tcMar>
          </w:tcPr>
          <w:p>
            <w:r>
              <w:rPr>
                <w:b/>
                <w:bCs/>
              </w:rPr>
              <w:t xml:space="preserve">Definición</w:t>
            </w:r>
          </w:p>
        </w:tc>
      </w:tr>
      <w:tr>
        <w:tc>
          <w:tcPr>
            <w:tcW w:type="dxa" w:w="2400"/>
            <w:tcMar>
              <w:top w:type="dxa" w:w="80"/>
              <w:left w:type="dxa" w:w="100"/>
              <w:bottom w:type="dxa" w:w="80"/>
              <w:right w:type="dxa" w:w="100"/>
            </w:tcMar>
          </w:tcPr>
          <w:p>
            <w:r>
              <w:rPr>
                <w:b w:val="false"/>
                <w:bCs w:val="false"/>
              </w:rPr>
              <w:t xml:space="preserve">Re-portabilidad</w:t>
            </w:r>
          </w:p>
        </w:tc>
        <w:tc>
          <w:tcPr>
            <w:tcW w:type="dxa" w:w="6960"/>
            <w:tcMar>
              <w:top w:type="dxa" w:w="80"/>
              <w:left w:type="dxa" w:w="100"/>
              <w:bottom w:type="dxa" w:w="80"/>
              <w:right w:type="dxa" w:w="100"/>
            </w:tcMar>
          </w:tcPr>
          <w:p>
            <w:r>
              <w:rPr>
                <w:b w:val="false"/>
                <w:bCs w:val="false"/>
              </w:rPr>
              <w:t xml:space="preserve">Realización de un nuevo trámite de portabilidad de derechos para un derechohabiente que ya cuenta con al menos un trámite concluido previamente.</w:t>
            </w:r>
          </w:p>
        </w:tc>
      </w:tr>
      <w:tr>
        <w:tc>
          <w:tcPr>
            <w:tcW w:type="dxa" w:w="2400"/>
            <w:tcMar>
              <w:top w:type="dxa" w:w="80"/>
              <w:left w:type="dxa" w:w="100"/>
              <w:bottom w:type="dxa" w:w="80"/>
              <w:right w:type="dxa" w:w="100"/>
            </w:tcMar>
          </w:tcPr>
          <w:p>
            <w:r>
              <w:rPr>
                <w:b w:val="false"/>
                <w:bCs w:val="false"/>
              </w:rPr>
              <w:t xml:space="preserve">Marca 410 (uso_pen)</w:t>
            </w:r>
          </w:p>
        </w:tc>
        <w:tc>
          <w:tcPr>
            <w:tcW w:type="dxa" w:w="6960"/>
            <w:tcMar>
              <w:top w:type="dxa" w:w="80"/>
              <w:left w:type="dxa" w:w="100"/>
              <w:bottom w:type="dxa" w:w="80"/>
              <w:right w:type="dxa" w:w="100"/>
            </w:tcMar>
          </w:tcPr>
          <w:p>
            <w:r>
              <w:rPr>
                <w:b w:val="false"/>
                <w:bCs w:val="false"/>
              </w:rPr>
              <w:t xml:space="preserve">Valor de la columna uso_pen en la tabla cuenta_ind que identifica un periodo de cotización como parte de un trámite de portabilidad.</w:t>
            </w:r>
          </w:p>
        </w:tc>
      </w:tr>
    </w:tbl>
    <w:p>
      <w:pPr>
        <w:pStyle w:val="Heading1"/>
        <w:spacing w:after="160" w:before="320"/>
      </w:pPr>
      <w:r>
        <w:t xml:space="preserve">2. 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160"/>
        <w:gridCol w:w="1300"/>
      </w:tblGrid>
      <w:tr>
        <w:trPr>
          <w:tblHeader/>
        </w:trPr>
        <w:tc>
          <w:tcPr>
            <w:tcW w:type="dxa" w:w="900"/>
            <w:shd w:fill="DCE6F1" w:val="clear"/>
            <w:tcMar>
              <w:top w:type="dxa" w:w="80"/>
              <w:left w:type="dxa" w:w="100"/>
              <w:bottom w:type="dxa" w:w="80"/>
              <w:right w:type="dxa" w:w="100"/>
            </w:tcMar>
          </w:tcPr>
          <w:p>
            <w:r>
              <w:rPr>
                <w:b/>
                <w:bCs/>
              </w:rPr>
              <w:t xml:space="preserve">ID</w:t>
            </w:r>
          </w:p>
        </w:tc>
        <w:tc>
          <w:tcPr>
            <w:tcW w:type="dxa" w:w="7160"/>
            <w:shd w:fill="DCE6F1" w:val="clear"/>
            <w:tcMar>
              <w:top w:type="dxa" w:w="80"/>
              <w:left w:type="dxa" w:w="100"/>
              <w:bottom w:type="dxa" w:w="80"/>
              <w:right w:type="dxa" w:w="100"/>
            </w:tcMar>
          </w:tcPr>
          <w:p>
            <w:r>
              <w:rPr>
                <w:b/>
                <w:bCs/>
              </w:rPr>
              <w:t xml:space="preserve">Descripción</w:t>
            </w:r>
          </w:p>
        </w:tc>
        <w:tc>
          <w:tcPr>
            <w:tcW w:type="dxa" w:w="1300"/>
            <w:shd w:fill="DCE6F1" w:val="clear"/>
            <w:tcMar>
              <w:top w:type="dxa" w:w="80"/>
              <w:left w:type="dxa" w:w="100"/>
              <w:bottom w:type="dxa" w:w="80"/>
              <w:right w:type="dxa" w:w="100"/>
            </w:tcMar>
          </w:tcPr>
          <w:p>
            <w:r>
              <w:rPr>
                <w:b/>
                <w:bCs/>
              </w:rPr>
              <w:t xml:space="preserve">Prioridad</w:t>
            </w:r>
          </w:p>
        </w:tc>
      </w:tr>
      <w:tr>
        <w:tc>
          <w:tcPr>
            <w:tcW w:type="dxa" w:w="900"/>
            <w:tcMar>
              <w:top w:type="dxa" w:w="80"/>
              <w:left w:type="dxa" w:w="100"/>
              <w:bottom w:type="dxa" w:w="80"/>
              <w:right w:type="dxa" w:w="100"/>
            </w:tcMar>
          </w:tcPr>
          <w:p>
            <w:r>
              <w:rPr>
                <w:b w:val="false"/>
                <w:bCs w:val="false"/>
              </w:rPr>
              <w:t xml:space="preserve">RF2-01</w:t>
            </w:r>
          </w:p>
        </w:tc>
        <w:tc>
          <w:tcPr>
            <w:tcW w:type="dxa" w:w="7160"/>
            <w:tcMar>
              <w:top w:type="dxa" w:w="80"/>
              <w:left w:type="dxa" w:w="100"/>
              <w:bottom w:type="dxa" w:w="80"/>
              <w:right w:type="dxa" w:w="100"/>
            </w:tcMar>
          </w:tcPr>
          <w:p>
            <w:r>
              <w:rPr>
                <w:b w:val="false"/>
                <w:bCs w:val="false"/>
              </w:rPr>
              <w:t xml:space="preserve">El sistema deberá permitir que un mismo derechohabiente realice más de un trámite de portabilidad de derechos a lo largo del tiempo, sin que la existencia de un trámite anterior concluido para la misma CURP impida el registro de uno nuevo.</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RF2-02</w:t>
            </w:r>
          </w:p>
        </w:tc>
        <w:tc>
          <w:tcPr>
            <w:tcW w:type="dxa" w:w="7160"/>
            <w:tcMar>
              <w:top w:type="dxa" w:w="80"/>
              <w:left w:type="dxa" w:w="100"/>
              <w:bottom w:type="dxa" w:w="80"/>
              <w:right w:type="dxa" w:w="100"/>
            </w:tcMar>
          </w:tcPr>
          <w:p>
            <w:r>
              <w:rPr>
                <w:b w:val="false"/>
                <w:bCs w:val="false"/>
              </w:rPr>
              <w:t xml:space="preserve">El sistema deberá excluir la marca 410 (marca de portabilidad/re-portabilidad) de las reglas de elegibilidad que evalúan marcas de impedimento entre 400 y 430, así como del catálogo de marcas del historial laboral, de forma que su sola presencia no bloquee un nuevo trámite.</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RF2-03</w:t>
            </w:r>
          </w:p>
        </w:tc>
        <w:tc>
          <w:tcPr>
            <w:tcW w:type="dxa" w:w="7160"/>
            <w:tcMar>
              <w:top w:type="dxa" w:w="80"/>
              <w:left w:type="dxa" w:w="100"/>
              <w:bottom w:type="dxa" w:w="80"/>
              <w:right w:type="dxa" w:w="100"/>
            </w:tcMar>
          </w:tcPr>
          <w:p>
            <w:r>
              <w:rPr>
                <w:b w:val="false"/>
                <w:bCs w:val="false"/>
              </w:rPr>
              <w:t xml:space="preserve">El sistema deberá incluir, en la Consulta Robusta, los periodos de cotización que ya cuenten con la marca 410, además de los periodos sin marca, para que puedan reportarse en un nuevo trámite.</w:t>
            </w:r>
          </w:p>
        </w:tc>
        <w:tc>
          <w:tcPr>
            <w:tcW w:type="dxa" w:w="1300"/>
            <w:tcMar>
              <w:top w:type="dxa" w:w="80"/>
              <w:left w:type="dxa" w:w="100"/>
              <w:bottom w:type="dxa" w:w="80"/>
              <w:right w:type="dxa" w:w="100"/>
            </w:tcMar>
          </w:tcPr>
          <w:p>
            <w:r>
              <w:rPr>
                <w:b w:val="false"/>
                <w:bCs w:val="false"/>
              </w:rPr>
              <w:t xml:space="preserve">Alta</w:t>
            </w:r>
          </w:p>
        </w:tc>
      </w:tr>
      <w:tr>
        <w:tc>
          <w:tcPr>
            <w:tcW w:type="dxa" w:w="900"/>
            <w:tcMar>
              <w:top w:type="dxa" w:w="80"/>
              <w:left w:type="dxa" w:w="100"/>
              <w:bottom w:type="dxa" w:w="80"/>
              <w:right w:type="dxa" w:w="100"/>
            </w:tcMar>
          </w:tcPr>
          <w:p>
            <w:r>
              <w:rPr>
                <w:b w:val="false"/>
                <w:bCs w:val="false"/>
              </w:rPr>
              <w:t xml:space="preserve">RF2-04</w:t>
            </w:r>
          </w:p>
        </w:tc>
        <w:tc>
          <w:tcPr>
            <w:tcW w:type="dxa" w:w="7160"/>
            <w:tcMar>
              <w:top w:type="dxa" w:w="80"/>
              <w:left w:type="dxa" w:w="100"/>
              <w:bottom w:type="dxa" w:w="80"/>
              <w:right w:type="dxa" w:w="100"/>
            </w:tcMar>
          </w:tcPr>
          <w:p>
            <w:r>
              <w:rPr>
                <w:b w:val="false"/>
                <w:bCs w:val="false"/>
              </w:rPr>
              <w:t xml:space="preserve">El sistema deberá permitir marcar nuevamente con la clave 410 los periodos de cotización correspondientes a un nuevo trámite de portabilidad, evitando una actualización redundante sobre periodos que ya cuenten con esa marca.</w:t>
            </w:r>
          </w:p>
        </w:tc>
        <w:tc>
          <w:tcPr>
            <w:tcW w:type="dxa" w:w="1300"/>
            <w:tcMar>
              <w:top w:type="dxa" w:w="80"/>
              <w:left w:type="dxa" w:w="100"/>
              <w:bottom w:type="dxa" w:w="80"/>
              <w:right w:type="dxa" w:w="100"/>
            </w:tcMar>
          </w:tcPr>
          <w:p>
            <w:r>
              <w:rPr>
                <w:b w:val="false"/>
                <w:bCs w:val="false"/>
              </w:rPr>
              <w:t xml:space="preserve">Media</w:t>
            </w:r>
          </w:p>
        </w:tc>
      </w:tr>
      <w:tr>
        <w:tc>
          <w:tcPr>
            <w:tcW w:type="dxa" w:w="900"/>
            <w:tcMar>
              <w:top w:type="dxa" w:w="80"/>
              <w:left w:type="dxa" w:w="100"/>
              <w:bottom w:type="dxa" w:w="80"/>
              <w:right w:type="dxa" w:w="100"/>
            </w:tcMar>
          </w:tcPr>
          <w:p>
            <w:r>
              <w:rPr>
                <w:b w:val="false"/>
                <w:bCs w:val="false"/>
              </w:rPr>
              <w:t xml:space="preserve">RF2-05</w:t>
            </w:r>
          </w:p>
        </w:tc>
        <w:tc>
          <w:tcPr>
            <w:tcW w:type="dxa" w:w="7160"/>
            <w:tcMar>
              <w:top w:type="dxa" w:w="80"/>
              <w:left w:type="dxa" w:w="100"/>
              <w:bottom w:type="dxa" w:w="80"/>
              <w:right w:type="dxa" w:w="100"/>
            </w:tcMar>
          </w:tcPr>
          <w:p>
            <w:r>
              <w:rPr>
                <w:b w:val="false"/>
                <w:bCs w:val="false"/>
              </w:rPr>
              <w:t xml:space="preserve">El sistema deberá registrar en la bitácora del proceso entrante el resultado de cada consulta, incluyendo los casos de rechazo inmediato, de forma que quede trazabilidad completa de cada intento de trámite, incluyendo los que involucran una re-portabilidad.</w:t>
            </w:r>
          </w:p>
        </w:tc>
        <w:tc>
          <w:tcPr>
            <w:tcW w:type="dxa" w:w="1300"/>
            <w:tcMar>
              <w:top w:type="dxa" w:w="80"/>
              <w:left w:type="dxa" w:w="100"/>
              <w:bottom w:type="dxa" w:w="80"/>
              <w:right w:type="dxa" w:w="100"/>
            </w:tcMar>
          </w:tcPr>
          <w:p>
            <w:r>
              <w:rPr>
                <w:b w:val="false"/>
                <w:bCs w:val="false"/>
              </w:rPr>
              <w:t xml:space="preserve">Media</w:t>
            </w:r>
          </w:p>
        </w:tc>
      </w:tr>
    </w:tbl>
    <w:p>
      <w:pPr>
        <w:pStyle w:val="Heading1"/>
        <w:spacing w:after="160" w:before="320"/>
      </w:pPr>
      <w:r>
        <w:t xml:space="preserve">3. Reglas de negocio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shd w:fill="DCE6F1" w:val="clear"/>
            <w:tcMar>
              <w:top w:type="dxa" w:w="80"/>
              <w:left w:type="dxa" w:w="100"/>
              <w:bottom w:type="dxa" w:w="80"/>
              <w:right w:type="dxa" w:w="100"/>
            </w:tcMar>
          </w:tcPr>
          <w:p>
            <w:r>
              <w:rPr>
                <w:b/>
                <w:bCs/>
              </w:rPr>
              <w:t xml:space="preserve">ID</w:t>
            </w:r>
          </w:p>
        </w:tc>
        <w:tc>
          <w:tcPr>
            <w:tcW w:type="dxa" w:w="2600"/>
            <w:shd w:fill="DCE6F1" w:val="clear"/>
            <w:tcMar>
              <w:top w:type="dxa" w:w="80"/>
              <w:left w:type="dxa" w:w="100"/>
              <w:bottom w:type="dxa" w:w="80"/>
              <w:right w:type="dxa" w:w="100"/>
            </w:tcMar>
          </w:tcPr>
          <w:p>
            <w:r>
              <w:rPr>
                <w:b/>
                <w:bCs/>
              </w:rPr>
              <w:t xml:space="preserve">Regla</w:t>
            </w:r>
          </w:p>
        </w:tc>
        <w:tc>
          <w:tcPr>
            <w:tcW w:type="dxa" w:w="5860"/>
            <w:shd w:fill="DCE6F1" w:val="clear"/>
            <w:tcMar>
              <w:top w:type="dxa" w:w="80"/>
              <w:left w:type="dxa" w:w="100"/>
              <w:bottom w:type="dxa" w:w="80"/>
              <w:right w:type="dxa" w:w="100"/>
            </w:tcMar>
          </w:tcPr>
          <w:p>
            <w:r>
              <w:rPr>
                <w:b/>
                <w:bCs/>
              </w:rPr>
              <w:t xml:space="preserve">Descripción</w:t>
            </w:r>
          </w:p>
        </w:tc>
      </w:tr>
      <w:tr>
        <w:tc>
          <w:tcPr>
            <w:tcW w:type="dxa" w:w="900"/>
            <w:tcMar>
              <w:top w:type="dxa" w:w="80"/>
              <w:left w:type="dxa" w:w="100"/>
              <w:bottom w:type="dxa" w:w="80"/>
              <w:right w:type="dxa" w:w="100"/>
            </w:tcMar>
          </w:tcPr>
          <w:p>
            <w:r>
              <w:rPr>
                <w:b w:val="false"/>
                <w:bCs w:val="false"/>
              </w:rPr>
              <w:t xml:space="preserve">RN2-01</w:t>
            </w:r>
          </w:p>
        </w:tc>
        <w:tc>
          <w:tcPr>
            <w:tcW w:type="dxa" w:w="2600"/>
            <w:tcMar>
              <w:top w:type="dxa" w:w="80"/>
              <w:left w:type="dxa" w:w="100"/>
              <w:bottom w:type="dxa" w:w="80"/>
              <w:right w:type="dxa" w:w="100"/>
            </w:tcMar>
          </w:tcPr>
          <w:p>
            <w:r>
              <w:rPr>
                <w:b w:val="false"/>
                <w:bCs w:val="false"/>
              </w:rPr>
              <w:t xml:space="preserve">Re-portabilidad de periodos</w:t>
            </w:r>
          </w:p>
        </w:tc>
        <w:tc>
          <w:tcPr>
            <w:tcW w:type="dxa" w:w="5860"/>
            <w:tcMar>
              <w:top w:type="dxa" w:w="80"/>
              <w:left w:type="dxa" w:w="100"/>
              <w:bottom w:type="dxa" w:w="80"/>
              <w:right w:type="dxa" w:w="100"/>
            </w:tcMar>
          </w:tcPr>
          <w:p>
            <w:r>
              <w:rPr>
                <w:b w:val="false"/>
                <w:bCs w:val="false"/>
              </w:rPr>
              <w:t xml:space="preserve">El sistema deberá permitir volver a consultar y volver a marcar, en un nuevo trámite de portabilidad, los periodos que ya cuenten con la clave 410 en uso_pen, sin considerar dicha marca como un impedimento bloqueante.</w:t>
            </w:r>
          </w:p>
        </w:tc>
      </w:tr>
      <w:tr>
        <w:tc>
          <w:tcPr>
            <w:tcW w:type="dxa" w:w="900"/>
            <w:tcMar>
              <w:top w:type="dxa" w:w="80"/>
              <w:left w:type="dxa" w:w="100"/>
              <w:bottom w:type="dxa" w:w="80"/>
              <w:right w:type="dxa" w:w="100"/>
            </w:tcMar>
          </w:tcPr>
          <w:p>
            <w:r>
              <w:rPr>
                <w:b w:val="false"/>
                <w:bCs w:val="false"/>
              </w:rPr>
              <w:t xml:space="preserve">RN2-02</w:t>
            </w:r>
          </w:p>
        </w:tc>
        <w:tc>
          <w:tcPr>
            <w:tcW w:type="dxa" w:w="2600"/>
            <w:tcMar>
              <w:top w:type="dxa" w:w="80"/>
              <w:left w:type="dxa" w:w="100"/>
              <w:bottom w:type="dxa" w:w="80"/>
              <w:right w:type="dxa" w:w="100"/>
            </w:tcMar>
          </w:tcPr>
          <w:p>
            <w:r>
              <w:rPr>
                <w:b w:val="false"/>
                <w:bCs w:val="false"/>
              </w:rPr>
              <w:t xml:space="preserve">Trámite previo concluido no bloqueante</w:t>
            </w:r>
          </w:p>
        </w:tc>
        <w:tc>
          <w:tcPr>
            <w:tcW w:type="dxa" w:w="5860"/>
            <w:tcMar>
              <w:top w:type="dxa" w:w="80"/>
              <w:left w:type="dxa" w:w="100"/>
              <w:bottom w:type="dxa" w:w="80"/>
              <w:right w:type="dxa" w:w="100"/>
            </w:tcMar>
          </w:tcPr>
          <w:p>
            <w:r>
              <w:rPr>
                <w:b w:val="false"/>
                <w:bCs w:val="false"/>
              </w:rPr>
              <w:t xml:space="preserve">Un trámite de portabilidad concluido previamente para una misma CURP ya no constituye, por sí mismo, un impedimento para iniciar un nuevo trámite; el motivo de rechazo 225 deja de generarse de forma automática por esta causa.</w:t>
            </w:r>
          </w:p>
        </w:tc>
      </w:tr>
      <w:tr>
        <w:tc>
          <w:tcPr>
            <w:tcW w:type="dxa" w:w="900"/>
            <w:tcMar>
              <w:top w:type="dxa" w:w="80"/>
              <w:left w:type="dxa" w:w="100"/>
              <w:bottom w:type="dxa" w:w="80"/>
              <w:right w:type="dxa" w:w="100"/>
            </w:tcMar>
          </w:tcPr>
          <w:p>
            <w:r>
              <w:rPr>
                <w:b w:val="false"/>
                <w:bCs w:val="false"/>
              </w:rPr>
              <w:t xml:space="preserve">RN2-03</w:t>
            </w:r>
          </w:p>
        </w:tc>
        <w:tc>
          <w:tcPr>
            <w:tcW w:type="dxa" w:w="2600"/>
            <w:tcMar>
              <w:top w:type="dxa" w:w="80"/>
              <w:left w:type="dxa" w:w="100"/>
              <w:bottom w:type="dxa" w:w="80"/>
              <w:right w:type="dxa" w:w="100"/>
            </w:tcMar>
          </w:tcPr>
          <w:p>
            <w:r>
              <w:rPr>
                <w:b w:val="false"/>
                <w:bCs w:val="false"/>
              </w:rPr>
              <w:t xml:space="preserve">No duplicidad de marcado</w:t>
            </w:r>
          </w:p>
        </w:tc>
        <w:tc>
          <w:tcPr>
            <w:tcW w:type="dxa" w:w="5860"/>
            <w:tcMar>
              <w:top w:type="dxa" w:w="80"/>
              <w:left w:type="dxa" w:w="100"/>
              <w:bottom w:type="dxa" w:w="80"/>
              <w:right w:type="dxa" w:w="100"/>
            </w:tcMar>
          </w:tcPr>
          <w:p>
            <w:r>
              <w:rPr>
                <w:b w:val="false"/>
                <w:bCs w:val="false"/>
              </w:rPr>
              <w:t xml:space="preserve">El sistema deberá evitar volver a escribir la marca 410 sobre un periodo que ya la tiene, actualizando únicamente los periodos que se encuentren sin marca o con una marca distinta a 410.</w:t>
            </w:r>
          </w:p>
        </w:tc>
      </w:tr>
    </w:tbl>
    <w:p>
      <w:pPr>
        <w:pStyle w:val="Heading1"/>
        <w:spacing w:after="160" w:before="320"/>
      </w:pPr>
      <w:r>
        <w:t xml:space="preserve">4. Comparación de comportamiento</w:t>
      </w:r>
    </w:p>
    <w:p>
      <w:pPr>
        <w:spacing w:after="6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19425"/>
                    </a:xfrm>
                    <a:prstGeom prst="rect">
                      <a:avLst/>
                    </a:prstGeom>
                  </pic:spPr>
                </pic:pic>
              </a:graphicData>
            </a:graphic>
          </wp:inline>
        </w:drawing>
      </w:r>
    </w:p>
    <w:p>
      <w:pPr>
        <w:spacing w:after="200"/>
        <w:jc w:val="center"/>
      </w:pPr>
      <w:r>
        <w:rPr>
          <w:i/>
          <w:iCs/>
          <w:color w:val="595959"/>
          <w:sz w:val="18"/>
          <w:szCs w:val="18"/>
        </w:rPr>
        <w:t xml:space="preserve">Comparación del comportamiento antes y después de habilitar la re-portabilidad</w:t>
      </w:r>
    </w:p>
    <w:p>
      <w:pPr>
        <w:pStyle w:val="Heading1"/>
        <w:spacing w:after="160" w:before="320"/>
      </w:pPr>
      <w:r>
        <w:t xml:space="preserve">5. Motivo de rechazo afectado</w:t>
      </w:r>
    </w:p>
    <w:p>
      <w:pPr>
        <w:spacing w:after="140"/>
      </w:pPr>
      <w:r>
        <w:t xml:space="preserve">El motivo de rechazo 225 ("Trámite previo de portabilidad de derechos concluido (WS1)"), documentado en la Fase 1, dejó de generarse de forma automática como consecuencia de esta fase. El código de catálogo se conserva por compatibilidad histórica, pero la validación que lo producía ya no está activa en los tres servicios del proceso entrante.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FJL-F02-TD · Especificación de Requerimientos · Fase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1F3864"/>
      <w:sz w:val="32"/>
      <w:szCs w:val="32"/>
    </w:rPr>
  </w:style>
  <w:style w:type="paragraph" w:styleId="Heading2">
    <w:name w:val="Heading 2"/>
    <w:basedOn w:val="Normal"/>
    <w:next w:val="Normal"/>
    <w:qFormat/>
    <w:rPr>
      <w:b/>
      <w:bCs/>
      <w:color w:val="1F3864"/>
      <w:sz w:val="26"/>
      <w:szCs w:val="26"/>
    </w:rPr>
  </w:style>
  <w:style w:type="paragraph" w:styleId="Heading3">
    <w:name w:val="Heading 3"/>
    <w:basedOn w:val="Normal"/>
    <w:next w:val="Normal"/>
    <w:qFormat/>
    <w:rPr>
      <w:b/>
      <w:bCs/>
      <w:color w:val="C0000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3054a9e018352f6f9ff2ef0c735d4d1de252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FJL-F02-TD · Especificación de Requerimientos · Fase 2</dc:title>
  <dc:subject>Documentación oficial del proyecto</dc:subject>
  <dc:creator>Carlos Quintero (carlos.quintero@4js.com)</dc:creator>
  <dc:description>Portabilidad de Derechos Pensionarios entre ISSSTE e IMSS</dc:description>
  <cp:lastModifiedBy>Carlos Quintero (carlos.quintero@4js.com)</cp:lastModifiedBy>
  <cp:revision>1</cp:revision>
  <dcterms:created xsi:type="dcterms:W3CDTF">2026-07-28T01:29:02.657Z</dcterms:created>
  <dcterms:modified xsi:type="dcterms:W3CDTF">2026-07-28T01:29:02.657Z</dcterms:modified>
</cp:coreProperties>
</file>

<file path=docProps/custom.xml><?xml version="1.0" encoding="utf-8"?>
<Properties xmlns="http://schemas.openxmlformats.org/officeDocument/2006/custom-properties" xmlns:vt="http://schemas.openxmlformats.org/officeDocument/2006/docPropsVTypes"/>
</file>