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FJL-F04-TD</w:t>
      </w:r>
    </w:p>
    <w:p>
      <w:pPr>
        <w:pStyle w:val="Title"/>
        <w:spacing w:after="200"/>
        <w:jc w:val="center"/>
      </w:pPr>
      <w:r>
        <w:t xml:space="preserve">Validación de Requerimientos</w:t>
      </w:r>
    </w:p>
    <w:p>
      <w:pPr>
        <w:spacing w:after="100"/>
        <w:jc w:val="center"/>
      </w:pPr>
      <w:r>
        <w:rPr>
          <w:b/>
          <w:bCs/>
          <w:sz w:val="26"/>
          <w:szCs w:val="26"/>
        </w:rPr>
        <w:t xml:space="preserve">Portabilidad de Derechos Pensionarios entre ISSSTE e IMSS — Fase 2: Re-portabilidad</w:t>
      </w:r>
    </w:p>
    <w:p>
      <w:pPr>
        <w:spacing w:after="400"/>
        <w:jc w:val="center"/>
      </w:pPr>
      <w:r>
        <w:rPr>
          <w:i/>
          <w:iCs/>
          <w:color w:val="595959"/>
          <w:sz w:val="20"/>
          <w:szCs w:val="20"/>
        </w:rPr>
        <w:t xml:space="preserve">Entregable para Instituto de Seguridad y Servicios Sociales de los Trabajadores del Estado (ISSSTE) — Versión 1.0 (Entrega Final, Fase 2)</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Propósito</w:t>
      </w:r>
    </w:p>
    <w:p>
      <w:pPr>
        <w:spacing w:after="140"/>
      </w:pPr>
      <w:r>
        <w:t xml:space="preserve">Este documento da seguimiento a la Especificación de Requerimientos de la Fase 2, confirmando el estado de validación de cada requerimiento contra el código fuente actualizado.</w:t>
      </w:r>
    </w:p>
    <w:p>
      <w:pPr>
        <w:pStyle w:val="Heading1"/>
        <w:spacing w:after="160" w:before="320"/>
      </w:pPr>
      <w:r>
        <w:t xml:space="preserve">2. Requerimientos funcionales — estado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
        <w:gridCol w:w="4978"/>
        <w:gridCol w:w="1194"/>
        <w:gridCol w:w="2392"/>
      </w:tblGrid>
      <w:tr>
        <w:trPr>
          <w:tblHeader/>
        </w:trPr>
        <w:tc>
          <w:tcPr>
            <w:tcW w:type="dxa" w:w="796"/>
            <w:shd w:fill="DCE6F1" w:val="clear"/>
            <w:tcMar>
              <w:top w:type="dxa" w:w="80"/>
              <w:left w:type="dxa" w:w="100"/>
              <w:bottom w:type="dxa" w:w="80"/>
              <w:right w:type="dxa" w:w="100"/>
            </w:tcMar>
          </w:tcPr>
          <w:p>
            <w:r>
              <w:rPr>
                <w:b/>
                <w:bCs/>
              </w:rPr>
              <w:t xml:space="preserve">ID</w:t>
            </w:r>
          </w:p>
        </w:tc>
        <w:tc>
          <w:tcPr>
            <w:tcW w:type="dxa" w:w="4978"/>
            <w:shd w:fill="DCE6F1" w:val="clear"/>
            <w:tcMar>
              <w:top w:type="dxa" w:w="80"/>
              <w:left w:type="dxa" w:w="100"/>
              <w:bottom w:type="dxa" w:w="80"/>
              <w:right w:type="dxa" w:w="100"/>
            </w:tcMar>
          </w:tcPr>
          <w:p>
            <w:r>
              <w:rPr>
                <w:b/>
                <w:bCs/>
              </w:rPr>
              <w:t xml:space="preserve">Descripción</w:t>
            </w:r>
          </w:p>
        </w:tc>
        <w:tc>
          <w:tcPr>
            <w:tcW w:type="dxa" w:w="1194"/>
            <w:shd w:fill="DCE6F1" w:val="clear"/>
            <w:tcMar>
              <w:top w:type="dxa" w:w="80"/>
              <w:left w:type="dxa" w:w="100"/>
              <w:bottom w:type="dxa" w:w="80"/>
              <w:right w:type="dxa" w:w="100"/>
            </w:tcMar>
          </w:tcPr>
          <w:p>
            <w:r>
              <w:rPr>
                <w:b/>
                <w:bCs/>
              </w:rPr>
              <w:t xml:space="preserve">Estado</w:t>
            </w:r>
          </w:p>
        </w:tc>
        <w:tc>
          <w:tcPr>
            <w:tcW w:type="dxa" w:w="2392"/>
            <w:shd w:fill="DCE6F1" w:val="clear"/>
            <w:tcMar>
              <w:top w:type="dxa" w:w="80"/>
              <w:left w:type="dxa" w:w="100"/>
              <w:bottom w:type="dxa" w:w="80"/>
              <w:right w:type="dxa" w:w="100"/>
            </w:tcMar>
          </w:tcPr>
          <w:p>
            <w:r>
              <w:rPr>
                <w:b/>
                <w:bCs/>
              </w:rPr>
              <w:t xml:space="preserve">Evidencia</w:t>
            </w:r>
          </w:p>
        </w:tc>
      </w:tr>
      <w:tr>
        <w:tc>
          <w:tcPr>
            <w:tcW w:type="dxa" w:w="796"/>
            <w:tcMar>
              <w:top w:type="dxa" w:w="80"/>
              <w:left w:type="dxa" w:w="100"/>
              <w:bottom w:type="dxa" w:w="80"/>
              <w:right w:type="dxa" w:w="100"/>
            </w:tcMar>
          </w:tcPr>
          <w:p>
            <w:r>
              <w:rPr>
                <w:b w:val="false"/>
                <w:bCs w:val="false"/>
              </w:rPr>
              <w:t xml:space="preserve">RF2-01</w:t>
            </w:r>
          </w:p>
        </w:tc>
        <w:tc>
          <w:tcPr>
            <w:tcW w:type="dxa" w:w="4978"/>
            <w:tcMar>
              <w:top w:type="dxa" w:w="80"/>
              <w:left w:type="dxa" w:w="100"/>
              <w:bottom w:type="dxa" w:w="80"/>
              <w:right w:type="dxa" w:w="100"/>
            </w:tcMar>
          </w:tcPr>
          <w:p>
            <w:r>
              <w:rPr>
                <w:b w:val="false"/>
                <w:bCs w:val="false"/>
              </w:rPr>
              <w:t xml:space="preserve">El sistema deberá permitir que un mismo derechohabiente realice más de un trámite de portabilidad de derechos a lo largo del tiempo, sin que la existencia de un trámite anterior concluido para la misma CURP impida el registro de uno nuevo.</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Confirmado por comparación de código fuente (ver FJL-F07 y FJL-F11, Fase 2)</w:t>
            </w:r>
          </w:p>
        </w:tc>
      </w:tr>
      <w:tr>
        <w:tc>
          <w:tcPr>
            <w:tcW w:type="dxa" w:w="796"/>
            <w:tcMar>
              <w:top w:type="dxa" w:w="80"/>
              <w:left w:type="dxa" w:w="100"/>
              <w:bottom w:type="dxa" w:w="80"/>
              <w:right w:type="dxa" w:w="100"/>
            </w:tcMar>
          </w:tcPr>
          <w:p>
            <w:r>
              <w:rPr>
                <w:b w:val="false"/>
                <w:bCs w:val="false"/>
              </w:rPr>
              <w:t xml:space="preserve">RF2-02</w:t>
            </w:r>
          </w:p>
        </w:tc>
        <w:tc>
          <w:tcPr>
            <w:tcW w:type="dxa" w:w="4978"/>
            <w:tcMar>
              <w:top w:type="dxa" w:w="80"/>
              <w:left w:type="dxa" w:w="100"/>
              <w:bottom w:type="dxa" w:w="80"/>
              <w:right w:type="dxa" w:w="100"/>
            </w:tcMar>
          </w:tcPr>
          <w:p>
            <w:r>
              <w:rPr>
                <w:b w:val="false"/>
                <w:bCs w:val="false"/>
              </w:rPr>
              <w:t xml:space="preserve">El sistema deberá excluir la marca 410 (marca de portabilidad/re-portabilidad) de las reglas de elegibilidad que evalúan marcas de impedimento entre 400 y 430, así como del catálogo de marcas del historial laboral, de forma que su sola presencia no bloquee un nuevo trámite.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Confirmado por comparación de código fuente (ver FJL-F07 y FJL-F11, Fase 2)</w:t>
            </w:r>
          </w:p>
        </w:tc>
      </w:tr>
      <w:tr>
        <w:tc>
          <w:tcPr>
            <w:tcW w:type="dxa" w:w="796"/>
            <w:tcMar>
              <w:top w:type="dxa" w:w="80"/>
              <w:left w:type="dxa" w:w="100"/>
              <w:bottom w:type="dxa" w:w="80"/>
              <w:right w:type="dxa" w:w="100"/>
            </w:tcMar>
          </w:tcPr>
          <w:p>
            <w:r>
              <w:rPr>
                <w:b w:val="false"/>
                <w:bCs w:val="false"/>
              </w:rPr>
              <w:t xml:space="preserve">RF2-03</w:t>
            </w:r>
          </w:p>
        </w:tc>
        <w:tc>
          <w:tcPr>
            <w:tcW w:type="dxa" w:w="4978"/>
            <w:tcMar>
              <w:top w:type="dxa" w:w="80"/>
              <w:left w:type="dxa" w:w="100"/>
              <w:bottom w:type="dxa" w:w="80"/>
              <w:right w:type="dxa" w:w="100"/>
            </w:tcMar>
          </w:tcPr>
          <w:p>
            <w:r>
              <w:rPr>
                <w:b w:val="false"/>
                <w:bCs w:val="false"/>
              </w:rPr>
              <w:t xml:space="preserve">El sistema deberá incluir, en la Consulta Robusta, los periodos de cotización que ya cuenten con la marca 410, además de los periodos sin marca, para que puedan reportarse en un nuevo trámite.</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Confirmado por comparación de código fuente (ver FJL-F07 y FJL-F11, Fase 2)</w:t>
            </w:r>
          </w:p>
        </w:tc>
      </w:tr>
      <w:tr>
        <w:tc>
          <w:tcPr>
            <w:tcW w:type="dxa" w:w="796"/>
            <w:tcMar>
              <w:top w:type="dxa" w:w="80"/>
              <w:left w:type="dxa" w:w="100"/>
              <w:bottom w:type="dxa" w:w="80"/>
              <w:right w:type="dxa" w:w="100"/>
            </w:tcMar>
          </w:tcPr>
          <w:p>
            <w:r>
              <w:rPr>
                <w:b w:val="false"/>
                <w:bCs w:val="false"/>
              </w:rPr>
              <w:t xml:space="preserve">RF2-04</w:t>
            </w:r>
          </w:p>
        </w:tc>
        <w:tc>
          <w:tcPr>
            <w:tcW w:type="dxa" w:w="4978"/>
            <w:tcMar>
              <w:top w:type="dxa" w:w="80"/>
              <w:left w:type="dxa" w:w="100"/>
              <w:bottom w:type="dxa" w:w="80"/>
              <w:right w:type="dxa" w:w="100"/>
            </w:tcMar>
          </w:tcPr>
          <w:p>
            <w:r>
              <w:rPr>
                <w:b w:val="false"/>
                <w:bCs w:val="false"/>
              </w:rPr>
              <w:t xml:space="preserve">El sistema deberá permitir marcar nuevamente con la clave 410 los periodos de cotización correspondientes a un nuevo trámite de portabilidad, evitando una actualización redundante sobre periodos que ya cuenten con esa marca.</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Confirmado por comparación de código fuente (ver FJL-F07 y FJL-F11, Fase 2)</w:t>
            </w:r>
          </w:p>
        </w:tc>
      </w:tr>
      <w:tr>
        <w:tc>
          <w:tcPr>
            <w:tcW w:type="dxa" w:w="796"/>
            <w:tcMar>
              <w:top w:type="dxa" w:w="80"/>
              <w:left w:type="dxa" w:w="100"/>
              <w:bottom w:type="dxa" w:w="80"/>
              <w:right w:type="dxa" w:w="100"/>
            </w:tcMar>
          </w:tcPr>
          <w:p>
            <w:r>
              <w:rPr>
                <w:b w:val="false"/>
                <w:bCs w:val="false"/>
              </w:rPr>
              <w:t xml:space="preserve">RF2-05</w:t>
            </w:r>
          </w:p>
        </w:tc>
        <w:tc>
          <w:tcPr>
            <w:tcW w:type="dxa" w:w="4978"/>
            <w:tcMar>
              <w:top w:type="dxa" w:w="80"/>
              <w:left w:type="dxa" w:w="100"/>
              <w:bottom w:type="dxa" w:w="80"/>
              <w:right w:type="dxa" w:w="100"/>
            </w:tcMar>
          </w:tcPr>
          <w:p>
            <w:r>
              <w:rPr>
                <w:b w:val="false"/>
                <w:bCs w:val="false"/>
              </w:rPr>
              <w:t xml:space="preserve">El sistema deberá registrar en la bitácora del proceso entrante el resultado de cada consulta, incluyendo los casos de rechazo inmediato, de forma que quede trazabilidad completa de cada intento de trámite, incluyendo los que involucran una re-portabilidad.</w:t>
            </w:r>
          </w:p>
        </w:tc>
        <w:tc>
          <w:tcPr>
            <w:tcW w:type="dxa" w:w="1194"/>
            <w:tcMar>
              <w:top w:type="dxa" w:w="80"/>
              <w:left w:type="dxa" w:w="100"/>
              <w:bottom w:type="dxa" w:w="80"/>
              <w:right w:type="dxa" w:w="100"/>
            </w:tcMar>
          </w:tcPr>
          <w:p>
            <w:r>
              <w:rPr>
                <w:b w:val="false"/>
                <w:bCs w:val="false"/>
              </w:rPr>
              <w:t xml:space="preserve">Validado</w:t>
            </w:r>
          </w:p>
        </w:tc>
        <w:tc>
          <w:tcPr>
            <w:tcW w:type="dxa" w:w="2392"/>
            <w:tcMar>
              <w:top w:type="dxa" w:w="80"/>
              <w:left w:type="dxa" w:w="100"/>
              <w:bottom w:type="dxa" w:w="80"/>
              <w:right w:type="dxa" w:w="100"/>
            </w:tcMar>
          </w:tcPr>
          <w:p>
            <w:r>
              <w:rPr>
                <w:b w:val="false"/>
                <w:bCs w:val="false"/>
              </w:rPr>
              <w:t xml:space="preserve">Confirmado por comparación de código fuente (ver FJL-F07 y FJL-F11, Fase 2)</w:t>
            </w:r>
          </w:p>
        </w:tc>
      </w:tr>
    </w:tbl>
    <w:p>
      <w:pPr>
        <w:pStyle w:val="Heading1"/>
        <w:spacing w:after="160" w:before="320"/>
      </w:pPr>
      <w:r>
        <w:t xml:space="preserve">3. Reglas de negocio — estado de validación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200"/>
        <w:gridCol w:w="3000"/>
      </w:tblGrid>
      <w:tr>
        <w:trPr>
          <w:tblHeader/>
        </w:trPr>
        <w:tc>
          <w:tcPr>
            <w:tcW w:type="dxa" w:w="800"/>
            <w:shd w:fill="DCE6F1" w:val="clear"/>
            <w:tcMar>
              <w:top w:type="dxa" w:w="80"/>
              <w:left w:type="dxa" w:w="100"/>
              <w:bottom w:type="dxa" w:w="80"/>
              <w:right w:type="dxa" w:w="100"/>
            </w:tcMar>
          </w:tcPr>
          <w:p>
            <w:r>
              <w:rPr>
                <w:b/>
                <w:bCs/>
              </w:rPr>
              <w:t xml:space="preserve">ID</w:t>
            </w:r>
          </w:p>
        </w:tc>
        <w:tc>
          <w:tcPr>
            <w:tcW w:type="dxa" w:w="3400"/>
            <w:shd w:fill="DCE6F1" w:val="clear"/>
            <w:tcMar>
              <w:top w:type="dxa" w:w="80"/>
              <w:left w:type="dxa" w:w="100"/>
              <w:bottom w:type="dxa" w:w="80"/>
              <w:right w:type="dxa" w:w="100"/>
            </w:tcMar>
          </w:tcPr>
          <w:p>
            <w:r>
              <w:rPr>
                <w:b/>
                <w:bCs/>
              </w:rPr>
              <w:t xml:space="preserve">Regla</w:t>
            </w:r>
          </w:p>
        </w:tc>
        <w:tc>
          <w:tcPr>
            <w:tcW w:type="dxa" w:w="1200"/>
            <w:shd w:fill="DCE6F1" w:val="clear"/>
            <w:tcMar>
              <w:top w:type="dxa" w:w="80"/>
              <w:left w:type="dxa" w:w="100"/>
              <w:bottom w:type="dxa" w:w="80"/>
              <w:right w:type="dxa" w:w="100"/>
            </w:tcMar>
          </w:tcPr>
          <w:p>
            <w:r>
              <w:rPr>
                <w:b/>
                <w:bCs/>
              </w:rPr>
              <w:t xml:space="preserve">Estado</w:t>
            </w:r>
          </w:p>
        </w:tc>
        <w:tc>
          <w:tcPr>
            <w:tcW w:type="dxa" w:w="3000"/>
            <w:shd w:fill="DCE6F1" w:val="clear"/>
            <w:tcMar>
              <w:top w:type="dxa" w:w="80"/>
              <w:left w:type="dxa" w:w="100"/>
              <w:bottom w:type="dxa" w:w="80"/>
              <w:right w:type="dxa" w:w="100"/>
            </w:tcMar>
          </w:tcPr>
          <w:p>
            <w:r>
              <w:rPr>
                <w:b/>
                <w:bCs/>
              </w:rPr>
              <w:t xml:space="preserve">Evidencia</w:t>
            </w:r>
          </w:p>
        </w:tc>
      </w:tr>
      <w:tr>
        <w:tc>
          <w:tcPr>
            <w:tcW w:type="dxa" w:w="800"/>
            <w:tcMar>
              <w:top w:type="dxa" w:w="80"/>
              <w:left w:type="dxa" w:w="100"/>
              <w:bottom w:type="dxa" w:w="80"/>
              <w:right w:type="dxa" w:w="100"/>
            </w:tcMar>
          </w:tcPr>
          <w:p>
            <w:r>
              <w:rPr>
                <w:b w:val="false"/>
                <w:bCs w:val="false"/>
              </w:rPr>
              <w:t xml:space="preserve">RN2-01</w:t>
            </w:r>
          </w:p>
        </w:tc>
        <w:tc>
          <w:tcPr>
            <w:tcW w:type="dxa" w:w="3400"/>
            <w:tcMar>
              <w:top w:type="dxa" w:w="80"/>
              <w:left w:type="dxa" w:w="100"/>
              <w:bottom w:type="dxa" w:w="80"/>
              <w:right w:type="dxa" w:w="100"/>
            </w:tcMar>
          </w:tcPr>
          <w:p>
            <w:r>
              <w:rPr>
                <w:b w:val="false"/>
                <w:bCs w:val="false"/>
              </w:rPr>
              <w:t xml:space="preserve">Re-portabilidad de periodos</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Confirmado por comparación de código fuente</w:t>
            </w:r>
          </w:p>
        </w:tc>
      </w:tr>
      <w:tr>
        <w:tc>
          <w:tcPr>
            <w:tcW w:type="dxa" w:w="800"/>
            <w:tcMar>
              <w:top w:type="dxa" w:w="80"/>
              <w:left w:type="dxa" w:w="100"/>
              <w:bottom w:type="dxa" w:w="80"/>
              <w:right w:type="dxa" w:w="100"/>
            </w:tcMar>
          </w:tcPr>
          <w:p>
            <w:r>
              <w:rPr>
                <w:b w:val="false"/>
                <w:bCs w:val="false"/>
              </w:rPr>
              <w:t xml:space="preserve">RN2-02</w:t>
            </w:r>
          </w:p>
        </w:tc>
        <w:tc>
          <w:tcPr>
            <w:tcW w:type="dxa" w:w="3400"/>
            <w:tcMar>
              <w:top w:type="dxa" w:w="80"/>
              <w:left w:type="dxa" w:w="100"/>
              <w:bottom w:type="dxa" w:w="80"/>
              <w:right w:type="dxa" w:w="100"/>
            </w:tcMar>
          </w:tcPr>
          <w:p>
            <w:r>
              <w:rPr>
                <w:b w:val="false"/>
                <w:bCs w:val="false"/>
              </w:rPr>
              <w:t xml:space="preserve">Trámite previo concluido no bloqueante</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Confirmado por comparación de código fuente</w:t>
            </w:r>
          </w:p>
        </w:tc>
      </w:tr>
      <w:tr>
        <w:tc>
          <w:tcPr>
            <w:tcW w:type="dxa" w:w="800"/>
            <w:tcMar>
              <w:top w:type="dxa" w:w="80"/>
              <w:left w:type="dxa" w:w="100"/>
              <w:bottom w:type="dxa" w:w="80"/>
              <w:right w:type="dxa" w:w="100"/>
            </w:tcMar>
          </w:tcPr>
          <w:p>
            <w:r>
              <w:rPr>
                <w:b w:val="false"/>
                <w:bCs w:val="false"/>
              </w:rPr>
              <w:t xml:space="preserve">RN2-03</w:t>
            </w:r>
          </w:p>
        </w:tc>
        <w:tc>
          <w:tcPr>
            <w:tcW w:type="dxa" w:w="3400"/>
            <w:tcMar>
              <w:top w:type="dxa" w:w="80"/>
              <w:left w:type="dxa" w:w="100"/>
              <w:bottom w:type="dxa" w:w="80"/>
              <w:right w:type="dxa" w:w="100"/>
            </w:tcMar>
          </w:tcPr>
          <w:p>
            <w:r>
              <w:rPr>
                <w:b w:val="false"/>
                <w:bCs w:val="false"/>
              </w:rPr>
              <w:t xml:space="preserve">No duplicidad de marcado</w:t>
            </w:r>
          </w:p>
        </w:tc>
        <w:tc>
          <w:tcPr>
            <w:tcW w:type="dxa" w:w="1200"/>
            <w:tcMar>
              <w:top w:type="dxa" w:w="80"/>
              <w:left w:type="dxa" w:w="100"/>
              <w:bottom w:type="dxa" w:w="80"/>
              <w:right w:type="dxa" w:w="100"/>
            </w:tcMar>
          </w:tcPr>
          <w:p>
            <w:r>
              <w:rPr>
                <w:b w:val="false"/>
                <w:bCs w:val="false"/>
              </w:rPr>
              <w:t xml:space="preserve">Validado</w:t>
            </w:r>
          </w:p>
        </w:tc>
        <w:tc>
          <w:tcPr>
            <w:tcW w:type="dxa" w:w="3000"/>
            <w:tcMar>
              <w:top w:type="dxa" w:w="80"/>
              <w:left w:type="dxa" w:w="100"/>
              <w:bottom w:type="dxa" w:w="80"/>
              <w:right w:type="dxa" w:w="100"/>
            </w:tcMar>
          </w:tcPr>
          <w:p>
            <w:r>
              <w:rPr>
                <w:b w:val="false"/>
                <w:bCs w:val="false"/>
              </w:rPr>
              <w:t xml:space="preserve">Confirmado por comparación de código fuente</w:t>
            </w:r>
          </w:p>
        </w:tc>
      </w:tr>
    </w:tbl>
    <w:p>
      <w:pPr>
        <w:pStyle w:val="Heading1"/>
        <w:spacing w:after="160" w:before="320"/>
      </w:pPr>
      <w:r>
        <w:t xml:space="preserve">4. Registro de adecuaciones y ajustes posteriores</w:t>
      </w:r>
    </w:p>
    <w:p>
      <w:pPr>
        <w:spacing w:after="140"/>
      </w:pPr>
      <w:r>
        <w:t xml:space="preserve">Sección abierta para registrar cualquier adecuación identificada después de esta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1200"/>
        <w:gridCol w:w="1200"/>
      </w:tblGrid>
      <w:tr>
        <w:trPr>
          <w:tblHeader/>
        </w:trPr>
        <w:tc>
          <w:tcPr>
            <w:tcW w:type="dxa" w:w="1400"/>
            <w:shd w:fill="DCE6F1" w:val="clear"/>
            <w:tcMar>
              <w:top w:type="dxa" w:w="80"/>
              <w:left w:type="dxa" w:w="100"/>
              <w:bottom w:type="dxa" w:w="80"/>
              <w:right w:type="dxa" w:w="100"/>
            </w:tcMar>
          </w:tcPr>
          <w:p>
            <w:r>
              <w:rPr>
                <w:b/>
                <w:bCs/>
              </w:rPr>
              <w:t xml:space="preserve">Fecha</w:t>
            </w:r>
          </w:p>
        </w:tc>
        <w:tc>
          <w:tcPr>
            <w:tcW w:type="dxa" w:w="2000"/>
            <w:shd w:fill="DCE6F1" w:val="clear"/>
            <w:tcMar>
              <w:top w:type="dxa" w:w="80"/>
              <w:left w:type="dxa" w:w="100"/>
              <w:bottom w:type="dxa" w:w="80"/>
              <w:right w:type="dxa" w:w="100"/>
            </w:tcMar>
          </w:tcPr>
          <w:p>
            <w:r>
              <w:rPr>
                <w:b/>
                <w:bCs/>
              </w:rPr>
              <w:t xml:space="preserve">Requerimiento/Regla afectada</w:t>
            </w:r>
          </w:p>
        </w:tc>
        <w:tc>
          <w:tcPr>
            <w:tcW w:type="dxa" w:w="3560"/>
            <w:shd w:fill="DCE6F1" w:val="clear"/>
            <w:tcMar>
              <w:top w:type="dxa" w:w="80"/>
              <w:left w:type="dxa" w:w="100"/>
              <w:bottom w:type="dxa" w:w="80"/>
              <w:right w:type="dxa" w:w="100"/>
            </w:tcMar>
          </w:tcPr>
          <w:p>
            <w:r>
              <w:rPr>
                <w:b/>
                <w:bCs/>
              </w:rPr>
              <w:t xml:space="preserve">Descripción del ajuste</w:t>
            </w:r>
          </w:p>
        </w:tc>
        <w:tc>
          <w:tcPr>
            <w:tcW w:type="dxa" w:w="1200"/>
            <w:shd w:fill="DCE6F1" w:val="clear"/>
            <w:tcMar>
              <w:top w:type="dxa" w:w="80"/>
              <w:left w:type="dxa" w:w="100"/>
              <w:bottom w:type="dxa" w:w="80"/>
              <w:right w:type="dxa" w:w="100"/>
            </w:tcMar>
          </w:tcPr>
          <w:p>
            <w:r>
              <w:rPr>
                <w:b/>
                <w:bCs/>
              </w:rPr>
              <w:t xml:space="preserve">Estado</w:t>
            </w:r>
          </w:p>
        </w:tc>
        <w:tc>
          <w:tcPr>
            <w:tcW w:type="dxa" w:w="1200"/>
            <w:shd w:fill="DCE6F1" w:val="clear"/>
            <w:tcMar>
              <w:top w:type="dxa" w:w="80"/>
              <w:left w:type="dxa" w:w="100"/>
              <w:bottom w:type="dxa" w:w="80"/>
              <w:right w:type="dxa" w:w="100"/>
            </w:tcMar>
          </w:tcPr>
          <w:p>
            <w:r>
              <w:rPr>
                <w:b/>
                <w:bCs/>
              </w:rPr>
              <w:t xml:space="preserve">Responsable</w:t>
            </w:r>
          </w:p>
        </w:tc>
      </w:tr>
      <w:tr>
        <w:tc>
          <w:tcPr>
            <w:tcW w:type="dxa" w:w="1400"/>
            <w:tcMar>
              <w:top w:type="dxa" w:w="80"/>
              <w:left w:type="dxa" w:w="100"/>
              <w:bottom w:type="dxa" w:w="80"/>
              <w:right w:type="dxa" w:w="100"/>
            </w:tcMar>
          </w:tcPr>
          <w:p>
            <w:r>
              <w:rPr>
                <w:b w:val="false"/>
                <w:bCs w:val="false"/>
              </w:rPr>
              <w:t xml:space="preserve"/>
            </w:r>
          </w:p>
        </w:tc>
        <w:tc>
          <w:tcPr>
            <w:tcW w:type="dxa" w:w="2000"/>
            <w:tcMar>
              <w:top w:type="dxa" w:w="80"/>
              <w:left w:type="dxa" w:w="100"/>
              <w:bottom w:type="dxa" w:w="80"/>
              <w:right w:type="dxa" w:w="100"/>
            </w:tcMar>
          </w:tcPr>
          <w:p>
            <w:r>
              <w:rPr>
                <w:b w:val="false"/>
                <w:bCs w:val="false"/>
              </w:rPr>
              <w:t xml:space="preserve"/>
            </w:r>
          </w:p>
        </w:tc>
        <w:tc>
          <w:tcPr>
            <w:tcW w:type="dxa" w:w="356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r>
      <w:tr>
        <w:tc>
          <w:tcPr>
            <w:tcW w:type="dxa" w:w="1400"/>
            <w:tcMar>
              <w:top w:type="dxa" w:w="80"/>
              <w:left w:type="dxa" w:w="100"/>
              <w:bottom w:type="dxa" w:w="80"/>
              <w:right w:type="dxa" w:w="100"/>
            </w:tcMar>
          </w:tcPr>
          <w:p>
            <w:r>
              <w:rPr>
                <w:b w:val="false"/>
                <w:bCs w:val="false"/>
              </w:rPr>
              <w:t xml:space="preserve"/>
            </w:r>
          </w:p>
        </w:tc>
        <w:tc>
          <w:tcPr>
            <w:tcW w:type="dxa" w:w="2000"/>
            <w:tcMar>
              <w:top w:type="dxa" w:w="80"/>
              <w:left w:type="dxa" w:w="100"/>
              <w:bottom w:type="dxa" w:w="80"/>
              <w:right w:type="dxa" w:w="100"/>
            </w:tcMar>
          </w:tcPr>
          <w:p>
            <w:r>
              <w:rPr>
                <w:b w:val="false"/>
                <w:bCs w:val="false"/>
              </w:rPr>
              <w:t xml:space="preserve"/>
            </w:r>
          </w:p>
        </w:tc>
        <w:tc>
          <w:tcPr>
            <w:tcW w:type="dxa" w:w="356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c>
          <w:tcPr>
            <w:tcW w:type="dxa" w:w="1200"/>
            <w:tcMar>
              <w:top w:type="dxa" w:w="80"/>
              <w:left w:type="dxa" w:w="100"/>
              <w:bottom w:type="dxa" w:w="8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FJL-F04-TD · Validación de Requerimientos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FJL-F04-TD · Validación de Requerimientos · Fase 2</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2026-07-28T01:29:03.000Z</dcterms:created>
  <dcterms:modified xsi:type="dcterms:W3CDTF">2026-07-28T01:29:03.000Z</dcterms:modified>
</cp:coreProperties>
</file>

<file path=docProps/custom.xml><?xml version="1.0" encoding="utf-8"?>
<Properties xmlns="http://schemas.openxmlformats.org/officeDocument/2006/custom-properties" xmlns:vt="http://schemas.openxmlformats.org/officeDocument/2006/docPropsVTypes"/>
</file>