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FJL-F05-TD</w:t>
      </w:r>
    </w:p>
    <w:p>
      <w:pPr>
        <w:pStyle w:val="Title"/>
        <w:spacing w:after="200"/>
        <w:jc w:val="center"/>
      </w:pPr>
      <w:r>
        <w:t xml:space="preserve">Requerimientos Especiales y Casos de Uso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 — Fase 2: Re-portabilidad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Final, Fase 2)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Requerimientos especiales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comportamiento descrito en esta fase no introduce nuevos requerimientos no funcionales respecto de la Fase 1; se conservan los ya documentados (seguridad, interoperabilidad, trazabilidad, integridad documental, disponibilidad, cumplimiento normativo y usabilidad).</w:t>
      </w:r>
    </w:p>
    <w:p>
      <w:pPr>
        <w:pStyle w:val="Heading1"/>
        <w:spacing w:after="160" w:before="320"/>
      </w:pPr>
      <w:r>
        <w:t xml:space="preserve">2. Caso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2460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6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24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Actor principal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UC2-01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Atender una re-portabilidad para un derechohabiente con trámite previo concluido</w:t>
            </w:r>
          </w:p>
        </w:tc>
        <w:tc>
          <w:tcPr>
            <w:tcW w:type="dxa" w:w="2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IMSS</w:t>
            </w:r>
          </w:p>
        </w:tc>
      </w:tr>
    </w:tbl>
    <w:p>
      <w:pPr>
        <w:pStyle w:val="Heading2"/>
        <w:spacing w:after="120" w:before="240"/>
      </w:pPr>
      <w:r>
        <w:t xml:space="preserve">2.1 UC2-01 — Atender una re-portabilidad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Actor principal: IMSS (mediante los servicios expuestos por ISSSTE).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Precondición: el derechohabiente cuenta con al menos un trámite de portabilidad concluido previamente, con periodos marcados con clave 410 en su cuenta individual.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Flujo principal: IMSS consulta el estatus básico del derechohabiente; ISSSTE responde sin considerar el trámite anterior como impedimento. IMSS consulta la robusta; ISSSTE incluye en la respuesta los periodos ya marcados con 410, junto con cualquier periodo nuevo sin marca. IMSS envía el aviso de estatus final; ISSSTE marca nuevamente los periodos correspondientes, sin duplicar la operación sobre los que ya tenían la marca 410.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Postcondición: el nuevo trámite queda registrado y trazado de forma independiente, sin alterar el trámite anterior.</w:t>
      </w:r>
    </w:p>
    <w:p>
      <w:pPr>
        <w:pStyle w:val="Heading1"/>
        <w:spacing w:after="160" w:before="320"/>
      </w:pPr>
      <w:r>
        <w:t xml:space="preserve">3. Vista comparativa</w:t>
      </w:r>
    </w:p>
    <w:p>
      <w:pPr>
        <w:spacing w:after="60"/>
        <w:jc w:val="center"/>
      </w:pPr>
      <w:r>
        <w:drawing>
          <wp:inline distT="0" distB="0" distL="0" distR="0">
            <wp:extent cx="5334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Comparación del comportamiento antes y después de habilitar la re-portabilidad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FJL-F05-TD · Requerimientos Especiales y Casos de Uso ·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3054a9e018352f6f9ff2ef0c735d4d1de252a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FJL-F05-TD · Requerimientos Especiales y Casos de Uso · Fase 2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2026-07-28T01:29:03.088Z</dcterms:created>
  <dcterms:modified xsi:type="dcterms:W3CDTF">2026-07-28T01:29:03.088Z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