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FJL-F06-TD</w:t>
      </w:r>
    </w:p>
    <w:p>
      <w:pPr>
        <w:pStyle w:val="Title"/>
        <w:spacing w:after="200"/>
        <w:jc w:val="center"/>
      </w:pPr>
      <w:r>
        <w:t xml:space="preserve">Arquitectura Tecnológica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confirma el alcance tecnológico de la Fase 2 respecto de la arquitectura documentada en la Fase 1.</w:t>
      </w:r>
    </w:p>
    <w:p>
      <w:pPr>
        <w:pStyle w:val="Heading1"/>
        <w:spacing w:after="160" w:before="320"/>
      </w:pPr>
      <w:r>
        <w:t xml:space="preserve">2. Alcance de la fase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 fase corresponde a un ajuste de lógica de negocio dentro del módulo existente; no se agregan componentes, servicios externos ni interfaces nuevas.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endpoints, protocolos y componentes documentados en la Fase 1 (FJL-F06) permanecen sin cambios.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cambio se concentra en la capa de reglas de negocio de los servicios ISSSTE-WS1-ConsultaBasica, ISSSTE-WS3-ConsultaRobusta e ISSSTE-WS6-AvisoEstatusTransferencia, y en las condiciones de las consultas sobre la tabla cuenta_ind.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FJL-F06-TD · Arquitectura Tecnológica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FJL-F06-TD · Arquitectura Tecnológica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2026-07-28T01:29:03.181Z</dcterms:created>
  <dcterms:modified xsi:type="dcterms:W3CDTF">2026-07-28T01:29:03.181Z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