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FJL-F07-TD</w:t>
      </w:r>
    </w:p>
    <w:p>
      <w:pPr>
        <w:pStyle w:val="Title"/>
        <w:spacing w:after="200"/>
        <w:jc w:val="center"/>
      </w:pPr>
      <w:r>
        <w:t xml:space="preserve">Diseño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detalla, a nivel de diseño, los cambios de comportamiento entre la versión previa y la versión vigente de los tres servicios afectados por esta fase.</w:t>
      </w:r>
    </w:p>
    <w:p>
      <w:pPr>
        <w:pStyle w:val="Heading1"/>
        <w:spacing w:after="160" w:before="320"/>
      </w:pPr>
      <w:r>
        <w:t xml:space="preserve">2. Comparación funcional — ISSSTE-WS1-ConsultaBasica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previo</w:t>
            </w:r>
          </w:p>
        </w:tc>
        <w:tc>
          <w:tcPr>
            <w:tcW w:type="dxa" w:w="3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vigente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CURP con trámite previo concluido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existía una solicitud con estatus concluido (id_estatus = 3) para la CURP, esa solicitud se cancelaba ("Cancelada por Reproceso") y se limpiaba la marca 410 en cuenta_ind antes de continuar.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Esa validación y limpieza quedaron deshabilitadas; el trámite anterior no se modifica ni se cancela.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marcas 400 a 430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rechazaba el trámite si existía cualquier marca entre 400 y 430.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excluye explícitamente la marca 410 de este rechazo.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marcas del historial laboral (cat_marcas_hl)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evaluaban todas las marcas activas del catálogo.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excluye explícitamente la marca 410 de esta evaluación.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de bitácora en rechazo inmediato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registraba bitácora cuando el trámite se rechazaba en la validación inicial.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registra bitácora (cei_td_ws1_basica_otra) también en ese caso.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usuario inválido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marcaba como inválido si el usuario cumplía alguno de varios patrones.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invirtió la condición (NOT) y se agregó el usuario reconocido "TDIMSS" como válido.</w:t>
            </w:r>
          </w:p>
        </w:tc>
      </w:tr>
    </w:tbl>
    <w:p>
      <w:pPr>
        <w:pStyle w:val="Heading1"/>
        <w:spacing w:after="160" w:before="320"/>
      </w:pPr>
      <w:r>
        <w:t xml:space="preserve">3. Comparación funcional — ISSSTE-WS3-ConsultaRobusta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previo</w:t>
            </w:r>
          </w:p>
        </w:tc>
        <w:tc>
          <w:tcPr>
            <w:tcW w:type="dxa" w:w="3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vigente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CURP con trámite previo concluido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rechazaba directamente el trámite (código 02, motivo 225) si existía una solicitud concluida previa para la CURP.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Esa validación quedó deshabilitada; ya no se rechaza por esta causa.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 elegibles para la Consulta Robusta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Solo se incluían periodos sin marca (uso_pen nulo).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incluyen también los periodos con marca 410.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marcas del historial laboral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evaluaban todas las marcas activas del catálogo.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excluye explícitamente la marca 410.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Condición de estatus para recalcular periodos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recalculaban los periodos si el estatus de la solicitud era distinto de 2.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recalculan únicamente si el estatus es igual a 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Datos de auditoría por periodo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propagaban campos de auditoría (usuario, fecha, hora, componente, IP) por periodo.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agregan y propagan estos campos en la consulta e inserción de periodos.</w:t>
            </w:r>
          </w:p>
        </w:tc>
      </w:tr>
    </w:tbl>
    <w:p>
      <w:pPr>
        <w:pStyle w:val="Heading1"/>
        <w:spacing w:after="160" w:before="320"/>
      </w:pPr>
      <w:r>
        <w:t xml:space="preserve">4. Comparación funcional — ISSSTE-WS6-AvisoEstatusTransferencia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previo</w:t>
            </w:r>
          </w:p>
        </w:tc>
        <w:tc>
          <w:tcPr>
            <w:tcW w:type="dxa" w:w="3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Comportamiento vigente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Validación de CURP con trámite previo concluido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rechazaba directamente el trámite (código 02, motivo 225) si existía una solicitud concluida previa para la CURP.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Esa validación quedó deshabilitada; ya no se rechaza por esta causa.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 elegibles para marcado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Solo se marcaban periodos sin marca (uso_pen nulo).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incluyen también los periodos con marca 410.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Actualización de la marca en cuenta_ind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actualizaba el periodo sin una condición adicional sobre su marca previa.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agrega la condición de no actualizar si el periodo ya tiene exactamente la marca 410, evitando una escritura redundante.</w:t>
            </w:r>
          </w:p>
        </w:tc>
      </w:tr>
    </w:tbl>
    <w:p>
      <w:pPr>
        <w:pStyle w:val="Heading1"/>
        <w:spacing w:after="160" w:before="320"/>
      </w:pPr>
      <w:r>
        <w:t xml:space="preserve">5. Vista comparativa</w:t>
      </w:r>
    </w:p>
    <w:p>
      <w:pPr>
        <w:spacing w:after="6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Comparación del comportamiento antes y después de habilitar la re-portabilidad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FJL-F07-TD · Diseño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3054a9e018352f6f9ff2ef0c735d4d1de252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FJL-F07-TD · Diseño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2026-07-28T01:29:03.302Z</dcterms:created>
  <dcterms:modified xsi:type="dcterms:W3CDTF">2026-07-28T01:29:03.302Z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