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FJL-F14</w:t>
      </w:r>
    </w:p>
    <w:p>
      <w:pPr>
        <w:pStyle w:val="Title"/>
        <w:spacing w:after="200"/>
        <w:jc w:val="center"/>
      </w:pPr>
      <w:r>
        <w:t xml:space="preserve">Instructivo de Operación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complementa el Instructivo de Operación de la Fase 1 con la consideración operativa de esta fase.</w:t>
      </w:r>
    </w:p>
    <w:p>
      <w:pPr>
        <w:pStyle w:val="Heading1"/>
        <w:spacing w:after="160" w:before="320"/>
      </w:pPr>
      <w:r>
        <w:t xml:space="preserve">2. Consideración operativa</w:t>
      </w:r>
    </w:p>
    <w:p>
      <w:pPr>
        <w:spacing w:after="140"/>
      </w:pPr>
      <w:r>
        <w:t xml:space="preserve">El proceso entrante (atendido automáticamente por los servicios ISSSTE-WS1-ConsultaBasica, ISSSTE-WS3-ConsultaRobusta e ISSSTE-WS6-AvisoEstatusTransferencia) ya no requiere intervención del personal de ventanilla para permitir una re-portabilidad: un derechohabiente con un trámite concluido previamente puede ser objeto de un nuevo trámite sin que se genere un rechazo automático por esa causa. No se requiere ninguna acción operativa adicional.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FJL-F14 · Instructivo de Operación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FJL-F14 · Instructivo de Operación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2026-07-28T01:29:03.587Z</dcterms:created>
  <dcterms:modified xsi:type="dcterms:W3CDTF">2026-07-28T01:29:03.587Z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