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808080"/>
          <w:sz w:val="20"/>
          <w:szCs w:val="20"/>
        </w:rPr>
        <w:t xml:space="preserve">FJL-F15-TD</w:t>
      </w:r>
    </w:p>
    <w:p>
      <w:pPr>
        <w:pStyle w:val="Title"/>
        <w:spacing w:after="200"/>
        <w:jc w:val="center"/>
      </w:pPr>
      <w:r>
        <w:t xml:space="preserve">Guía Rápida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Portabilidad de Derechos Pensionarios entre ISSSTE e IMSS — Fase 2: Re-portabilidad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Entregable para Instituto de Seguridad y Servicios Sociales de los Trabajadores del Estado (ISSSTE) — Versión 1.0 (Entrega Final, Fase 2)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600"/>
        <w:gridCol w:w="1800"/>
        <w:gridCol w:w="2560"/>
      </w:tblGrid>
      <w:tr>
        <w:trPr>
          <w:tblHeader/>
        </w:trPr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2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27/07/2026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Carlos Quintero (Four Js)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Entrega Final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Versión inicial — entrega formal a ISSSTE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Novedad de esta fase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 derechohabiente que ya concluyó un trámite de portabilidad puede ser objeto de un nuevo trámite de portabilidad en el futuro.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 periodos de cotización ya utilizados en un trámite anterior pueden volver a formar parte de un nuevo trámite.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trámite anterior no se cancela ni se modifica al iniciarse uno nuevo.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FJL-F15-TD · Guía Rápida · Fase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C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FJL-F15-TD · Guía Rápida · Fase 2</dc:title>
  <dc:subject>Documentación oficial del proyecto</dc:subject>
  <dc:creator>Carlos Quintero (carlos.quintero@4js.com)</dc:creator>
  <dc:description>Portabilidad de Derechos Pensionarios entre ISSSTE e IMSS</dc:description>
  <cp:lastModifiedBy>Carlos Quintero (carlos.quintero@4js.com)</cp:lastModifiedBy>
  <cp:revision>1</cp:revision>
  <dcterms:created xsi:type="dcterms:W3CDTF">2026-07-28T01:29:03.614Z</dcterms:created>
  <dcterms:modified xsi:type="dcterms:W3CDTF">2026-07-28T01:29:03.614Z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