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Especificación de Requerimientos — Estado de Cumplimiento</w:t>
      </w:r>
    </w:p>
    <w:p>
      <w:pPr>
        <w:spacing w:after="100"/>
        <w:jc w:val="center"/>
      </w:pPr>
      <w:r>
        <w:rPr>
          <w:b/>
          <w:bCs/>
          <w:sz w:val="26"/>
          <w:szCs w:val="26"/>
        </w:rPr>
        <w:t xml:space="preserve">Portabilidad de Derechos Pensionarios entre ISSSTE e IMSS</w:t>
      </w:r>
    </w:p>
    <w:p>
      <w:pPr>
        <w:spacing w:after="400"/>
        <w:jc w:val="center"/>
      </w:pPr>
      <w:r>
        <w:rPr>
          <w:i/>
          <w:iCs/>
          <w:color w:val="2E7D32"/>
          <w:sz w:val="20"/>
          <w:szCs w:val="20"/>
        </w:rPr>
        <w:t xml:space="preserve">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Propósito de este documento</w:t>
      </w:r>
    </w:p>
    <w:p>
      <w:pPr>
        <w:spacing w:after="140"/>
      </w:pPr>
      <w:r>
        <w:t xml:space="preserve">Este documento da seguimiento a la Especificación de Requerimientos y Análisis del Proyecto "Portabilidad de Derechos Pensionarios entre ISSSTE e IMSS", confirmando el cumplimiento de cada requerimiento contra el sistema actualmente en operación.</w:t>
      </w:r>
    </w:p>
    <w:p>
      <w:pPr>
        <w:spacing w:after="140"/>
      </w:pPr>
      <w:r>
        <w:t xml:space="preserve">La clave, descripción y prioridad de cada requerimiento corresponden a la Especificación de Requerimientos versión 1.0. Este documento agrega dos columnas: Estado y Evidencia/Referencia de cumplimiento.</w:t>
      </w:r>
    </w:p>
    <w:p>
      <w:pPr>
        <w:pStyle w:val="Heading1"/>
        <w:spacing w:after="160" w:before="320"/>
      </w:pPr>
      <w:r>
        <w:t xml:space="preserve">2. Requerimientos funcionales — estado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4"/>
        <w:gridCol w:w="4771"/>
        <w:gridCol w:w="1101"/>
        <w:gridCol w:w="2754"/>
      </w:tblGrid>
      <w:tr>
        <w:trPr>
          <w:tblHeader/>
        </w:trPr>
        <w:tc>
          <w:tcPr>
            <w:tcW w:type="dxa" w:w="734"/>
            <w:shd w:fill="DCE6F1" w:val="clear"/>
            <w:tcMar>
              <w:top w:type="dxa" w:w="80"/>
              <w:left w:type="dxa" w:w="100"/>
              <w:bottom w:type="dxa" w:w="80"/>
              <w:right w:type="dxa" w:w="100"/>
            </w:tcMar>
          </w:tcPr>
          <w:p>
            <w:r>
              <w:rPr>
                <w:b/>
                <w:bCs/>
              </w:rPr>
              <w:t xml:space="preserve">ID</w:t>
            </w:r>
          </w:p>
        </w:tc>
        <w:tc>
          <w:tcPr>
            <w:tcW w:type="dxa" w:w="4771"/>
            <w:shd w:fill="DCE6F1" w:val="clear"/>
            <w:tcMar>
              <w:top w:type="dxa" w:w="80"/>
              <w:left w:type="dxa" w:w="100"/>
              <w:bottom w:type="dxa" w:w="80"/>
              <w:right w:type="dxa" w:w="100"/>
            </w:tcMar>
          </w:tcPr>
          <w:p>
            <w:r>
              <w:rPr>
                <w:b/>
                <w:bCs/>
              </w:rPr>
              <w:t xml:space="preserve">Descripción</w:t>
            </w:r>
          </w:p>
        </w:tc>
        <w:tc>
          <w:tcPr>
            <w:tcW w:type="dxa" w:w="1101"/>
            <w:shd w:fill="DCE6F1" w:val="clear"/>
            <w:tcMar>
              <w:top w:type="dxa" w:w="80"/>
              <w:left w:type="dxa" w:w="100"/>
              <w:bottom w:type="dxa" w:w="80"/>
              <w:right w:type="dxa" w:w="100"/>
            </w:tcMar>
          </w:tcPr>
          <w:p>
            <w:r>
              <w:rPr>
                <w:b/>
                <w:bCs/>
              </w:rPr>
              <w:t xml:space="preserve">Estado</w:t>
            </w:r>
          </w:p>
        </w:tc>
        <w:tc>
          <w:tcPr>
            <w:tcW w:type="dxa" w:w="2754"/>
            <w:shd w:fill="DCE6F1" w:val="clear"/>
            <w:tcMar>
              <w:top w:type="dxa" w:w="80"/>
              <w:left w:type="dxa" w:w="100"/>
              <w:bottom w:type="dxa" w:w="80"/>
              <w:right w:type="dxa" w:w="100"/>
            </w:tcMar>
          </w:tcPr>
          <w:p>
            <w:r>
              <w:rPr>
                <w:b/>
                <w:bCs/>
              </w:rPr>
              <w:t xml:space="preserve">Evidencia / referencia</w:t>
            </w:r>
          </w:p>
        </w:tc>
      </w:tr>
      <w:tr>
        <w:tc>
          <w:tcPr>
            <w:tcW w:type="dxa" w:w="734"/>
            <w:tcMar>
              <w:top w:type="dxa" w:w="80"/>
              <w:left w:type="dxa" w:w="100"/>
              <w:bottom w:type="dxa" w:w="80"/>
              <w:right w:type="dxa" w:w="100"/>
            </w:tcMar>
          </w:tcPr>
          <w:p>
            <w:r>
              <w:rPr>
                <w:b w:val="false"/>
                <w:bCs w:val="false"/>
              </w:rPr>
              <w:t xml:space="preserve">RF-01</w:t>
            </w:r>
          </w:p>
        </w:tc>
        <w:tc>
          <w:tcPr>
            <w:tcW w:type="dxa" w:w="4771"/>
            <w:tcMar>
              <w:top w:type="dxa" w:w="80"/>
              <w:left w:type="dxa" w:w="100"/>
              <w:bottom w:type="dxa" w:w="80"/>
              <w:right w:type="dxa" w:w="100"/>
            </w:tcMar>
          </w:tcPr>
          <w:p>
            <w:r>
              <w:rPr>
                <w:b w:val="false"/>
                <w:bCs w:val="false"/>
              </w:rPr>
              <w:t xml:space="preserve">El sistema deberá permitir el acceso al módulo de portabilidad únicamente mediante invocación desde los portales institucionales SINAVID-OV (Sistema Nacional de Vigencia de Derechos, Oficina Virtual) o SIPE-AV (Sistema Integral de Prestaciones Económicas, Afiliación y Vigencia), recibiendo como parámetros la CURP, el tipo de sistema de origen y el usuario que invoca el módulo, todos ellos encriptados.</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RF-02</w:t>
            </w:r>
          </w:p>
        </w:tc>
        <w:tc>
          <w:tcPr>
            <w:tcW w:type="dxa" w:w="4771"/>
            <w:tcMar>
              <w:top w:type="dxa" w:w="80"/>
              <w:left w:type="dxa" w:w="100"/>
              <w:bottom w:type="dxa" w:w="80"/>
              <w:right w:type="dxa" w:w="100"/>
            </w:tcMar>
          </w:tcPr>
          <w:p>
            <w:r>
              <w:rPr>
                <w:b w:val="false"/>
                <w:bCs w:val="false"/>
              </w:rPr>
              <w:t xml:space="preserve">El sistema deberá rechazar la ejecución fuera de los portales autorizados, mostrando un mensaje que indique que el servicio solo está disponible desde SINAVID-OV o SIPE-AV.</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RF-03</w:t>
            </w:r>
          </w:p>
        </w:tc>
        <w:tc>
          <w:tcPr>
            <w:tcW w:type="dxa" w:w="4771"/>
            <w:tcMar>
              <w:top w:type="dxa" w:w="80"/>
              <w:left w:type="dxa" w:w="100"/>
              <w:bottom w:type="dxa" w:w="80"/>
              <w:right w:type="dxa" w:w="100"/>
            </w:tcMar>
          </w:tcPr>
          <w:p>
            <w:r>
              <w:rPr>
                <w:b w:val="false"/>
                <w:bCs w:val="false"/>
              </w:rPr>
              <w:t xml:space="preserve">El sistema deberá recuperar y presentar automáticamente, a partir de la CURP recibida, los datos del derechohabiente: nombre completo, Número ISSSTE, fecha de nacimiento, antigüedad/tiempo cotizado, régimen de pensión y situación de afiliación (Activo, Baja, Finado, Indeterminado).</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RF-04</w:t>
            </w:r>
          </w:p>
        </w:tc>
        <w:tc>
          <w:tcPr>
            <w:tcW w:type="dxa" w:w="4771"/>
            <w:tcMar>
              <w:top w:type="dxa" w:w="80"/>
              <w:left w:type="dxa" w:w="100"/>
              <w:bottom w:type="dxa" w:w="80"/>
              <w:right w:type="dxa" w:w="100"/>
            </w:tcMar>
          </w:tcPr>
          <w:p>
            <w:r>
              <w:rPr>
                <w:b w:val="false"/>
                <w:bCs w:val="false"/>
              </w:rPr>
              <w:t xml:space="preserve">El sistema deberá validar la CURP contra el servicio oficial de RENAPO, incluyendo una consulta detallada (por apellidos, nombre, fecha de nacimiento y sexo) cuando la consulta simple no sea concluyente.</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RF-05</w:t>
            </w:r>
          </w:p>
        </w:tc>
        <w:tc>
          <w:tcPr>
            <w:tcW w:type="dxa" w:w="4771"/>
            <w:tcMar>
              <w:top w:type="dxa" w:w="80"/>
              <w:left w:type="dxa" w:w="100"/>
              <w:bottom w:type="dxa" w:w="80"/>
              <w:right w:type="dxa" w:w="100"/>
            </w:tcMar>
          </w:tcPr>
          <w:p>
            <w:r>
              <w:rPr>
                <w:b w:val="false"/>
                <w:bCs w:val="false"/>
              </w:rPr>
              <w:t xml:space="preserve">El sistema deberá impedir continuar el trámite cuando la situación de afiliación sea "Finado" o el estatus de vigencia sea indeterminado, generando el documento de rechazo correspondiente.</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RF-06</w:t>
            </w:r>
          </w:p>
        </w:tc>
        <w:tc>
          <w:tcPr>
            <w:tcW w:type="dxa" w:w="4771"/>
            <w:tcMar>
              <w:top w:type="dxa" w:w="80"/>
              <w:left w:type="dxa" w:w="100"/>
              <w:bottom w:type="dxa" w:w="80"/>
              <w:right w:type="dxa" w:w="100"/>
            </w:tcMar>
          </w:tcPr>
          <w:p>
            <w:r>
              <w:rPr>
                <w:b w:val="false"/>
                <w:bCs w:val="false"/>
              </w:rPr>
              <w:t xml:space="preserve">El sistema deberá capturar y validar el NSS del instituto receptor (11 dígitos), el correo electrónico (formato válido) y el teléfono (10 dígitos).</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RF-07</w:t>
            </w:r>
          </w:p>
        </w:tc>
        <w:tc>
          <w:tcPr>
            <w:tcW w:type="dxa" w:w="4771"/>
            <w:tcMar>
              <w:top w:type="dxa" w:w="80"/>
              <w:left w:type="dxa" w:w="100"/>
              <w:bottom w:type="dxa" w:w="80"/>
              <w:right w:type="dxa" w:w="100"/>
            </w:tcMar>
          </w:tcPr>
          <w:p>
            <w:r>
              <w:rPr>
                <w:b w:val="false"/>
                <w:bCs w:val="false"/>
              </w:rPr>
              <w:t xml:space="preserve">El sistema deberá impedir el registro de una nueva solicitud cuando ya exista una solicitud registrada para la misma CURP, mostrando el listado de solicitudes existentes para su consulta o descarga.</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RF-08</w:t>
            </w:r>
          </w:p>
        </w:tc>
        <w:tc>
          <w:tcPr>
            <w:tcW w:type="dxa" w:w="4771"/>
            <w:tcMar>
              <w:top w:type="dxa" w:w="80"/>
              <w:left w:type="dxa" w:w="100"/>
              <w:bottom w:type="dxa" w:w="80"/>
              <w:right w:type="dxa" w:w="100"/>
            </w:tcMar>
          </w:tcPr>
          <w:p>
            <w:r>
              <w:rPr>
                <w:b w:val="false"/>
                <w:bCs w:val="false"/>
              </w:rPr>
              <w:t xml:space="preserve">El sistema deberá permitir, por acuerdo entre institutos, el registro de más de una solicitud de portabilidad para un mismo derechohabiente a lo largo del tiempo, siempre que el ciclo completo de servicios de la solicitud anterior haya concluido.</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RF-09</w:t>
            </w:r>
          </w:p>
        </w:tc>
        <w:tc>
          <w:tcPr>
            <w:tcW w:type="dxa" w:w="4771"/>
            <w:tcMar>
              <w:top w:type="dxa" w:w="80"/>
              <w:left w:type="dxa" w:w="100"/>
              <w:bottom w:type="dxa" w:w="80"/>
              <w:right w:type="dxa" w:w="100"/>
            </w:tcMar>
          </w:tcPr>
          <w:p>
            <w:r>
              <w:rPr>
                <w:b w:val="false"/>
                <w:bCs w:val="false"/>
              </w:rPr>
              <w:t xml:space="preserve">El sistema deberá permitir firmar electrónicamente la solicitud mediante la carga del certificado, la llave privada y la contraseña del e.firma/FIEL del solicitante, invocando de forma automática el servicio de firma correspondiente sin exponer ni permitir la manipulación directa de esos archivos por ningún usuario.</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RF-10</w:t>
            </w:r>
          </w:p>
        </w:tc>
        <w:tc>
          <w:tcPr>
            <w:tcW w:type="dxa" w:w="4771"/>
            <w:tcMar>
              <w:top w:type="dxa" w:w="80"/>
              <w:left w:type="dxa" w:w="100"/>
              <w:bottom w:type="dxa" w:w="80"/>
              <w:right w:type="dxa" w:w="100"/>
            </w:tcMar>
          </w:tcPr>
          <w:p>
            <w:r>
              <w:rPr>
                <w:b w:val="false"/>
                <w:bCs w:val="false"/>
              </w:rPr>
              <w:t xml:space="preserve">El sistema deberá almacenar y transmitir en todo momento de forma encriptada el certificado, la llave privada y la contraseña utilizados para la firma, sin difundirlos por ningún medio.</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RF-11</w:t>
            </w:r>
          </w:p>
        </w:tc>
        <w:tc>
          <w:tcPr>
            <w:tcW w:type="dxa" w:w="4771"/>
            <w:tcMar>
              <w:top w:type="dxa" w:w="80"/>
              <w:left w:type="dxa" w:w="100"/>
              <w:bottom w:type="dxa" w:w="80"/>
              <w:right w:type="dxa" w:w="100"/>
            </w:tcMar>
          </w:tcPr>
          <w:p>
            <w:r>
              <w:rPr>
                <w:b w:val="false"/>
                <w:bCs w:val="false"/>
              </w:rPr>
              <w:t xml:space="preserve">El sistema deberá generar un folio único de solicitud y registrar la solicitud firmada en la base de datos institucional.</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RF-12</w:t>
            </w:r>
          </w:p>
        </w:tc>
        <w:tc>
          <w:tcPr>
            <w:tcW w:type="dxa" w:w="4771"/>
            <w:tcMar>
              <w:top w:type="dxa" w:w="80"/>
              <w:left w:type="dxa" w:w="100"/>
              <w:bottom w:type="dxa" w:w="80"/>
              <w:right w:type="dxa" w:w="100"/>
            </w:tcMar>
          </w:tcPr>
          <w:p>
            <w:r>
              <w:rPr>
                <w:b w:val="false"/>
                <w:bCs w:val="false"/>
              </w:rPr>
              <w:t xml:space="preserve">El sistema deberá consultar, cuando la solicitud se origine en ISSSTE, el estatus básico y el detalle de periodos cotizados del derechohabiente ante IMSS (IMSS-WS1-EstatusAsegurado, IMSS-WS3-ConsultaPeriodos).</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RF-13</w:t>
            </w:r>
          </w:p>
        </w:tc>
        <w:tc>
          <w:tcPr>
            <w:tcW w:type="dxa" w:w="4771"/>
            <w:tcMar>
              <w:top w:type="dxa" w:w="80"/>
              <w:left w:type="dxa" w:w="100"/>
              <w:bottom w:type="dxa" w:w="80"/>
              <w:right w:type="dxa" w:w="100"/>
            </w:tcMar>
          </w:tcPr>
          <w:p>
            <w:r>
              <w:rPr>
                <w:b w:val="false"/>
                <w:bCs w:val="false"/>
              </w:rPr>
              <w:t xml:space="preserve">El sistema deberá registrar, consultar y, en su caso, cancelar el trámite ante ProceSAR (PSAR-WS2-Consulta, PSAR-WS4-Insercion, PSAR-WS5-Cancelacion) como parte del proceso de portabilidad saliente.</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RF-14</w:t>
            </w:r>
          </w:p>
        </w:tc>
        <w:tc>
          <w:tcPr>
            <w:tcW w:type="dxa" w:w="4771"/>
            <w:tcMar>
              <w:top w:type="dxa" w:w="80"/>
              <w:left w:type="dxa" w:w="100"/>
              <w:bottom w:type="dxa" w:w="80"/>
              <w:right w:type="dxa" w:w="100"/>
            </w:tcMar>
          </w:tcPr>
          <w:p>
            <w:r>
              <w:rPr>
                <w:b w:val="false"/>
                <w:bCs w:val="false"/>
              </w:rPr>
              <w:t xml:space="preserve">El sistema deberá calcular el dictamen de beneficio pensionario combinando el tiempo cotizado en ambos institutos y la edad del derechohabiente (ISSSTE-WS7-DictamenBeneficioPensionario), determinando si el trámite procede o se cancela.</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RF-15</w:t>
            </w:r>
          </w:p>
        </w:tc>
        <w:tc>
          <w:tcPr>
            <w:tcW w:type="dxa" w:w="4771"/>
            <w:tcMar>
              <w:top w:type="dxa" w:w="80"/>
              <w:left w:type="dxa" w:w="100"/>
              <w:bottom w:type="dxa" w:w="80"/>
              <w:right w:type="dxa" w:w="100"/>
            </w:tcMar>
          </w:tcPr>
          <w:p>
            <w:r>
              <w:rPr>
                <w:b w:val="false"/>
                <w:bCs w:val="false"/>
              </w:rPr>
              <w:t xml:space="preserve">El sistema deberá, cuando el dictamen determine que existe beneficio pensionario, consultar los saldos preliminares del derechohabiente (ProceSAR) y consumir el servicio de la Comisión Nacional de Seguros y Fianzas (CNSF) necesario para completar la determinación del beneficio.</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RF-16</w:t>
            </w:r>
          </w:p>
        </w:tc>
        <w:tc>
          <w:tcPr>
            <w:tcW w:type="dxa" w:w="4771"/>
            <w:tcMar>
              <w:top w:type="dxa" w:w="80"/>
              <w:left w:type="dxa" w:w="100"/>
              <w:bottom w:type="dxa" w:w="80"/>
              <w:right w:type="dxa" w:w="100"/>
            </w:tcMar>
          </w:tcPr>
          <w:p>
            <w:r>
              <w:rPr>
                <w:b w:val="false"/>
                <w:bCs w:val="false"/>
              </w:rPr>
              <w:t xml:space="preserve">El sistema deberá notificar a IMSS la conclusión del trámite (IMSS-WS6-ConclusionPortabilidad), indicando si fue procedente o cancelada, según el resultado del dictamen.</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RF-17</w:t>
            </w:r>
          </w:p>
        </w:tc>
        <w:tc>
          <w:tcPr>
            <w:tcW w:type="dxa" w:w="4771"/>
            <w:tcMar>
              <w:top w:type="dxa" w:w="80"/>
              <w:left w:type="dxa" w:w="100"/>
              <w:bottom w:type="dxa" w:w="80"/>
              <w:right w:type="dxa" w:w="100"/>
            </w:tcMar>
          </w:tcPr>
          <w:p>
            <w:r>
              <w:rPr>
                <w:b w:val="false"/>
                <w:bCs w:val="false"/>
              </w:rPr>
              <w:t xml:space="preserve">El sistema deberá exponer los servicios necesarios para que IMSS pueda solicitar la portabilidad de un derechohabiente hacia ISSSTE: consulta básica (ISSSTE-WS1-ConsultaBasica), consulta robusta de periodos (ISSSTE-WS3-ConsultaRobusta) y aviso de estatus de transferencia (ISSSTE-WS6-AvisoEstatusTransferencia).</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RF-18</w:t>
            </w:r>
          </w:p>
        </w:tc>
        <w:tc>
          <w:tcPr>
            <w:tcW w:type="dxa" w:w="4771"/>
            <w:tcMar>
              <w:top w:type="dxa" w:w="80"/>
              <w:left w:type="dxa" w:w="100"/>
              <w:bottom w:type="dxa" w:w="80"/>
              <w:right w:type="dxa" w:w="100"/>
            </w:tcMar>
          </w:tcPr>
          <w:p>
            <w:r>
              <w:rPr>
                <w:b w:val="false"/>
                <w:bCs w:val="false"/>
              </w:rPr>
              <w:t xml:space="preserve">El sistema deberá aplicar de manera uniforme, tanto en el proceso saliente como en el entrante, el catálogo de reglas de elegibilidad (régimen pensionario, marcas de impedimento, antigüedad, consistencia de periodos, trámites previos, entre otras — ver sección de reglas de negocio).</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RF-19</w:t>
            </w:r>
          </w:p>
        </w:tc>
        <w:tc>
          <w:tcPr>
            <w:tcW w:type="dxa" w:w="4771"/>
            <w:tcMar>
              <w:top w:type="dxa" w:w="80"/>
              <w:left w:type="dxa" w:w="100"/>
              <w:bottom w:type="dxa" w:w="80"/>
              <w:right w:type="dxa" w:w="100"/>
            </w:tcMar>
          </w:tcPr>
          <w:p>
            <w:r>
              <w:rPr>
                <w:b w:val="false"/>
                <w:bCs w:val="false"/>
              </w:rPr>
              <w:t xml:space="preserve">El sistema deberá generar dos documentos por cada solicitud: la Solicitud de Transferencia de Derechos (con folio, datos del derechohabiente, datos de la solicitud y espacio de firma autógrafa) y la Resolución de Transferencia de Derechos (que además incluye resultado, motivo de rechazo, observaciones y un sello digital del Instituto).</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RF-20</w:t>
            </w:r>
          </w:p>
        </w:tc>
        <w:tc>
          <w:tcPr>
            <w:tcW w:type="dxa" w:w="4771"/>
            <w:tcMar>
              <w:top w:type="dxa" w:w="80"/>
              <w:left w:type="dxa" w:w="100"/>
              <w:bottom w:type="dxa" w:w="80"/>
              <w:right w:type="dxa" w:w="100"/>
            </w:tcMar>
          </w:tcPr>
          <w:p>
            <w:r>
              <w:rPr>
                <w:b w:val="false"/>
                <w:bCs w:val="false"/>
              </w:rPr>
              <w:t xml:space="preserve">El sistema deberá permitir consultar y descargar en cualquier momento las solicitudes previas de un derechohabiente y sus resoluciones asociadas, junto con el estatus vigente de cada trámite.</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RF-21</w:t>
            </w:r>
          </w:p>
        </w:tc>
        <w:tc>
          <w:tcPr>
            <w:tcW w:type="dxa" w:w="4771"/>
            <w:tcMar>
              <w:top w:type="dxa" w:w="80"/>
              <w:left w:type="dxa" w:w="100"/>
              <w:bottom w:type="dxa" w:w="80"/>
              <w:right w:type="dxa" w:w="100"/>
            </w:tcMar>
          </w:tcPr>
          <w:p>
            <w:r>
              <w:rPr>
                <w:b w:val="false"/>
                <w:bCs w:val="false"/>
              </w:rPr>
              <w:t xml:space="preserve">El sistema deberá mantener un catálogo único, versionado y con clave oficial, de los motivos de rechazo u observación aplicables a cada proceso (saliente y entrante), incluyendo una descripción y una recomendación para el derechohabiente.</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r>
        <w:tc>
          <w:tcPr>
            <w:tcW w:type="dxa" w:w="734"/>
            <w:tcMar>
              <w:top w:type="dxa" w:w="80"/>
              <w:left w:type="dxa" w:w="100"/>
              <w:bottom w:type="dxa" w:w="80"/>
              <w:right w:type="dxa" w:w="100"/>
            </w:tcMar>
          </w:tcPr>
          <w:p>
            <w:r>
              <w:rPr>
                <w:b w:val="false"/>
                <w:bCs w:val="false"/>
              </w:rPr>
              <w:t xml:space="preserve">RF-22</w:t>
            </w:r>
          </w:p>
        </w:tc>
        <w:tc>
          <w:tcPr>
            <w:tcW w:type="dxa" w:w="4771"/>
            <w:tcMar>
              <w:top w:type="dxa" w:w="80"/>
              <w:left w:type="dxa" w:w="100"/>
              <w:bottom w:type="dxa" w:w="80"/>
              <w:right w:type="dxa" w:w="100"/>
            </w:tcMar>
          </w:tcPr>
          <w:p>
            <w:r>
              <w:rPr>
                <w:b w:val="false"/>
                <w:bCs w:val="false"/>
              </w:rPr>
              <w:t xml:space="preserve">El sistema deberá registrar en bitácora todo marcado de periodos en la cuenta individual (BDUD) y todo cambio de estatus de una solicitud, con fines de trazabilidad y auditoría.</w:t>
            </w:r>
          </w:p>
        </w:tc>
        <w:tc>
          <w:tcPr>
            <w:tcW w:type="dxa" w:w="1101"/>
            <w:tcMar>
              <w:top w:type="dxa" w:w="80"/>
              <w:left w:type="dxa" w:w="100"/>
              <w:bottom w:type="dxa" w:w="80"/>
              <w:right w:type="dxa" w:w="100"/>
            </w:tcMar>
          </w:tcPr>
          <w:p>
            <w:r>
              <w:rPr>
                <w:b w:val="false"/>
                <w:bCs w:val="false"/>
              </w:rPr>
              <w:t xml:space="preserve">Cumplido</w:t>
            </w:r>
          </w:p>
        </w:tc>
        <w:tc>
          <w:tcPr>
            <w:tcW w:type="dxa" w:w="2754"/>
            <w:tcMar>
              <w:top w:type="dxa" w:w="80"/>
              <w:left w:type="dxa" w:w="100"/>
              <w:bottom w:type="dxa" w:w="80"/>
              <w:right w:type="dxa" w:w="100"/>
            </w:tcMar>
          </w:tcPr>
          <w:p>
            <w:r>
              <w:rPr>
                <w:b w:val="false"/>
                <w:bCs w:val="false"/>
              </w:rPr>
              <w:t xml:space="preserve">Verificado contra el sistema en operación</w:t>
            </w:r>
          </w:p>
        </w:tc>
      </w:tr>
    </w:tbl>
    <w:p>
      <w:pPr>
        <w:pStyle w:val="Heading1"/>
        <w:spacing w:after="160" w:before="320"/>
      </w:pPr>
      <w:r>
        <w:t xml:space="preserve">3. Reglas de negocio — estado de cumplimiento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200"/>
        <w:gridCol w:w="3800"/>
      </w:tblGrid>
      <w:tr>
        <w:trPr>
          <w:tblHeader/>
        </w:trPr>
        <w:tc>
          <w:tcPr>
            <w:tcW w:type="dxa" w:w="800"/>
            <w:shd w:fill="DCE6F1" w:val="clear"/>
            <w:tcMar>
              <w:top w:type="dxa" w:w="80"/>
              <w:left w:type="dxa" w:w="100"/>
              <w:bottom w:type="dxa" w:w="80"/>
              <w:right w:type="dxa" w:w="100"/>
            </w:tcMar>
          </w:tcPr>
          <w:p>
            <w:r>
              <w:rPr>
                <w:b/>
                <w:bCs/>
              </w:rPr>
              <w:t xml:space="preserve">ID</w:t>
            </w:r>
          </w:p>
        </w:tc>
        <w:tc>
          <w:tcPr>
            <w:tcW w:type="dxa" w:w="3400"/>
            <w:shd w:fill="DCE6F1" w:val="clear"/>
            <w:tcMar>
              <w:top w:type="dxa" w:w="80"/>
              <w:left w:type="dxa" w:w="100"/>
              <w:bottom w:type="dxa" w:w="80"/>
              <w:right w:type="dxa" w:w="100"/>
            </w:tcMar>
          </w:tcPr>
          <w:p>
            <w:r>
              <w:rPr>
                <w:b/>
                <w:bCs/>
              </w:rPr>
              <w:t xml:space="preserve">Regla</w:t>
            </w:r>
          </w:p>
        </w:tc>
        <w:tc>
          <w:tcPr>
            <w:tcW w:type="dxa" w:w="1200"/>
            <w:shd w:fill="DCE6F1" w:val="clear"/>
            <w:tcMar>
              <w:top w:type="dxa" w:w="80"/>
              <w:left w:type="dxa" w:w="100"/>
              <w:bottom w:type="dxa" w:w="80"/>
              <w:right w:type="dxa" w:w="100"/>
            </w:tcMar>
          </w:tcPr>
          <w:p>
            <w:r>
              <w:rPr>
                <w:b/>
                <w:bCs/>
              </w:rPr>
              <w:t xml:space="preserve">Estado</w:t>
            </w:r>
          </w:p>
        </w:tc>
        <w:tc>
          <w:tcPr>
            <w:tcW w:type="dxa" w:w="3800"/>
            <w:shd w:fill="DCE6F1" w:val="clear"/>
            <w:tcMar>
              <w:top w:type="dxa" w:w="80"/>
              <w:left w:type="dxa" w:w="100"/>
              <w:bottom w:type="dxa" w:w="80"/>
              <w:right w:type="dxa" w:w="100"/>
            </w:tcMar>
          </w:tcPr>
          <w:p>
            <w:r>
              <w:rPr>
                <w:b/>
                <w:bCs/>
              </w:rPr>
              <w:t xml:space="preserve">Evidencia / referencia</w:t>
            </w:r>
          </w:p>
        </w:tc>
      </w:tr>
      <w:tr>
        <w:tc>
          <w:tcPr>
            <w:tcW w:type="dxa" w:w="800"/>
            <w:tcMar>
              <w:top w:type="dxa" w:w="80"/>
              <w:left w:type="dxa" w:w="100"/>
              <w:bottom w:type="dxa" w:w="80"/>
              <w:right w:type="dxa" w:w="100"/>
            </w:tcMar>
          </w:tcPr>
          <w:p>
            <w:r>
              <w:rPr>
                <w:b w:val="false"/>
                <w:bCs w:val="false"/>
              </w:rPr>
              <w:t xml:space="preserve">RN-01</w:t>
            </w:r>
          </w:p>
        </w:tc>
        <w:tc>
          <w:tcPr>
            <w:tcW w:type="dxa" w:w="3400"/>
            <w:tcMar>
              <w:top w:type="dxa" w:w="80"/>
              <w:left w:type="dxa" w:w="100"/>
              <w:bottom w:type="dxa" w:w="80"/>
              <w:right w:type="dxa" w:w="100"/>
            </w:tcMar>
          </w:tcPr>
          <w:p>
            <w:r>
              <w:rPr>
                <w:b w:val="false"/>
                <w:bCs w:val="false"/>
              </w:rPr>
              <w:t xml:space="preserve">Estatus del derechohabiente</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RN-02</w:t>
            </w:r>
          </w:p>
        </w:tc>
        <w:tc>
          <w:tcPr>
            <w:tcW w:type="dxa" w:w="3400"/>
            <w:tcMar>
              <w:top w:type="dxa" w:w="80"/>
              <w:left w:type="dxa" w:w="100"/>
              <w:bottom w:type="dxa" w:w="80"/>
              <w:right w:type="dxa" w:w="100"/>
            </w:tcMar>
          </w:tcPr>
          <w:p>
            <w:r>
              <w:rPr>
                <w:b w:val="false"/>
                <w:bCs w:val="false"/>
              </w:rPr>
              <w:t xml:space="preserve">Consistencia con RENAPO</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RN-03</w:t>
            </w:r>
          </w:p>
        </w:tc>
        <w:tc>
          <w:tcPr>
            <w:tcW w:type="dxa" w:w="3400"/>
            <w:tcMar>
              <w:top w:type="dxa" w:w="80"/>
              <w:left w:type="dxa" w:w="100"/>
              <w:bottom w:type="dxa" w:w="80"/>
              <w:right w:type="dxa" w:w="100"/>
            </w:tcMar>
          </w:tcPr>
          <w:p>
            <w:r>
              <w:rPr>
                <w:b w:val="false"/>
                <w:bCs w:val="false"/>
              </w:rPr>
              <w:t xml:space="preserve">Trámite previo</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RN-04</w:t>
            </w:r>
          </w:p>
        </w:tc>
        <w:tc>
          <w:tcPr>
            <w:tcW w:type="dxa" w:w="3400"/>
            <w:tcMar>
              <w:top w:type="dxa" w:w="80"/>
              <w:left w:type="dxa" w:w="100"/>
              <w:bottom w:type="dxa" w:w="80"/>
              <w:right w:type="dxa" w:w="100"/>
            </w:tcMar>
          </w:tcPr>
          <w:p>
            <w:r>
              <w:rPr>
                <w:b w:val="false"/>
                <w:bCs w:val="false"/>
              </w:rPr>
              <w:t xml:space="preserve">Régimen pensionario</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RN-05</w:t>
            </w:r>
          </w:p>
        </w:tc>
        <w:tc>
          <w:tcPr>
            <w:tcW w:type="dxa" w:w="3400"/>
            <w:tcMar>
              <w:top w:type="dxa" w:w="80"/>
              <w:left w:type="dxa" w:w="100"/>
              <w:bottom w:type="dxa" w:w="80"/>
              <w:right w:type="dxa" w:w="100"/>
            </w:tcMar>
          </w:tcPr>
          <w:p>
            <w:r>
              <w:rPr>
                <w:b w:val="false"/>
                <w:bCs w:val="false"/>
              </w:rPr>
              <w:t xml:space="preserve">Vigencia y bono de pensión al 31/03/2007</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RN-06</w:t>
            </w:r>
          </w:p>
        </w:tc>
        <w:tc>
          <w:tcPr>
            <w:tcW w:type="dxa" w:w="3400"/>
            <w:tcMar>
              <w:top w:type="dxa" w:w="80"/>
              <w:left w:type="dxa" w:w="100"/>
              <w:bottom w:type="dxa" w:w="80"/>
              <w:right w:type="dxa" w:w="100"/>
            </w:tcMar>
          </w:tcPr>
          <w:p>
            <w:r>
              <w:rPr>
                <w:b w:val="false"/>
                <w:bCs w:val="false"/>
              </w:rPr>
              <w:t xml:space="preserve">Beneficio pensionario previo</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RN-07</w:t>
            </w:r>
          </w:p>
        </w:tc>
        <w:tc>
          <w:tcPr>
            <w:tcW w:type="dxa" w:w="3400"/>
            <w:tcMar>
              <w:top w:type="dxa" w:w="80"/>
              <w:left w:type="dxa" w:w="100"/>
              <w:bottom w:type="dxa" w:w="80"/>
              <w:right w:type="dxa" w:w="100"/>
            </w:tcMar>
          </w:tcPr>
          <w:p>
            <w:r>
              <w:rPr>
                <w:b w:val="false"/>
                <w:bCs w:val="false"/>
              </w:rPr>
              <w:t xml:space="preserve">Marcas de impedimento (IG, 200/300, 100, 400-430)</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RN-08</w:t>
            </w:r>
          </w:p>
        </w:tc>
        <w:tc>
          <w:tcPr>
            <w:tcW w:type="dxa" w:w="3400"/>
            <w:tcMar>
              <w:top w:type="dxa" w:w="80"/>
              <w:left w:type="dxa" w:w="100"/>
              <w:bottom w:type="dxa" w:w="80"/>
              <w:right w:type="dxa" w:w="100"/>
            </w:tcMar>
          </w:tcPr>
          <w:p>
            <w:r>
              <w:rPr>
                <w:b w:val="false"/>
                <w:bCs w:val="false"/>
              </w:rPr>
              <w:t xml:space="preserve">Antigüedad mínima al fondo de pensiones</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RN-09</w:t>
            </w:r>
          </w:p>
        </w:tc>
        <w:tc>
          <w:tcPr>
            <w:tcW w:type="dxa" w:w="3400"/>
            <w:tcMar>
              <w:top w:type="dxa" w:w="80"/>
              <w:left w:type="dxa" w:w="100"/>
              <w:bottom w:type="dxa" w:w="80"/>
              <w:right w:type="dxa" w:w="100"/>
            </w:tcMar>
          </w:tcPr>
          <w:p>
            <w:r>
              <w:rPr>
                <w:b w:val="false"/>
                <w:bCs w:val="false"/>
              </w:rPr>
              <w:t xml:space="preserve">Consistencia general de periodos</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RN-10</w:t>
            </w:r>
          </w:p>
        </w:tc>
        <w:tc>
          <w:tcPr>
            <w:tcW w:type="dxa" w:w="3400"/>
            <w:tcMar>
              <w:top w:type="dxa" w:w="80"/>
              <w:left w:type="dxa" w:w="100"/>
              <w:bottom w:type="dxa" w:w="80"/>
              <w:right w:type="dxa" w:w="100"/>
            </w:tcMar>
          </w:tcPr>
          <w:p>
            <w:r>
              <w:rPr>
                <w:b w:val="false"/>
                <w:bCs w:val="false"/>
              </w:rPr>
              <w:t xml:space="preserve">Periodos previos a la entrada en vigor de la LISSSTE</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RN-11</w:t>
            </w:r>
          </w:p>
        </w:tc>
        <w:tc>
          <w:tcPr>
            <w:tcW w:type="dxa" w:w="3400"/>
            <w:tcMar>
              <w:top w:type="dxa" w:w="80"/>
              <w:left w:type="dxa" w:w="100"/>
              <w:bottom w:type="dxa" w:w="80"/>
              <w:right w:type="dxa" w:w="100"/>
            </w:tcMar>
          </w:tcPr>
          <w:p>
            <w:r>
              <w:rPr>
                <w:b w:val="false"/>
                <w:bCs w:val="false"/>
              </w:rPr>
              <w:t xml:space="preserve">Secuencia de consulta (proceso entrante)</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RN-12</w:t>
            </w:r>
          </w:p>
        </w:tc>
        <w:tc>
          <w:tcPr>
            <w:tcW w:type="dxa" w:w="3400"/>
            <w:tcMar>
              <w:top w:type="dxa" w:w="80"/>
              <w:left w:type="dxa" w:w="100"/>
              <w:bottom w:type="dxa" w:w="80"/>
              <w:right w:type="dxa" w:w="100"/>
            </w:tcMar>
          </w:tcPr>
          <w:p>
            <w:r>
              <w:rPr>
                <w:b w:val="false"/>
                <w:bCs w:val="false"/>
              </w:rPr>
              <w:t xml:space="preserve">Confirmación cruzada entre institutos</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RN-13</w:t>
            </w:r>
          </w:p>
        </w:tc>
        <w:tc>
          <w:tcPr>
            <w:tcW w:type="dxa" w:w="3400"/>
            <w:tcMar>
              <w:top w:type="dxa" w:w="80"/>
              <w:left w:type="dxa" w:w="100"/>
              <w:bottom w:type="dxa" w:w="80"/>
              <w:right w:type="dxa" w:w="100"/>
            </w:tcMar>
          </w:tcPr>
          <w:p>
            <w:r>
              <w:rPr>
                <w:b w:val="false"/>
                <w:bCs w:val="false"/>
              </w:rPr>
              <w:t xml:space="preserve">Elegibilidad combinada de beneficio pensionario</w:t>
            </w:r>
          </w:p>
        </w:tc>
        <w:tc>
          <w:tcPr>
            <w:tcW w:type="dxa" w:w="1200"/>
            <w:tcMar>
              <w:top w:type="dxa" w:w="80"/>
              <w:left w:type="dxa" w:w="100"/>
              <w:bottom w:type="dxa" w:w="80"/>
              <w:right w:type="dxa" w:w="100"/>
            </w:tcMar>
          </w:tcPr>
          <w:p>
            <w:r>
              <w:rPr>
                <w:b w:val="false"/>
                <w:bCs w:val="false"/>
              </w:rPr>
              <w:t xml:space="preserve">Cumplido</w:t>
            </w:r>
          </w:p>
        </w:tc>
        <w:tc>
          <w:tcPr>
            <w:tcW w:type="dxa" w:w="3800"/>
            <w:tcMar>
              <w:top w:type="dxa" w:w="80"/>
              <w:left w:type="dxa" w:w="100"/>
              <w:bottom w:type="dxa" w:w="80"/>
              <w:right w:type="dxa" w:w="100"/>
            </w:tcMar>
          </w:tcPr>
          <w:p>
            <w:r>
              <w:rPr>
                <w:b w:val="false"/>
                <w:bCs w:val="false"/>
              </w:rPr>
              <w:t xml:space="preserve">Verificado contra el sistema en operación</w:t>
            </w:r>
          </w:p>
        </w:tc>
      </w:tr>
    </w:tbl>
    <w:p>
      <w:pPr>
        <w:pStyle w:val="Heading1"/>
        <w:spacing w:after="160" w:before="320"/>
      </w:pPr>
      <w:r>
        <w:t xml:space="preserve">4. Requerimientos no funcionales — estado de cumplimiento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800"/>
      </w:tblGrid>
      <w:tr>
        <w:trPr>
          <w:tblHeader/>
        </w:trPr>
        <w:tc>
          <w:tcPr>
            <w:tcW w:type="dxa" w:w="800"/>
            <w:shd w:fill="DCE6F1" w:val="clear"/>
            <w:tcMar>
              <w:top w:type="dxa" w:w="80"/>
              <w:left w:type="dxa" w:w="100"/>
              <w:bottom w:type="dxa" w:w="80"/>
              <w:right w:type="dxa" w:w="100"/>
            </w:tcMar>
          </w:tcPr>
          <w:p>
            <w:r>
              <w:rPr>
                <w:b/>
                <w:bCs/>
              </w:rPr>
              <w:t xml:space="preserve">ID</w:t>
            </w:r>
          </w:p>
        </w:tc>
        <w:tc>
          <w:tcPr>
            <w:tcW w:type="dxa" w:w="2400"/>
            <w:shd w:fill="DCE6F1" w:val="clear"/>
            <w:tcMar>
              <w:top w:type="dxa" w:w="80"/>
              <w:left w:type="dxa" w:w="100"/>
              <w:bottom w:type="dxa" w:w="80"/>
              <w:right w:type="dxa" w:w="100"/>
            </w:tcMar>
          </w:tcPr>
          <w:p>
            <w:r>
              <w:rPr>
                <w:b/>
                <w:bCs/>
              </w:rPr>
              <w:t xml:space="preserve">Categoría</w:t>
            </w:r>
          </w:p>
        </w:tc>
        <w:tc>
          <w:tcPr>
            <w:tcW w:type="dxa" w:w="1200"/>
            <w:shd w:fill="DCE6F1" w:val="clear"/>
            <w:tcMar>
              <w:top w:type="dxa" w:w="80"/>
              <w:left w:type="dxa" w:w="100"/>
              <w:bottom w:type="dxa" w:w="80"/>
              <w:right w:type="dxa" w:w="100"/>
            </w:tcMar>
          </w:tcPr>
          <w:p>
            <w:r>
              <w:rPr>
                <w:b/>
                <w:bCs/>
              </w:rPr>
              <w:t xml:space="preserve">Estado</w:t>
            </w:r>
          </w:p>
        </w:tc>
        <w:tc>
          <w:tcPr>
            <w:tcW w:type="dxa" w:w="4800"/>
            <w:shd w:fill="DCE6F1" w:val="clear"/>
            <w:tcMar>
              <w:top w:type="dxa" w:w="80"/>
              <w:left w:type="dxa" w:w="100"/>
              <w:bottom w:type="dxa" w:w="80"/>
              <w:right w:type="dxa" w:w="100"/>
            </w:tcMar>
          </w:tcPr>
          <w:p>
            <w:r>
              <w:rPr>
                <w:b/>
                <w:bCs/>
              </w:rPr>
              <w:t xml:space="preserve">Evidencia / referencia</w:t>
            </w:r>
          </w:p>
        </w:tc>
      </w:tr>
      <w:tr>
        <w:tc>
          <w:tcPr>
            <w:tcW w:type="dxa" w:w="800"/>
            <w:tcMar>
              <w:top w:type="dxa" w:w="80"/>
              <w:left w:type="dxa" w:w="100"/>
              <w:bottom w:type="dxa" w:w="80"/>
              <w:right w:type="dxa" w:w="100"/>
            </w:tcMar>
          </w:tcPr>
          <w:p>
            <w:r>
              <w:rPr>
                <w:b w:val="false"/>
                <w:bCs w:val="false"/>
              </w:rPr>
              <w:t xml:space="preserve">RNF-01</w:t>
            </w:r>
          </w:p>
        </w:tc>
        <w:tc>
          <w:tcPr>
            <w:tcW w:type="dxa" w:w="2400"/>
            <w:tcMar>
              <w:top w:type="dxa" w:w="80"/>
              <w:left w:type="dxa" w:w="100"/>
              <w:bottom w:type="dxa" w:w="80"/>
              <w:right w:type="dxa" w:w="100"/>
            </w:tcMar>
          </w:tcPr>
          <w:p>
            <w:r>
              <w:rPr>
                <w:b w:val="false"/>
                <w:bCs w:val="false"/>
              </w:rPr>
              <w:t xml:space="preserve">Seguridad</w:t>
            </w:r>
          </w:p>
        </w:tc>
        <w:tc>
          <w:tcPr>
            <w:tcW w:type="dxa" w:w="1200"/>
            <w:tcMar>
              <w:top w:type="dxa" w:w="80"/>
              <w:left w:type="dxa" w:w="100"/>
              <w:bottom w:type="dxa" w:w="80"/>
              <w:right w:type="dxa" w:w="100"/>
            </w:tcMar>
          </w:tcPr>
          <w:p>
            <w:r>
              <w:rPr>
                <w:b w:val="false"/>
                <w:bCs w:val="false"/>
              </w:rPr>
              <w:t xml:space="preserve">Cumplido</w:t>
            </w:r>
          </w:p>
        </w:tc>
        <w:tc>
          <w:tcPr>
            <w:tcW w:type="dxa" w:w="4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RNF-02</w:t>
            </w:r>
          </w:p>
        </w:tc>
        <w:tc>
          <w:tcPr>
            <w:tcW w:type="dxa" w:w="2400"/>
            <w:tcMar>
              <w:top w:type="dxa" w:w="80"/>
              <w:left w:type="dxa" w:w="100"/>
              <w:bottom w:type="dxa" w:w="80"/>
              <w:right w:type="dxa" w:w="100"/>
            </w:tcMar>
          </w:tcPr>
          <w:p>
            <w:r>
              <w:rPr>
                <w:b w:val="false"/>
                <w:bCs w:val="false"/>
              </w:rPr>
              <w:t xml:space="preserve">Interoperabilidad</w:t>
            </w:r>
          </w:p>
        </w:tc>
        <w:tc>
          <w:tcPr>
            <w:tcW w:type="dxa" w:w="1200"/>
            <w:tcMar>
              <w:top w:type="dxa" w:w="80"/>
              <w:left w:type="dxa" w:w="100"/>
              <w:bottom w:type="dxa" w:w="80"/>
              <w:right w:type="dxa" w:w="100"/>
            </w:tcMar>
          </w:tcPr>
          <w:p>
            <w:r>
              <w:rPr>
                <w:b w:val="false"/>
                <w:bCs w:val="false"/>
              </w:rPr>
              <w:t xml:space="preserve">Cumplido</w:t>
            </w:r>
          </w:p>
        </w:tc>
        <w:tc>
          <w:tcPr>
            <w:tcW w:type="dxa" w:w="4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RNF-03</w:t>
            </w:r>
          </w:p>
        </w:tc>
        <w:tc>
          <w:tcPr>
            <w:tcW w:type="dxa" w:w="2400"/>
            <w:tcMar>
              <w:top w:type="dxa" w:w="80"/>
              <w:left w:type="dxa" w:w="100"/>
              <w:bottom w:type="dxa" w:w="80"/>
              <w:right w:type="dxa" w:w="100"/>
            </w:tcMar>
          </w:tcPr>
          <w:p>
            <w:r>
              <w:rPr>
                <w:b w:val="false"/>
                <w:bCs w:val="false"/>
              </w:rPr>
              <w:t xml:space="preserve">Trazabilidad y auditoría</w:t>
            </w:r>
          </w:p>
        </w:tc>
        <w:tc>
          <w:tcPr>
            <w:tcW w:type="dxa" w:w="1200"/>
            <w:tcMar>
              <w:top w:type="dxa" w:w="80"/>
              <w:left w:type="dxa" w:w="100"/>
              <w:bottom w:type="dxa" w:w="80"/>
              <w:right w:type="dxa" w:w="100"/>
            </w:tcMar>
          </w:tcPr>
          <w:p>
            <w:r>
              <w:rPr>
                <w:b w:val="false"/>
                <w:bCs w:val="false"/>
              </w:rPr>
              <w:t xml:space="preserve">Cumplido</w:t>
            </w:r>
          </w:p>
        </w:tc>
        <w:tc>
          <w:tcPr>
            <w:tcW w:type="dxa" w:w="4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RNF-04</w:t>
            </w:r>
          </w:p>
        </w:tc>
        <w:tc>
          <w:tcPr>
            <w:tcW w:type="dxa" w:w="2400"/>
            <w:tcMar>
              <w:top w:type="dxa" w:w="80"/>
              <w:left w:type="dxa" w:w="100"/>
              <w:bottom w:type="dxa" w:w="80"/>
              <w:right w:type="dxa" w:w="100"/>
            </w:tcMar>
          </w:tcPr>
          <w:p>
            <w:r>
              <w:rPr>
                <w:b w:val="false"/>
                <w:bCs w:val="false"/>
              </w:rPr>
              <w:t xml:space="preserve">Integridad documental</w:t>
            </w:r>
          </w:p>
        </w:tc>
        <w:tc>
          <w:tcPr>
            <w:tcW w:type="dxa" w:w="1200"/>
            <w:tcMar>
              <w:top w:type="dxa" w:w="80"/>
              <w:left w:type="dxa" w:w="100"/>
              <w:bottom w:type="dxa" w:w="80"/>
              <w:right w:type="dxa" w:w="100"/>
            </w:tcMar>
          </w:tcPr>
          <w:p>
            <w:r>
              <w:rPr>
                <w:b w:val="false"/>
                <w:bCs w:val="false"/>
              </w:rPr>
              <w:t xml:space="preserve">Cumplido</w:t>
            </w:r>
          </w:p>
        </w:tc>
        <w:tc>
          <w:tcPr>
            <w:tcW w:type="dxa" w:w="4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RNF-05</w:t>
            </w:r>
          </w:p>
        </w:tc>
        <w:tc>
          <w:tcPr>
            <w:tcW w:type="dxa" w:w="2400"/>
            <w:tcMar>
              <w:top w:type="dxa" w:w="80"/>
              <w:left w:type="dxa" w:w="100"/>
              <w:bottom w:type="dxa" w:w="80"/>
              <w:right w:type="dxa" w:w="100"/>
            </w:tcMar>
          </w:tcPr>
          <w:p>
            <w:r>
              <w:rPr>
                <w:b w:val="false"/>
                <w:bCs w:val="false"/>
              </w:rPr>
              <w:t xml:space="preserve">Disponibilidad ante fallas de comunicación</w:t>
            </w:r>
          </w:p>
        </w:tc>
        <w:tc>
          <w:tcPr>
            <w:tcW w:type="dxa" w:w="1200"/>
            <w:tcMar>
              <w:top w:type="dxa" w:w="80"/>
              <w:left w:type="dxa" w:w="100"/>
              <w:bottom w:type="dxa" w:w="80"/>
              <w:right w:type="dxa" w:w="100"/>
            </w:tcMar>
          </w:tcPr>
          <w:p>
            <w:r>
              <w:rPr>
                <w:b w:val="false"/>
                <w:bCs w:val="false"/>
              </w:rPr>
              <w:t xml:space="preserve">Cumplido</w:t>
            </w:r>
          </w:p>
        </w:tc>
        <w:tc>
          <w:tcPr>
            <w:tcW w:type="dxa" w:w="4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RNF-06</w:t>
            </w:r>
          </w:p>
        </w:tc>
        <w:tc>
          <w:tcPr>
            <w:tcW w:type="dxa" w:w="2400"/>
            <w:tcMar>
              <w:top w:type="dxa" w:w="80"/>
              <w:left w:type="dxa" w:w="100"/>
              <w:bottom w:type="dxa" w:w="80"/>
              <w:right w:type="dxa" w:w="100"/>
            </w:tcMar>
          </w:tcPr>
          <w:p>
            <w:r>
              <w:rPr>
                <w:b w:val="false"/>
                <w:bCs w:val="false"/>
              </w:rPr>
              <w:t xml:space="preserve">Cumplimiento normativo</w:t>
            </w:r>
          </w:p>
        </w:tc>
        <w:tc>
          <w:tcPr>
            <w:tcW w:type="dxa" w:w="1200"/>
            <w:tcMar>
              <w:top w:type="dxa" w:w="80"/>
              <w:left w:type="dxa" w:w="100"/>
              <w:bottom w:type="dxa" w:w="80"/>
              <w:right w:type="dxa" w:w="100"/>
            </w:tcMar>
          </w:tcPr>
          <w:p>
            <w:r>
              <w:rPr>
                <w:b w:val="false"/>
                <w:bCs w:val="false"/>
              </w:rPr>
              <w:t xml:space="preserve">Cumplido</w:t>
            </w:r>
          </w:p>
        </w:tc>
        <w:tc>
          <w:tcPr>
            <w:tcW w:type="dxa" w:w="4800"/>
            <w:tcMar>
              <w:top w:type="dxa" w:w="80"/>
              <w:left w:type="dxa" w:w="100"/>
              <w:bottom w:type="dxa" w:w="80"/>
              <w:right w:type="dxa" w:w="100"/>
            </w:tcMar>
          </w:tcPr>
          <w:p>
            <w:r>
              <w:rPr>
                <w:b w:val="false"/>
                <w:bCs w:val="false"/>
              </w:rPr>
              <w:t xml:space="preserve">Verificado contra el sistema en operación</w:t>
            </w:r>
          </w:p>
        </w:tc>
      </w:tr>
      <w:tr>
        <w:tc>
          <w:tcPr>
            <w:tcW w:type="dxa" w:w="800"/>
            <w:tcMar>
              <w:top w:type="dxa" w:w="80"/>
              <w:left w:type="dxa" w:w="100"/>
              <w:bottom w:type="dxa" w:w="80"/>
              <w:right w:type="dxa" w:w="100"/>
            </w:tcMar>
          </w:tcPr>
          <w:p>
            <w:r>
              <w:rPr>
                <w:b w:val="false"/>
                <w:bCs w:val="false"/>
              </w:rPr>
              <w:t xml:space="preserve">RNF-07</w:t>
            </w:r>
          </w:p>
        </w:tc>
        <w:tc>
          <w:tcPr>
            <w:tcW w:type="dxa" w:w="2400"/>
            <w:tcMar>
              <w:top w:type="dxa" w:w="80"/>
              <w:left w:type="dxa" w:w="100"/>
              <w:bottom w:type="dxa" w:w="80"/>
              <w:right w:type="dxa" w:w="100"/>
            </w:tcMar>
          </w:tcPr>
          <w:p>
            <w:r>
              <w:rPr>
                <w:b w:val="false"/>
                <w:bCs w:val="false"/>
              </w:rPr>
              <w:t xml:space="preserve">Usabilidad</w:t>
            </w:r>
          </w:p>
        </w:tc>
        <w:tc>
          <w:tcPr>
            <w:tcW w:type="dxa" w:w="1200"/>
            <w:tcMar>
              <w:top w:type="dxa" w:w="80"/>
              <w:left w:type="dxa" w:w="100"/>
              <w:bottom w:type="dxa" w:w="80"/>
              <w:right w:type="dxa" w:w="100"/>
            </w:tcMar>
          </w:tcPr>
          <w:p>
            <w:r>
              <w:rPr>
                <w:b w:val="false"/>
                <w:bCs w:val="false"/>
              </w:rPr>
              <w:t xml:space="preserve">Cumplido</w:t>
            </w:r>
          </w:p>
        </w:tc>
        <w:tc>
          <w:tcPr>
            <w:tcW w:type="dxa" w:w="4800"/>
            <w:tcMar>
              <w:top w:type="dxa" w:w="80"/>
              <w:left w:type="dxa" w:w="100"/>
              <w:bottom w:type="dxa" w:w="80"/>
              <w:right w:type="dxa" w:w="100"/>
            </w:tcMar>
          </w:tcPr>
          <w:p>
            <w:r>
              <w:rPr>
                <w:b w:val="false"/>
                <w:bCs w:val="false"/>
              </w:rPr>
              <w:t xml:space="preserve">Verificado contra el sistema en operación</w:t>
            </w:r>
          </w:p>
        </w:tc>
      </w:tr>
    </w:tbl>
    <w:p>
      <w:pPr>
        <w:pStyle w:val="Heading1"/>
        <w:spacing w:after="160" w:before="320"/>
      </w:pPr>
      <w:r>
        <w:t xml:space="preserve">5. Catálogo de motivos de rechazo/observación — vigencia</w:t>
      </w:r>
    </w:p>
    <w:p>
      <w:pPr>
        <w:spacing w:after="140"/>
      </w:pPr>
      <w:r>
        <w:t xml:space="preserve">Catálogo vigente para el proceso saliente (clave 101-134):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6552"/>
        <w:gridCol w:w="1685"/>
      </w:tblGrid>
      <w:tr>
        <w:trPr>
          <w:tblHeader/>
        </w:trPr>
        <w:tc>
          <w:tcPr>
            <w:tcW w:type="dxa" w:w="1123"/>
            <w:shd w:fill="DCE6F1" w:val="clear"/>
            <w:tcMar>
              <w:top w:type="dxa" w:w="80"/>
              <w:left w:type="dxa" w:w="100"/>
              <w:bottom w:type="dxa" w:w="80"/>
              <w:right w:type="dxa" w:w="100"/>
            </w:tcMar>
          </w:tcPr>
          <w:p>
            <w:r>
              <w:rPr>
                <w:b/>
                <w:bCs/>
              </w:rPr>
              <w:t xml:space="preserve">Código</w:t>
            </w:r>
          </w:p>
        </w:tc>
        <w:tc>
          <w:tcPr>
            <w:tcW w:type="dxa" w:w="6552"/>
            <w:shd w:fill="DCE6F1" w:val="clear"/>
            <w:tcMar>
              <w:top w:type="dxa" w:w="80"/>
              <w:left w:type="dxa" w:w="100"/>
              <w:bottom w:type="dxa" w:w="80"/>
              <w:right w:type="dxa" w:w="100"/>
            </w:tcMar>
          </w:tcPr>
          <w:p>
            <w:r>
              <w:rPr>
                <w:b/>
                <w:bCs/>
              </w:rPr>
              <w:t xml:space="preserve">Motivo</w:t>
            </w:r>
          </w:p>
        </w:tc>
        <w:tc>
          <w:tcPr>
            <w:tcW w:type="dxa" w:w="1685"/>
            <w:shd w:fill="DCE6F1" w:val="clear"/>
            <w:tcMar>
              <w:top w:type="dxa" w:w="80"/>
              <w:left w:type="dxa" w:w="100"/>
              <w:bottom w:type="dxa" w:w="80"/>
              <w:right w:type="dxa" w:w="100"/>
            </w:tcMar>
          </w:tcPr>
          <w:p>
            <w:r>
              <w:rPr>
                <w:b/>
                <w:bCs/>
              </w:rPr>
              <w:t xml:space="preserve">Estado</w:t>
            </w:r>
          </w:p>
        </w:tc>
      </w:tr>
      <w:tr>
        <w:tc>
          <w:tcPr>
            <w:tcW w:type="dxa" w:w="1123"/>
            <w:tcMar>
              <w:top w:type="dxa" w:w="80"/>
              <w:left w:type="dxa" w:w="100"/>
              <w:bottom w:type="dxa" w:w="80"/>
              <w:right w:type="dxa" w:w="100"/>
            </w:tcMar>
          </w:tcPr>
          <w:p>
            <w:r>
              <w:rPr>
                <w:b w:val="false"/>
                <w:bCs w:val="false"/>
              </w:rPr>
              <w:t xml:space="preserve">101</w:t>
            </w:r>
          </w:p>
        </w:tc>
        <w:tc>
          <w:tcPr>
            <w:tcW w:type="dxa" w:w="6552"/>
            <w:tcMar>
              <w:top w:type="dxa" w:w="80"/>
              <w:left w:type="dxa" w:w="100"/>
              <w:bottom w:type="dxa" w:w="80"/>
              <w:right w:type="dxa" w:w="100"/>
            </w:tcMar>
          </w:tcPr>
          <w:p>
            <w:r>
              <w:rPr>
                <w:b w:val="false"/>
                <w:bCs w:val="false"/>
              </w:rPr>
              <w:t xml:space="preserve">La solicitud no logró firmarse de forma exitosa.</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102</w:t>
            </w:r>
          </w:p>
        </w:tc>
        <w:tc>
          <w:tcPr>
            <w:tcW w:type="dxa" w:w="6552"/>
            <w:tcMar>
              <w:top w:type="dxa" w:w="80"/>
              <w:left w:type="dxa" w:w="100"/>
              <w:bottom w:type="dxa" w:w="80"/>
              <w:right w:type="dxa" w:w="100"/>
            </w:tcMar>
          </w:tcPr>
          <w:p>
            <w:r>
              <w:rPr>
                <w:b w:val="false"/>
                <w:bCs w:val="false"/>
              </w:rPr>
              <w:t xml:space="preserve">La solicitud no pudo ser registrada.</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103</w:t>
            </w:r>
          </w:p>
        </w:tc>
        <w:tc>
          <w:tcPr>
            <w:tcW w:type="dxa" w:w="6552"/>
            <w:tcMar>
              <w:top w:type="dxa" w:w="80"/>
              <w:left w:type="dxa" w:w="100"/>
              <w:bottom w:type="dxa" w:w="80"/>
              <w:right w:type="dxa" w:w="100"/>
            </w:tcMar>
          </w:tcPr>
          <w:p>
            <w:r>
              <w:rPr>
                <w:b w:val="false"/>
                <w:bCs w:val="false"/>
              </w:rPr>
              <w:t xml:space="preserve">Régimen pensionario incorrecto o sin asignar.</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104</w:t>
            </w:r>
          </w:p>
        </w:tc>
        <w:tc>
          <w:tcPr>
            <w:tcW w:type="dxa" w:w="6552"/>
            <w:tcMar>
              <w:top w:type="dxa" w:w="80"/>
              <w:left w:type="dxa" w:w="100"/>
              <w:bottom w:type="dxa" w:w="80"/>
              <w:right w:type="dxa" w:w="100"/>
            </w:tcMar>
          </w:tcPr>
          <w:p>
            <w:r>
              <w:rPr>
                <w:b w:val="false"/>
                <w:bCs w:val="false"/>
              </w:rPr>
              <w:t xml:space="preserve">Sólo aplica para régimen ordinario.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105</w:t>
            </w:r>
          </w:p>
        </w:tc>
        <w:tc>
          <w:tcPr>
            <w:tcW w:type="dxa" w:w="6552"/>
            <w:tcMar>
              <w:top w:type="dxa" w:w="80"/>
              <w:left w:type="dxa" w:w="100"/>
              <w:bottom w:type="dxa" w:w="80"/>
              <w:right w:type="dxa" w:w="100"/>
            </w:tcMar>
          </w:tcPr>
          <w:p>
            <w:r>
              <w:rPr>
                <w:b w:val="false"/>
                <w:bCs w:val="false"/>
              </w:rPr>
              <w:t xml:space="preserve">Información no coincidente con la registrada en RENAPO y/o CURP con estatus de baja en RENAPO.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106</w:t>
            </w:r>
          </w:p>
        </w:tc>
        <w:tc>
          <w:tcPr>
            <w:tcW w:type="dxa" w:w="6552"/>
            <w:tcMar>
              <w:top w:type="dxa" w:w="80"/>
              <w:left w:type="dxa" w:w="100"/>
              <w:bottom w:type="dxa" w:w="80"/>
              <w:right w:type="dxa" w:w="100"/>
            </w:tcMar>
          </w:tcPr>
          <w:p>
            <w:r>
              <w:rPr>
                <w:b w:val="false"/>
                <w:bCs w:val="false"/>
              </w:rPr>
              <w:t xml:space="preserve">Estatus de vigencia indeterminado.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107</w:t>
            </w:r>
          </w:p>
        </w:tc>
        <w:tc>
          <w:tcPr>
            <w:tcW w:type="dxa" w:w="6552"/>
            <w:tcMar>
              <w:top w:type="dxa" w:w="80"/>
              <w:left w:type="dxa" w:w="100"/>
              <w:bottom w:type="dxa" w:w="80"/>
              <w:right w:type="dxa" w:w="100"/>
            </w:tcMar>
          </w:tcPr>
          <w:p>
            <w:r>
              <w:rPr>
                <w:b w:val="false"/>
                <w:bCs w:val="false"/>
              </w:rPr>
              <w:t xml:space="preserve">Ya presenta un beneficio pensionario.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108</w:t>
            </w:r>
          </w:p>
        </w:tc>
        <w:tc>
          <w:tcPr>
            <w:tcW w:type="dxa" w:w="6552"/>
            <w:tcMar>
              <w:top w:type="dxa" w:w="80"/>
              <w:left w:type="dxa" w:w="100"/>
              <w:bottom w:type="dxa" w:w="80"/>
              <w:right w:type="dxa" w:w="100"/>
            </w:tcMar>
          </w:tcPr>
          <w:p>
            <w:r>
              <w:rPr>
                <w:b w:val="false"/>
                <w:bCs w:val="false"/>
              </w:rPr>
              <w:t xml:space="preserve">Marca de beneficio pensionario en el historial de cotización.</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109</w:t>
            </w:r>
          </w:p>
        </w:tc>
        <w:tc>
          <w:tcPr>
            <w:tcW w:type="dxa" w:w="6552"/>
            <w:tcMar>
              <w:top w:type="dxa" w:w="80"/>
              <w:left w:type="dxa" w:w="100"/>
              <w:bottom w:type="dxa" w:w="80"/>
              <w:right w:type="dxa" w:w="100"/>
            </w:tcMar>
          </w:tcPr>
          <w:p>
            <w:r>
              <w:rPr>
                <w:b w:val="false"/>
                <w:bCs w:val="false"/>
              </w:rPr>
              <w:t xml:space="preserve">Inconsistencias en la marca de IGen el historial de cotización.</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110</w:t>
            </w:r>
          </w:p>
        </w:tc>
        <w:tc>
          <w:tcPr>
            <w:tcW w:type="dxa" w:w="6552"/>
            <w:tcMar>
              <w:top w:type="dxa" w:w="80"/>
              <w:left w:type="dxa" w:w="100"/>
              <w:bottom w:type="dxa" w:w="80"/>
              <w:right w:type="dxa" w:w="100"/>
            </w:tcMar>
          </w:tcPr>
          <w:p>
            <w:r>
              <w:rPr>
                <w:b w:val="false"/>
                <w:bCs w:val="false"/>
              </w:rPr>
              <w:t xml:space="preserve">Trámite de portabilidad de derechos previo.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111</w:t>
            </w:r>
          </w:p>
        </w:tc>
        <w:tc>
          <w:tcPr>
            <w:tcW w:type="dxa" w:w="6552"/>
            <w:tcMar>
              <w:top w:type="dxa" w:w="80"/>
              <w:left w:type="dxa" w:w="100"/>
              <w:bottom w:type="dxa" w:w="80"/>
              <w:right w:type="dxa" w:w="100"/>
            </w:tcMar>
          </w:tcPr>
          <w:p>
            <w:r>
              <w:rPr>
                <w:b w:val="false"/>
                <w:bCs w:val="false"/>
              </w:rPr>
              <w:t xml:space="preserve">Inconsistencias en el historial de cotización.</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112</w:t>
            </w:r>
          </w:p>
        </w:tc>
        <w:tc>
          <w:tcPr>
            <w:tcW w:type="dxa" w:w="6552"/>
            <w:tcMar>
              <w:top w:type="dxa" w:w="80"/>
              <w:left w:type="dxa" w:w="100"/>
              <w:bottom w:type="dxa" w:w="80"/>
              <w:right w:type="dxa" w:w="100"/>
            </w:tcMar>
          </w:tcPr>
          <w:p>
            <w:r>
              <w:rPr>
                <w:b w:val="false"/>
                <w:bCs w:val="false"/>
              </w:rPr>
              <w:t xml:space="preserve">No cuenta con antigüedad cotizante al fondo de pensiones.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113</w:t>
            </w:r>
          </w:p>
        </w:tc>
        <w:tc>
          <w:tcPr>
            <w:tcW w:type="dxa" w:w="6552"/>
            <w:tcMar>
              <w:top w:type="dxa" w:w="80"/>
              <w:left w:type="dxa" w:w="100"/>
              <w:bottom w:type="dxa" w:w="80"/>
              <w:right w:type="dxa" w:w="100"/>
            </w:tcMar>
          </w:tcPr>
          <w:p>
            <w:r>
              <w:rPr>
                <w:b w:val="false"/>
                <w:bCs w:val="false"/>
              </w:rPr>
              <w:t xml:space="preserve">Inconsistencia en régimen pensionario (Activo LISSSTE sin Bono).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114</w:t>
            </w:r>
          </w:p>
        </w:tc>
        <w:tc>
          <w:tcPr>
            <w:tcW w:type="dxa" w:w="6552"/>
            <w:tcMar>
              <w:top w:type="dxa" w:w="80"/>
              <w:left w:type="dxa" w:w="100"/>
              <w:bottom w:type="dxa" w:w="80"/>
              <w:right w:type="dxa" w:w="100"/>
            </w:tcMar>
          </w:tcPr>
          <w:p>
            <w:r>
              <w:rPr>
                <w:b w:val="false"/>
                <w:bCs w:val="false"/>
              </w:rPr>
              <w:t xml:space="preserve">Periodos previos a la entrada en vigor de la LISSSTE no actualizados.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115</w:t>
            </w:r>
          </w:p>
        </w:tc>
        <w:tc>
          <w:tcPr>
            <w:tcW w:type="dxa" w:w="6552"/>
            <w:tcMar>
              <w:top w:type="dxa" w:w="80"/>
              <w:left w:type="dxa" w:w="100"/>
              <w:bottom w:type="dxa" w:w="80"/>
              <w:right w:type="dxa" w:w="100"/>
            </w:tcMar>
          </w:tcPr>
          <w:p>
            <w:r>
              <w:rPr>
                <w:b w:val="false"/>
                <w:bCs w:val="false"/>
              </w:rPr>
              <w:t xml:space="preserve">Rechazado por el otro Instituto (WS1).</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116</w:t>
            </w:r>
          </w:p>
        </w:tc>
        <w:tc>
          <w:tcPr>
            <w:tcW w:type="dxa" w:w="6552"/>
            <w:tcMar>
              <w:top w:type="dxa" w:w="80"/>
              <w:left w:type="dxa" w:w="100"/>
              <w:bottom w:type="dxa" w:w="80"/>
              <w:right w:type="dxa" w:w="100"/>
            </w:tcMar>
          </w:tcPr>
          <w:p>
            <w:r>
              <w:rPr>
                <w:b w:val="false"/>
                <w:bCs w:val="false"/>
              </w:rPr>
              <w:t xml:space="preserve">Vigente en el otro Instituto o su fecha de baja es posterior a la de este Instituto.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117</w:t>
            </w:r>
          </w:p>
        </w:tc>
        <w:tc>
          <w:tcPr>
            <w:tcW w:type="dxa" w:w="6552"/>
            <w:tcMar>
              <w:top w:type="dxa" w:w="80"/>
              <w:left w:type="dxa" w:w="100"/>
              <w:bottom w:type="dxa" w:w="80"/>
              <w:right w:type="dxa" w:w="100"/>
            </w:tcMar>
          </w:tcPr>
          <w:p>
            <w:r>
              <w:rPr>
                <w:b w:val="false"/>
                <w:bCs w:val="false"/>
              </w:rPr>
              <w:t xml:space="preserve">Beneficio pensionario previo marcado en PROCESAR.</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118</w:t>
            </w:r>
          </w:p>
        </w:tc>
        <w:tc>
          <w:tcPr>
            <w:tcW w:type="dxa" w:w="6552"/>
            <w:tcMar>
              <w:top w:type="dxa" w:w="80"/>
              <w:left w:type="dxa" w:w="100"/>
              <w:bottom w:type="dxa" w:w="80"/>
              <w:right w:type="dxa" w:w="100"/>
            </w:tcMar>
          </w:tcPr>
          <w:p>
            <w:r>
              <w:rPr>
                <w:b w:val="false"/>
                <w:bCs w:val="false"/>
              </w:rPr>
              <w:t xml:space="preserve">Rechazado por PROCESAR (WS2).</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119</w:t>
            </w:r>
          </w:p>
        </w:tc>
        <w:tc>
          <w:tcPr>
            <w:tcW w:type="dxa" w:w="6552"/>
            <w:tcMar>
              <w:top w:type="dxa" w:w="80"/>
              <w:left w:type="dxa" w:w="100"/>
              <w:bottom w:type="dxa" w:w="80"/>
              <w:right w:type="dxa" w:w="100"/>
            </w:tcMar>
          </w:tcPr>
          <w:p>
            <w:r>
              <w:rPr>
                <w:b w:val="false"/>
                <w:bCs w:val="false"/>
              </w:rPr>
              <w:t xml:space="preserve">Rechazado por el otro Instituto (WS3).</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120</w:t>
            </w:r>
          </w:p>
        </w:tc>
        <w:tc>
          <w:tcPr>
            <w:tcW w:type="dxa" w:w="6552"/>
            <w:tcMar>
              <w:top w:type="dxa" w:w="80"/>
              <w:left w:type="dxa" w:w="100"/>
              <w:bottom w:type="dxa" w:w="80"/>
              <w:right w:type="dxa" w:w="100"/>
            </w:tcMar>
          </w:tcPr>
          <w:p>
            <w:r>
              <w:rPr>
                <w:b w:val="false"/>
                <w:bCs w:val="false"/>
              </w:rPr>
              <w:t xml:space="preserve">Sin beneficio pensionario posible.</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121</w:t>
            </w:r>
          </w:p>
        </w:tc>
        <w:tc>
          <w:tcPr>
            <w:tcW w:type="dxa" w:w="6552"/>
            <w:tcMar>
              <w:top w:type="dxa" w:w="80"/>
              <w:left w:type="dxa" w:w="100"/>
              <w:bottom w:type="dxa" w:w="80"/>
              <w:right w:type="dxa" w:w="100"/>
            </w:tcMar>
          </w:tcPr>
          <w:p>
            <w:r>
              <w:rPr>
                <w:b w:val="false"/>
                <w:bCs w:val="false"/>
              </w:rPr>
              <w:t xml:space="preserve">Rechazado por el otro Instituto (WS6).</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122</w:t>
            </w:r>
          </w:p>
        </w:tc>
        <w:tc>
          <w:tcPr>
            <w:tcW w:type="dxa" w:w="6552"/>
            <w:tcMar>
              <w:top w:type="dxa" w:w="80"/>
              <w:left w:type="dxa" w:w="100"/>
              <w:bottom w:type="dxa" w:w="80"/>
              <w:right w:type="dxa" w:w="100"/>
            </w:tcMar>
          </w:tcPr>
          <w:p>
            <w:r>
              <w:rPr>
                <w:b w:val="false"/>
                <w:bCs w:val="false"/>
              </w:rPr>
              <w:t xml:space="preserve">No fue posible notificar a PROCESAR conclusión exitosa del trámite.</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123</w:t>
            </w:r>
          </w:p>
        </w:tc>
        <w:tc>
          <w:tcPr>
            <w:tcW w:type="dxa" w:w="6552"/>
            <w:tcMar>
              <w:top w:type="dxa" w:w="80"/>
              <w:left w:type="dxa" w:w="100"/>
              <w:bottom w:type="dxa" w:w="80"/>
              <w:right w:type="dxa" w:w="100"/>
            </w:tcMar>
          </w:tcPr>
          <w:p>
            <w:r>
              <w:rPr>
                <w:b w:val="false"/>
                <w:bCs w:val="false"/>
              </w:rPr>
              <w:t xml:space="preserve">Falla de comunicación en proceso de dictaminación (WS7).</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124</w:t>
            </w:r>
          </w:p>
        </w:tc>
        <w:tc>
          <w:tcPr>
            <w:tcW w:type="dxa" w:w="6552"/>
            <w:tcMar>
              <w:top w:type="dxa" w:w="80"/>
              <w:left w:type="dxa" w:w="100"/>
              <w:bottom w:type="dxa" w:w="80"/>
              <w:right w:type="dxa" w:w="100"/>
            </w:tcMar>
          </w:tcPr>
          <w:p>
            <w:r>
              <w:rPr>
                <w:b w:val="false"/>
                <w:bCs w:val="false"/>
              </w:rPr>
              <w:t xml:space="preserve">Falla de comunicación en notificación de procedencia (WS6).</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125</w:t>
            </w:r>
          </w:p>
        </w:tc>
        <w:tc>
          <w:tcPr>
            <w:tcW w:type="dxa" w:w="6552"/>
            <w:tcMar>
              <w:top w:type="dxa" w:w="80"/>
              <w:left w:type="dxa" w:w="100"/>
              <w:bottom w:type="dxa" w:w="80"/>
              <w:right w:type="dxa" w:w="100"/>
            </w:tcMar>
          </w:tcPr>
          <w:p>
            <w:r>
              <w:rPr>
                <w:b w:val="false"/>
                <w:bCs w:val="false"/>
              </w:rPr>
              <w:t xml:space="preserve">Falla de comunicación en notificación de conclusión (WS4).</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126</w:t>
            </w:r>
          </w:p>
        </w:tc>
        <w:tc>
          <w:tcPr>
            <w:tcW w:type="dxa" w:w="6552"/>
            <w:tcMar>
              <w:top w:type="dxa" w:w="80"/>
              <w:left w:type="dxa" w:w="100"/>
              <w:bottom w:type="dxa" w:w="80"/>
              <w:right w:type="dxa" w:w="100"/>
            </w:tcMar>
          </w:tcPr>
          <w:p>
            <w:r>
              <w:rPr>
                <w:b w:val="false"/>
                <w:bCs w:val="false"/>
              </w:rPr>
              <w:t xml:space="preserve">Falla de comunicación en notificación de rechazo (WS5).</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127</w:t>
            </w:r>
          </w:p>
        </w:tc>
        <w:tc>
          <w:tcPr>
            <w:tcW w:type="dxa" w:w="6552"/>
            <w:tcMar>
              <w:top w:type="dxa" w:w="80"/>
              <w:left w:type="dxa" w:w="100"/>
              <w:bottom w:type="dxa" w:w="80"/>
              <w:right w:type="dxa" w:w="100"/>
            </w:tcMar>
          </w:tcPr>
          <w:p>
            <w:r>
              <w:rPr>
                <w:b w:val="false"/>
                <w:bCs w:val="false"/>
              </w:rPr>
              <w:t xml:space="preserve">Falla de comunicación al consultar RENAPO.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128</w:t>
            </w:r>
          </w:p>
        </w:tc>
        <w:tc>
          <w:tcPr>
            <w:tcW w:type="dxa" w:w="6552"/>
            <w:tcMar>
              <w:top w:type="dxa" w:w="80"/>
              <w:left w:type="dxa" w:w="100"/>
              <w:bottom w:type="dxa" w:w="80"/>
              <w:right w:type="dxa" w:w="100"/>
            </w:tcMar>
          </w:tcPr>
          <w:p>
            <w:r>
              <w:rPr>
                <w:b w:val="false"/>
                <w:bCs w:val="false"/>
              </w:rPr>
              <w:t xml:space="preserve">Falla de comunicación en consulta básica (WS1).</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129</w:t>
            </w:r>
          </w:p>
        </w:tc>
        <w:tc>
          <w:tcPr>
            <w:tcW w:type="dxa" w:w="6552"/>
            <w:tcMar>
              <w:top w:type="dxa" w:w="80"/>
              <w:left w:type="dxa" w:w="100"/>
              <w:bottom w:type="dxa" w:w="80"/>
              <w:right w:type="dxa" w:w="100"/>
            </w:tcMar>
          </w:tcPr>
          <w:p>
            <w:r>
              <w:rPr>
                <w:b w:val="false"/>
                <w:bCs w:val="false"/>
              </w:rPr>
              <w:t xml:space="preserve">Falla de comunicación al realizar la inserción en PROCESAR (WS2).</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130</w:t>
            </w:r>
          </w:p>
        </w:tc>
        <w:tc>
          <w:tcPr>
            <w:tcW w:type="dxa" w:w="6552"/>
            <w:tcMar>
              <w:top w:type="dxa" w:w="80"/>
              <w:left w:type="dxa" w:w="100"/>
              <w:bottom w:type="dxa" w:w="80"/>
              <w:right w:type="dxa" w:w="100"/>
            </w:tcMar>
          </w:tcPr>
          <w:p>
            <w:r>
              <w:rPr>
                <w:b w:val="false"/>
                <w:bCs w:val="false"/>
              </w:rPr>
              <w:t xml:space="preserve">Falla de comunicación en consulta robusta (WS3).</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131</w:t>
            </w:r>
          </w:p>
        </w:tc>
        <w:tc>
          <w:tcPr>
            <w:tcW w:type="dxa" w:w="6552"/>
            <w:tcMar>
              <w:top w:type="dxa" w:w="80"/>
              <w:left w:type="dxa" w:w="100"/>
              <w:bottom w:type="dxa" w:w="80"/>
              <w:right w:type="dxa" w:w="100"/>
            </w:tcMar>
          </w:tcPr>
          <w:p>
            <w:r>
              <w:rPr>
                <w:b w:val="false"/>
                <w:bCs w:val="false"/>
              </w:rPr>
              <w:t xml:space="preserve">Falla de comunicación de saldos preliminares (WS-SaldosPreliminares).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132</w:t>
            </w:r>
          </w:p>
        </w:tc>
        <w:tc>
          <w:tcPr>
            <w:tcW w:type="dxa" w:w="6552"/>
            <w:tcMar>
              <w:top w:type="dxa" w:w="80"/>
              <w:left w:type="dxa" w:w="100"/>
              <w:bottom w:type="dxa" w:w="80"/>
              <w:right w:type="dxa" w:w="100"/>
            </w:tcMar>
          </w:tcPr>
          <w:p>
            <w:r>
              <w:rPr>
                <w:b w:val="false"/>
                <w:bCs w:val="false"/>
              </w:rPr>
              <w:t xml:space="preserve">Falla de comunicación con CNSF.</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133</w:t>
            </w:r>
          </w:p>
        </w:tc>
        <w:tc>
          <w:tcPr>
            <w:tcW w:type="dxa" w:w="6552"/>
            <w:tcMar>
              <w:top w:type="dxa" w:w="80"/>
              <w:left w:type="dxa" w:w="100"/>
              <w:bottom w:type="dxa" w:w="80"/>
              <w:right w:type="dxa" w:w="100"/>
            </w:tcMar>
          </w:tcPr>
          <w:p>
            <w:r>
              <w:rPr>
                <w:b w:val="false"/>
                <w:bCs w:val="false"/>
              </w:rPr>
              <w:t xml:space="preserve">Rechazo de saldos preliminares.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134</w:t>
            </w:r>
          </w:p>
        </w:tc>
        <w:tc>
          <w:tcPr>
            <w:tcW w:type="dxa" w:w="6552"/>
            <w:tcMar>
              <w:top w:type="dxa" w:w="80"/>
              <w:left w:type="dxa" w:w="100"/>
              <w:bottom w:type="dxa" w:w="80"/>
              <w:right w:type="dxa" w:w="100"/>
            </w:tcMar>
          </w:tcPr>
          <w:p>
            <w:r>
              <w:rPr>
                <w:b w:val="false"/>
                <w:bCs w:val="false"/>
              </w:rPr>
              <w:t xml:space="preserve">Sin saldo suficiente en la cuenta individual (CNSF).</w:t>
            </w:r>
          </w:p>
        </w:tc>
        <w:tc>
          <w:tcPr>
            <w:tcW w:type="dxa" w:w="1685"/>
            <w:tcMar>
              <w:top w:type="dxa" w:w="80"/>
              <w:left w:type="dxa" w:w="100"/>
              <w:bottom w:type="dxa" w:w="80"/>
              <w:right w:type="dxa" w:w="100"/>
            </w:tcMar>
          </w:tcPr>
          <w:p>
            <w:r>
              <w:rPr>
                <w:b w:val="false"/>
                <w:bCs w:val="false"/>
              </w:rPr>
              <w:t xml:space="preserve">Vigente</w:t>
            </w:r>
          </w:p>
        </w:tc>
      </w:tr>
    </w:tbl>
    <w:p>
      <w:pPr>
        <w:spacing w:after="140"/>
      </w:pPr>
      <w:r>
        <w:t xml:space="preserve">Catálogo vigente para el proceso entrante (clave 201-225):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6552"/>
        <w:gridCol w:w="1685"/>
      </w:tblGrid>
      <w:tr>
        <w:trPr>
          <w:tblHeader/>
        </w:trPr>
        <w:tc>
          <w:tcPr>
            <w:tcW w:type="dxa" w:w="1123"/>
            <w:shd w:fill="DCE6F1" w:val="clear"/>
            <w:tcMar>
              <w:top w:type="dxa" w:w="80"/>
              <w:left w:type="dxa" w:w="100"/>
              <w:bottom w:type="dxa" w:w="80"/>
              <w:right w:type="dxa" w:w="100"/>
            </w:tcMar>
          </w:tcPr>
          <w:p>
            <w:r>
              <w:rPr>
                <w:b/>
                <w:bCs/>
              </w:rPr>
              <w:t xml:space="preserve">Código</w:t>
            </w:r>
          </w:p>
        </w:tc>
        <w:tc>
          <w:tcPr>
            <w:tcW w:type="dxa" w:w="6552"/>
            <w:shd w:fill="DCE6F1" w:val="clear"/>
            <w:tcMar>
              <w:top w:type="dxa" w:w="80"/>
              <w:left w:type="dxa" w:w="100"/>
              <w:bottom w:type="dxa" w:w="80"/>
              <w:right w:type="dxa" w:w="100"/>
            </w:tcMar>
          </w:tcPr>
          <w:p>
            <w:r>
              <w:rPr>
                <w:b/>
                <w:bCs/>
              </w:rPr>
              <w:t xml:space="preserve">Motivo</w:t>
            </w:r>
          </w:p>
        </w:tc>
        <w:tc>
          <w:tcPr>
            <w:tcW w:type="dxa" w:w="1685"/>
            <w:shd w:fill="DCE6F1" w:val="clear"/>
            <w:tcMar>
              <w:top w:type="dxa" w:w="80"/>
              <w:left w:type="dxa" w:w="100"/>
              <w:bottom w:type="dxa" w:w="80"/>
              <w:right w:type="dxa" w:w="100"/>
            </w:tcMar>
          </w:tcPr>
          <w:p>
            <w:r>
              <w:rPr>
                <w:b/>
                <w:bCs/>
              </w:rPr>
              <w:t xml:space="preserve">Estado</w:t>
            </w:r>
          </w:p>
        </w:tc>
      </w:tr>
      <w:tr>
        <w:tc>
          <w:tcPr>
            <w:tcW w:type="dxa" w:w="1123"/>
            <w:tcMar>
              <w:top w:type="dxa" w:w="80"/>
              <w:left w:type="dxa" w:w="100"/>
              <w:bottom w:type="dxa" w:w="80"/>
              <w:right w:type="dxa" w:w="100"/>
            </w:tcMar>
          </w:tcPr>
          <w:p>
            <w:r>
              <w:rPr>
                <w:b w:val="false"/>
                <w:bCs w:val="false"/>
              </w:rPr>
              <w:t xml:space="preserve">201</w:t>
            </w:r>
          </w:p>
        </w:tc>
        <w:tc>
          <w:tcPr>
            <w:tcW w:type="dxa" w:w="6552"/>
            <w:tcMar>
              <w:top w:type="dxa" w:w="80"/>
              <w:left w:type="dxa" w:w="100"/>
              <w:bottom w:type="dxa" w:w="80"/>
              <w:right w:type="dxa" w:w="100"/>
            </w:tcMar>
          </w:tcPr>
          <w:p>
            <w:r>
              <w:rPr>
                <w:b w:val="false"/>
                <w:bCs w:val="false"/>
              </w:rPr>
              <w:t xml:space="preserve">Información requerida no proporcionada.</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202</w:t>
            </w:r>
          </w:p>
        </w:tc>
        <w:tc>
          <w:tcPr>
            <w:tcW w:type="dxa" w:w="6552"/>
            <w:tcMar>
              <w:top w:type="dxa" w:w="80"/>
              <w:left w:type="dxa" w:w="100"/>
              <w:bottom w:type="dxa" w:w="80"/>
              <w:right w:type="dxa" w:w="100"/>
            </w:tcMar>
          </w:tcPr>
          <w:p>
            <w:r>
              <w:rPr>
                <w:b w:val="false"/>
                <w:bCs w:val="false"/>
              </w:rPr>
              <w:t xml:space="preserve">Trabajador no existe en BDUD.</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203</w:t>
            </w:r>
          </w:p>
        </w:tc>
        <w:tc>
          <w:tcPr>
            <w:tcW w:type="dxa" w:w="6552"/>
            <w:tcMar>
              <w:top w:type="dxa" w:w="80"/>
              <w:left w:type="dxa" w:w="100"/>
              <w:bottom w:type="dxa" w:w="80"/>
              <w:right w:type="dxa" w:w="100"/>
            </w:tcMar>
          </w:tcPr>
          <w:p>
            <w:r>
              <w:rPr>
                <w:b w:val="false"/>
                <w:bCs w:val="false"/>
              </w:rPr>
              <w:t xml:space="preserve">Trámite previo de portabilidad de derechos.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204</w:t>
            </w:r>
          </w:p>
        </w:tc>
        <w:tc>
          <w:tcPr>
            <w:tcW w:type="dxa" w:w="6552"/>
            <w:tcMar>
              <w:top w:type="dxa" w:w="80"/>
              <w:left w:type="dxa" w:w="100"/>
              <w:bottom w:type="dxa" w:w="80"/>
              <w:right w:type="dxa" w:w="100"/>
            </w:tcMar>
          </w:tcPr>
          <w:p>
            <w:r>
              <w:rPr>
                <w:b w:val="false"/>
                <w:bCs w:val="false"/>
              </w:rPr>
              <w:t xml:space="preserve">Trabajador activo.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205</w:t>
            </w:r>
          </w:p>
        </w:tc>
        <w:tc>
          <w:tcPr>
            <w:tcW w:type="dxa" w:w="6552"/>
            <w:tcMar>
              <w:top w:type="dxa" w:w="80"/>
              <w:left w:type="dxa" w:w="100"/>
              <w:bottom w:type="dxa" w:w="80"/>
              <w:right w:type="dxa" w:w="100"/>
            </w:tcMar>
          </w:tcPr>
          <w:p>
            <w:r>
              <w:rPr>
                <w:b w:val="false"/>
                <w:bCs w:val="false"/>
              </w:rPr>
              <w:t xml:space="preserve">Información no coincidente con la registrada en RENAPO.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206</w:t>
            </w:r>
          </w:p>
        </w:tc>
        <w:tc>
          <w:tcPr>
            <w:tcW w:type="dxa" w:w="6552"/>
            <w:tcMar>
              <w:top w:type="dxa" w:w="80"/>
              <w:left w:type="dxa" w:w="100"/>
              <w:bottom w:type="dxa" w:w="80"/>
              <w:right w:type="dxa" w:w="100"/>
            </w:tcMar>
          </w:tcPr>
          <w:p>
            <w:r>
              <w:rPr>
                <w:b w:val="false"/>
                <w:bCs w:val="false"/>
              </w:rPr>
              <w:t xml:space="preserve">CURP con estatus de baja en RENAPO.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207</w:t>
            </w:r>
          </w:p>
        </w:tc>
        <w:tc>
          <w:tcPr>
            <w:tcW w:type="dxa" w:w="6552"/>
            <w:tcMar>
              <w:top w:type="dxa" w:w="80"/>
              <w:left w:type="dxa" w:w="100"/>
              <w:bottom w:type="dxa" w:w="80"/>
              <w:right w:type="dxa" w:w="100"/>
            </w:tcMar>
          </w:tcPr>
          <w:p>
            <w:r>
              <w:rPr>
                <w:b w:val="false"/>
                <w:bCs w:val="false"/>
              </w:rPr>
              <w:t xml:space="preserve">Estatus de finado en la BDUD.</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208</w:t>
            </w:r>
          </w:p>
        </w:tc>
        <w:tc>
          <w:tcPr>
            <w:tcW w:type="dxa" w:w="6552"/>
            <w:tcMar>
              <w:top w:type="dxa" w:w="80"/>
              <w:left w:type="dxa" w:w="100"/>
              <w:bottom w:type="dxa" w:w="80"/>
              <w:right w:type="dxa" w:w="100"/>
            </w:tcMar>
          </w:tcPr>
          <w:p>
            <w:r>
              <w:rPr>
                <w:b w:val="false"/>
                <w:bCs w:val="false"/>
              </w:rPr>
              <w:t xml:space="preserve">Estatus de vigencia indeterminado.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209</w:t>
            </w:r>
          </w:p>
        </w:tc>
        <w:tc>
          <w:tcPr>
            <w:tcW w:type="dxa" w:w="6552"/>
            <w:tcMar>
              <w:top w:type="dxa" w:w="80"/>
              <w:left w:type="dxa" w:w="100"/>
              <w:bottom w:type="dxa" w:w="80"/>
              <w:right w:type="dxa" w:w="100"/>
            </w:tcMar>
          </w:tcPr>
          <w:p>
            <w:r>
              <w:rPr>
                <w:b w:val="false"/>
                <w:bCs w:val="false"/>
              </w:rPr>
              <w:t xml:space="preserve">Régimen pensionario incorrecto o sin asignar.</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210</w:t>
            </w:r>
          </w:p>
        </w:tc>
        <w:tc>
          <w:tcPr>
            <w:tcW w:type="dxa" w:w="6552"/>
            <w:tcMar>
              <w:top w:type="dxa" w:w="80"/>
              <w:left w:type="dxa" w:w="100"/>
              <w:bottom w:type="dxa" w:w="80"/>
              <w:right w:type="dxa" w:w="100"/>
            </w:tcMar>
          </w:tcPr>
          <w:p>
            <w:r>
              <w:rPr>
                <w:b w:val="false"/>
                <w:bCs w:val="false"/>
              </w:rPr>
              <w:t xml:space="preserve">Sólo aplica para régimen ordinario.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211</w:t>
            </w:r>
          </w:p>
        </w:tc>
        <w:tc>
          <w:tcPr>
            <w:tcW w:type="dxa" w:w="6552"/>
            <w:tcMar>
              <w:top w:type="dxa" w:w="80"/>
              <w:left w:type="dxa" w:w="100"/>
              <w:bottom w:type="dxa" w:w="80"/>
              <w:right w:type="dxa" w:w="100"/>
            </w:tcMar>
          </w:tcPr>
          <w:p>
            <w:r>
              <w:rPr>
                <w:b w:val="false"/>
                <w:bCs w:val="false"/>
              </w:rPr>
              <w:t xml:space="preserve">Con beneficio pensionario.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212</w:t>
            </w:r>
          </w:p>
        </w:tc>
        <w:tc>
          <w:tcPr>
            <w:tcW w:type="dxa" w:w="6552"/>
            <w:tcMar>
              <w:top w:type="dxa" w:w="80"/>
              <w:left w:type="dxa" w:w="100"/>
              <w:bottom w:type="dxa" w:w="80"/>
              <w:right w:type="dxa" w:w="100"/>
            </w:tcMar>
          </w:tcPr>
          <w:p>
            <w:r>
              <w:rPr>
                <w:b w:val="false"/>
                <w:bCs w:val="false"/>
              </w:rPr>
              <w:t xml:space="preserve">Marca de beneficio pensionario en el historial de cotización.</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213</w:t>
            </w:r>
          </w:p>
        </w:tc>
        <w:tc>
          <w:tcPr>
            <w:tcW w:type="dxa" w:w="6552"/>
            <w:tcMar>
              <w:top w:type="dxa" w:w="80"/>
              <w:left w:type="dxa" w:w="100"/>
              <w:bottom w:type="dxa" w:w="80"/>
              <w:right w:type="dxa" w:w="100"/>
            </w:tcMar>
          </w:tcPr>
          <w:p>
            <w:r>
              <w:rPr>
                <w:b w:val="false"/>
                <w:bCs w:val="false"/>
              </w:rPr>
              <w:t xml:space="preserve">Inconsistencias en la marca de IGen el historial de cotización.</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214</w:t>
            </w:r>
          </w:p>
        </w:tc>
        <w:tc>
          <w:tcPr>
            <w:tcW w:type="dxa" w:w="6552"/>
            <w:tcMar>
              <w:top w:type="dxa" w:w="80"/>
              <w:left w:type="dxa" w:w="100"/>
              <w:bottom w:type="dxa" w:w="80"/>
              <w:right w:type="dxa" w:w="100"/>
            </w:tcMar>
          </w:tcPr>
          <w:p>
            <w:r>
              <w:rPr>
                <w:b w:val="false"/>
                <w:bCs w:val="false"/>
              </w:rPr>
              <w:t xml:space="preserve">Trámite de portabilidad de derechos previo.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215</w:t>
            </w:r>
          </w:p>
        </w:tc>
        <w:tc>
          <w:tcPr>
            <w:tcW w:type="dxa" w:w="6552"/>
            <w:tcMar>
              <w:top w:type="dxa" w:w="80"/>
              <w:left w:type="dxa" w:w="100"/>
              <w:bottom w:type="dxa" w:w="80"/>
              <w:right w:type="dxa" w:w="100"/>
            </w:tcMar>
          </w:tcPr>
          <w:p>
            <w:r>
              <w:rPr>
                <w:b w:val="false"/>
                <w:bCs w:val="false"/>
              </w:rPr>
              <w:t xml:space="preserve">Inconsistencias en el historial de cotización.</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216</w:t>
            </w:r>
          </w:p>
        </w:tc>
        <w:tc>
          <w:tcPr>
            <w:tcW w:type="dxa" w:w="6552"/>
            <w:tcMar>
              <w:top w:type="dxa" w:w="80"/>
              <w:left w:type="dxa" w:w="100"/>
              <w:bottom w:type="dxa" w:w="80"/>
              <w:right w:type="dxa" w:w="100"/>
            </w:tcMar>
          </w:tcPr>
          <w:p>
            <w:r>
              <w:rPr>
                <w:b w:val="false"/>
                <w:bCs w:val="false"/>
              </w:rPr>
              <w:t xml:space="preserve">No cuenta con antigüedad cotizante al fondo de pensiones.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217</w:t>
            </w:r>
          </w:p>
        </w:tc>
        <w:tc>
          <w:tcPr>
            <w:tcW w:type="dxa" w:w="6552"/>
            <w:tcMar>
              <w:top w:type="dxa" w:w="80"/>
              <w:left w:type="dxa" w:w="100"/>
              <w:bottom w:type="dxa" w:w="80"/>
              <w:right w:type="dxa" w:w="100"/>
            </w:tcMar>
          </w:tcPr>
          <w:p>
            <w:r>
              <w:rPr>
                <w:b w:val="false"/>
                <w:bCs w:val="false"/>
              </w:rPr>
              <w:t xml:space="preserve">Inconsistencia en régimen pensionario (Activo LISSSTE sin Bono).</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218</w:t>
            </w:r>
          </w:p>
        </w:tc>
        <w:tc>
          <w:tcPr>
            <w:tcW w:type="dxa" w:w="6552"/>
            <w:tcMar>
              <w:top w:type="dxa" w:w="80"/>
              <w:left w:type="dxa" w:w="100"/>
              <w:bottom w:type="dxa" w:w="80"/>
              <w:right w:type="dxa" w:w="100"/>
            </w:tcMar>
          </w:tcPr>
          <w:p>
            <w:r>
              <w:rPr>
                <w:b w:val="false"/>
                <w:bCs w:val="false"/>
              </w:rPr>
              <w:t xml:space="preserve">Periodosprevios a la entrada en vigor de la LISSSTE no actualizados.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219</w:t>
            </w:r>
          </w:p>
        </w:tc>
        <w:tc>
          <w:tcPr>
            <w:tcW w:type="dxa" w:w="6552"/>
            <w:tcMar>
              <w:top w:type="dxa" w:w="80"/>
              <w:left w:type="dxa" w:w="100"/>
              <w:bottom w:type="dxa" w:w="80"/>
              <w:right w:type="dxa" w:w="100"/>
            </w:tcMar>
          </w:tcPr>
          <w:p>
            <w:r>
              <w:rPr>
                <w:b w:val="false"/>
                <w:bCs w:val="false"/>
              </w:rPr>
              <w:t xml:space="preserve">No existe solicitud con los datos enviados.</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220</w:t>
            </w:r>
          </w:p>
        </w:tc>
        <w:tc>
          <w:tcPr>
            <w:tcW w:type="dxa" w:w="6552"/>
            <w:tcMar>
              <w:top w:type="dxa" w:w="80"/>
              <w:left w:type="dxa" w:w="100"/>
              <w:bottom w:type="dxa" w:w="80"/>
              <w:right w:type="dxa" w:w="100"/>
            </w:tcMar>
          </w:tcPr>
          <w:p>
            <w:r>
              <w:rPr>
                <w:b w:val="false"/>
                <w:bCs w:val="false"/>
              </w:rPr>
              <w:t xml:space="preserve">Rechazado por el otro Instituto (WS6).</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221</w:t>
            </w:r>
          </w:p>
        </w:tc>
        <w:tc>
          <w:tcPr>
            <w:tcW w:type="dxa" w:w="6552"/>
            <w:tcMar>
              <w:top w:type="dxa" w:w="80"/>
              <w:left w:type="dxa" w:w="100"/>
              <w:bottom w:type="dxa" w:w="80"/>
              <w:right w:type="dxa" w:w="100"/>
            </w:tcMar>
          </w:tcPr>
          <w:p>
            <w:r>
              <w:rPr>
                <w:b w:val="false"/>
                <w:bCs w:val="false"/>
              </w:rPr>
              <w:t xml:space="preserve">No fue posible marcar los periodos en la BDUD.</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222</w:t>
            </w:r>
          </w:p>
        </w:tc>
        <w:tc>
          <w:tcPr>
            <w:tcW w:type="dxa" w:w="6552"/>
            <w:tcMar>
              <w:top w:type="dxa" w:w="80"/>
              <w:left w:type="dxa" w:w="100"/>
              <w:bottom w:type="dxa" w:w="80"/>
              <w:right w:type="dxa" w:w="100"/>
            </w:tcMar>
          </w:tcPr>
          <w:p>
            <w:r>
              <w:rPr>
                <w:b w:val="false"/>
                <w:bCs w:val="false"/>
              </w:rPr>
              <w:t xml:space="preserve">No fue posible actualizar estatus de solicitud.</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223</w:t>
            </w:r>
          </w:p>
        </w:tc>
        <w:tc>
          <w:tcPr>
            <w:tcW w:type="dxa" w:w="6552"/>
            <w:tcMar>
              <w:top w:type="dxa" w:w="80"/>
              <w:left w:type="dxa" w:w="100"/>
              <w:bottom w:type="dxa" w:w="80"/>
              <w:right w:type="dxa" w:w="100"/>
            </w:tcMar>
          </w:tcPr>
          <w:p>
            <w:r>
              <w:rPr>
                <w:b w:val="false"/>
                <w:bCs w:val="false"/>
              </w:rPr>
              <w:t xml:space="preserve">No se identifica consulta básica previa.</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224</w:t>
            </w:r>
          </w:p>
        </w:tc>
        <w:tc>
          <w:tcPr>
            <w:tcW w:type="dxa" w:w="6552"/>
            <w:tcMar>
              <w:top w:type="dxa" w:w="80"/>
              <w:left w:type="dxa" w:w="100"/>
              <w:bottom w:type="dxa" w:w="80"/>
              <w:right w:type="dxa" w:w="100"/>
            </w:tcMar>
          </w:tcPr>
          <w:p>
            <w:r>
              <w:rPr>
                <w:b w:val="false"/>
                <w:bCs w:val="false"/>
              </w:rPr>
              <w:t xml:space="preserve">Motivo de rechazo proporcionado en la consulta básica (WS3).</w:t>
            </w:r>
          </w:p>
        </w:tc>
        <w:tc>
          <w:tcPr>
            <w:tcW w:type="dxa" w:w="1685"/>
            <w:tcMar>
              <w:top w:type="dxa" w:w="80"/>
              <w:left w:type="dxa" w:w="100"/>
              <w:bottom w:type="dxa" w:w="80"/>
              <w:right w:type="dxa" w:w="100"/>
            </w:tcMar>
          </w:tcPr>
          <w:p>
            <w:r>
              <w:rPr>
                <w:b w:val="false"/>
                <w:bCs w:val="false"/>
              </w:rPr>
              <w:t xml:space="preserve">Vigente</w:t>
            </w:r>
          </w:p>
        </w:tc>
      </w:tr>
      <w:tr>
        <w:tc>
          <w:tcPr>
            <w:tcW w:type="dxa" w:w="1123"/>
            <w:tcMar>
              <w:top w:type="dxa" w:w="80"/>
              <w:left w:type="dxa" w:w="100"/>
              <w:bottom w:type="dxa" w:w="80"/>
              <w:right w:type="dxa" w:w="100"/>
            </w:tcMar>
          </w:tcPr>
          <w:p>
            <w:r>
              <w:rPr>
                <w:b w:val="false"/>
                <w:bCs w:val="false"/>
              </w:rPr>
              <w:t xml:space="preserve">225</w:t>
            </w:r>
          </w:p>
        </w:tc>
        <w:tc>
          <w:tcPr>
            <w:tcW w:type="dxa" w:w="6552"/>
            <w:tcMar>
              <w:top w:type="dxa" w:w="80"/>
              <w:left w:type="dxa" w:w="100"/>
              <w:bottom w:type="dxa" w:w="80"/>
              <w:right w:type="dxa" w:w="100"/>
            </w:tcMar>
          </w:tcPr>
          <w:p>
            <w:r>
              <w:rPr>
                <w:b w:val="false"/>
                <w:bCs w:val="false"/>
              </w:rPr>
              <w:t xml:space="preserve">Trámite previo de portabilidad de derechos concluido (WS1).</w:t>
            </w:r>
          </w:p>
        </w:tc>
        <w:tc>
          <w:tcPr>
            <w:tcW w:type="dxa" w:w="1685"/>
            <w:tcMar>
              <w:top w:type="dxa" w:w="80"/>
              <w:left w:type="dxa" w:w="100"/>
              <w:bottom w:type="dxa" w:w="80"/>
              <w:right w:type="dxa" w:w="100"/>
            </w:tcMar>
          </w:tcPr>
          <w:p>
            <w:r>
              <w:rPr>
                <w:b w:val="false"/>
                <w:bCs w:val="false"/>
              </w:rPr>
              <w:t xml:space="preserve">Vigente</w:t>
            </w:r>
          </w:p>
        </w:tc>
      </w:tr>
    </w:tbl>
    <w:p>
      <w:pPr>
        <w:pStyle w:val="Heading1"/>
        <w:spacing w:after="160" w:before="320"/>
      </w:pPr>
      <w:r>
        <w:t xml:space="preserve">6. Puntos abiertos heredados de la especificación original</w:t>
      </w:r>
    </w:p>
    <w:p>
      <w:pPr>
        <w:shd w:fill="E2EFDA" w:val="clear"/>
        <w:spacing w:after="160"/>
      </w:pPr>
      <w:r>
        <w:rPr>
          <w:b/>
          <w:bCs/>
          <w:color w:val="2E7D32"/>
        </w:rPr>
        <w:t xml:space="preserve">Supuesto: </w:t>
      </w:r>
      <w:r>
        <w:t xml:space="preserve">Los endpoints de producción quedaron confirmados contra el fglprofile y el código fuente (ver FJL-F06 y FJL-F09), incluyendo la ruta efectivamente utilizada para ProceSAR (directa a wsprocesar.com.mx).</w:t>
      </w:r>
    </w:p>
    <w:p>
      <w:pPr>
        <w:pStyle w:val="Heading1"/>
        <w:spacing w:after="160" w:before="320"/>
      </w:pPr>
      <w:r>
        <w:t xml:space="preserve">7. Registro de adecuaciones y ajustes posteriores</w:t>
      </w:r>
    </w:p>
    <w:p>
      <w:pPr>
        <w:spacing w:after="140"/>
      </w:pPr>
      <w:r>
        <w:t xml:space="preserve">La siguiente tabla registra las adecuaciones o ajustes realizados a este documento después de la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4"/>
        <w:gridCol w:w="2018"/>
        <w:gridCol w:w="3487"/>
        <w:gridCol w:w="1101"/>
        <w:gridCol w:w="1470"/>
      </w:tblGrid>
      <w:tr>
        <w:trPr>
          <w:tblHeader/>
        </w:trPr>
        <w:tc>
          <w:tcPr>
            <w:tcW w:type="dxa" w:w="1284"/>
            <w:shd w:fill="DCE6F1" w:val="clear"/>
            <w:tcMar>
              <w:top w:type="dxa" w:w="80"/>
              <w:left w:type="dxa" w:w="100"/>
              <w:bottom w:type="dxa" w:w="80"/>
              <w:right w:type="dxa" w:w="100"/>
            </w:tcMar>
          </w:tcPr>
          <w:p>
            <w:r>
              <w:rPr>
                <w:b/>
                <w:bCs/>
              </w:rPr>
              <w:t xml:space="preserve">Fecha</w:t>
            </w:r>
          </w:p>
        </w:tc>
        <w:tc>
          <w:tcPr>
            <w:tcW w:type="dxa" w:w="2018"/>
            <w:shd w:fill="DCE6F1" w:val="clear"/>
            <w:tcMar>
              <w:top w:type="dxa" w:w="80"/>
              <w:left w:type="dxa" w:w="100"/>
              <w:bottom w:type="dxa" w:w="80"/>
              <w:right w:type="dxa" w:w="100"/>
            </w:tcMar>
          </w:tcPr>
          <w:p>
            <w:r>
              <w:rPr>
                <w:b/>
                <w:bCs/>
              </w:rPr>
              <w:t xml:space="preserve">Requerimiento/Regla afectada</w:t>
            </w:r>
          </w:p>
        </w:tc>
        <w:tc>
          <w:tcPr>
            <w:tcW w:type="dxa" w:w="3487"/>
            <w:shd w:fill="DCE6F1" w:val="clear"/>
            <w:tcMar>
              <w:top w:type="dxa" w:w="80"/>
              <w:left w:type="dxa" w:w="100"/>
              <w:bottom w:type="dxa" w:w="80"/>
              <w:right w:type="dxa" w:w="100"/>
            </w:tcMar>
          </w:tcPr>
          <w:p>
            <w:r>
              <w:rPr>
                <w:b/>
                <w:bCs/>
              </w:rPr>
              <w:t xml:space="preserve">Descripción del ajuste</w:t>
            </w:r>
          </w:p>
        </w:tc>
        <w:tc>
          <w:tcPr>
            <w:tcW w:type="dxa" w:w="1101"/>
            <w:shd w:fill="DCE6F1" w:val="clear"/>
            <w:tcMar>
              <w:top w:type="dxa" w:w="80"/>
              <w:left w:type="dxa" w:w="100"/>
              <w:bottom w:type="dxa" w:w="80"/>
              <w:right w:type="dxa" w:w="100"/>
            </w:tcMar>
          </w:tcPr>
          <w:p>
            <w:r>
              <w:rPr>
                <w:b/>
                <w:bCs/>
              </w:rPr>
              <w:t xml:space="preserve">Estado</w:t>
            </w:r>
          </w:p>
        </w:tc>
        <w:tc>
          <w:tcPr>
            <w:tcW w:type="dxa" w:w="1470"/>
            <w:shd w:fill="DCE6F1" w:val="clear"/>
            <w:tcMar>
              <w:top w:type="dxa" w:w="80"/>
              <w:left w:type="dxa" w:w="100"/>
              <w:bottom w:type="dxa" w:w="80"/>
              <w:right w:type="dxa" w:w="100"/>
            </w:tcMar>
          </w:tcPr>
          <w:p>
            <w:r>
              <w:rPr>
                <w:b/>
                <w:bCs/>
              </w:rPr>
              <w:t xml:space="preserve">Responsable</w:t>
            </w:r>
          </w:p>
        </w:tc>
      </w:tr>
      <w:tr>
        <w:tc>
          <w:tcPr>
            <w:tcW w:type="dxa" w:w="1284"/>
            <w:tcMar>
              <w:top w:type="dxa" w:w="80"/>
              <w:left w:type="dxa" w:w="100"/>
              <w:bottom w:type="dxa" w:w="80"/>
              <w:right w:type="dxa" w:w="100"/>
            </w:tcMar>
          </w:tcPr>
          <w:p>
            <w:r>
              <w:rPr>
                <w:b w:val="false"/>
                <w:bCs w:val="false"/>
              </w:rPr>
              <w:t xml:space="preserve"/>
            </w:r>
          </w:p>
        </w:tc>
        <w:tc>
          <w:tcPr>
            <w:tcW w:type="dxa" w:w="2018"/>
            <w:tcMar>
              <w:top w:type="dxa" w:w="80"/>
              <w:left w:type="dxa" w:w="100"/>
              <w:bottom w:type="dxa" w:w="80"/>
              <w:right w:type="dxa" w:w="100"/>
            </w:tcMar>
          </w:tcPr>
          <w:p>
            <w:r>
              <w:rPr>
                <w:b w:val="false"/>
                <w:bCs w:val="false"/>
              </w:rPr>
              <w:t xml:space="preserve"/>
            </w:r>
          </w:p>
        </w:tc>
        <w:tc>
          <w:tcPr>
            <w:tcW w:type="dxa" w:w="3487"/>
            <w:tcMar>
              <w:top w:type="dxa" w:w="80"/>
              <w:left w:type="dxa" w:w="100"/>
              <w:bottom w:type="dxa" w:w="80"/>
              <w:right w:type="dxa" w:w="100"/>
            </w:tcMar>
          </w:tcPr>
          <w:p>
            <w:r>
              <w:rPr>
                <w:b w:val="false"/>
                <w:bCs w:val="false"/>
              </w:rPr>
              <w:t xml:space="preserve"/>
            </w:r>
          </w:p>
        </w:tc>
        <w:tc>
          <w:tcPr>
            <w:tcW w:type="dxa" w:w="1101"/>
            <w:tcMar>
              <w:top w:type="dxa" w:w="80"/>
              <w:left w:type="dxa" w:w="100"/>
              <w:bottom w:type="dxa" w:w="80"/>
              <w:right w:type="dxa" w:w="100"/>
            </w:tcMar>
          </w:tcPr>
          <w:p>
            <w:r>
              <w:rPr>
                <w:b w:val="false"/>
                <w:bCs w:val="false"/>
              </w:rPr>
              <w:t xml:space="preserve"/>
            </w:r>
          </w:p>
        </w:tc>
        <w:tc>
          <w:tcPr>
            <w:tcW w:type="dxa" w:w="1470"/>
            <w:tcMar>
              <w:top w:type="dxa" w:w="80"/>
              <w:left w:type="dxa" w:w="100"/>
              <w:bottom w:type="dxa" w:w="80"/>
              <w:right w:type="dxa" w:w="100"/>
            </w:tcMar>
          </w:tcPr>
          <w:p>
            <w:r>
              <w:rPr>
                <w:b w:val="false"/>
                <w:bCs w:val="false"/>
              </w:rPr>
              <w:t xml:space="preserve"/>
            </w:r>
          </w:p>
        </w:tc>
      </w:tr>
      <w:tr>
        <w:tc>
          <w:tcPr>
            <w:tcW w:type="dxa" w:w="1284"/>
            <w:tcMar>
              <w:top w:type="dxa" w:w="80"/>
              <w:left w:type="dxa" w:w="100"/>
              <w:bottom w:type="dxa" w:w="80"/>
              <w:right w:type="dxa" w:w="100"/>
            </w:tcMar>
          </w:tcPr>
          <w:p>
            <w:r>
              <w:rPr>
                <w:b w:val="false"/>
                <w:bCs w:val="false"/>
              </w:rPr>
              <w:t xml:space="preserve"/>
            </w:r>
          </w:p>
        </w:tc>
        <w:tc>
          <w:tcPr>
            <w:tcW w:type="dxa" w:w="2018"/>
            <w:tcMar>
              <w:top w:type="dxa" w:w="80"/>
              <w:left w:type="dxa" w:w="100"/>
              <w:bottom w:type="dxa" w:w="80"/>
              <w:right w:type="dxa" w:w="100"/>
            </w:tcMar>
          </w:tcPr>
          <w:p>
            <w:r>
              <w:rPr>
                <w:b w:val="false"/>
                <w:bCs w:val="false"/>
              </w:rPr>
              <w:t xml:space="preserve"/>
            </w:r>
          </w:p>
        </w:tc>
        <w:tc>
          <w:tcPr>
            <w:tcW w:type="dxa" w:w="3487"/>
            <w:tcMar>
              <w:top w:type="dxa" w:w="80"/>
              <w:left w:type="dxa" w:w="100"/>
              <w:bottom w:type="dxa" w:w="80"/>
              <w:right w:type="dxa" w:w="100"/>
            </w:tcMar>
          </w:tcPr>
          <w:p>
            <w:r>
              <w:rPr>
                <w:b w:val="false"/>
                <w:bCs w:val="false"/>
              </w:rPr>
              <w:t xml:space="preserve"/>
            </w:r>
          </w:p>
        </w:tc>
        <w:tc>
          <w:tcPr>
            <w:tcW w:type="dxa" w:w="1101"/>
            <w:tcMar>
              <w:top w:type="dxa" w:w="80"/>
              <w:left w:type="dxa" w:w="100"/>
              <w:bottom w:type="dxa" w:w="80"/>
              <w:right w:type="dxa" w:w="100"/>
            </w:tcMar>
          </w:tcPr>
          <w:p>
            <w:r>
              <w:rPr>
                <w:b w:val="false"/>
                <w:bCs w:val="false"/>
              </w:rPr>
              <w:t xml:space="preserve"/>
            </w:r>
          </w:p>
        </w:tc>
        <w:tc>
          <w:tcPr>
            <w:tcW w:type="dxa" w:w="1470"/>
            <w:tcMar>
              <w:top w:type="dxa" w:w="80"/>
              <w:left w:type="dxa" w:w="100"/>
              <w:bottom w:type="dxa" w:w="80"/>
              <w:right w:type="dxa" w:w="100"/>
            </w:tcMar>
          </w:tcPr>
          <w:p>
            <w:r>
              <w:rPr>
                <w:b w:val="false"/>
                <w:bCs w:val="false"/>
              </w:rPr>
              <w:t xml:space="preserve"/>
            </w:r>
          </w:p>
        </w:tc>
      </w:tr>
      <w:tr>
        <w:tc>
          <w:tcPr>
            <w:tcW w:type="dxa" w:w="1284"/>
            <w:tcMar>
              <w:top w:type="dxa" w:w="80"/>
              <w:left w:type="dxa" w:w="100"/>
              <w:bottom w:type="dxa" w:w="80"/>
              <w:right w:type="dxa" w:w="100"/>
            </w:tcMar>
          </w:tcPr>
          <w:p>
            <w:r>
              <w:rPr>
                <w:b w:val="false"/>
                <w:bCs w:val="false"/>
              </w:rPr>
              <w:t xml:space="preserve"/>
            </w:r>
          </w:p>
        </w:tc>
        <w:tc>
          <w:tcPr>
            <w:tcW w:type="dxa" w:w="2018"/>
            <w:tcMar>
              <w:top w:type="dxa" w:w="80"/>
              <w:left w:type="dxa" w:w="100"/>
              <w:bottom w:type="dxa" w:w="80"/>
              <w:right w:type="dxa" w:w="100"/>
            </w:tcMar>
          </w:tcPr>
          <w:p>
            <w:r>
              <w:rPr>
                <w:b w:val="false"/>
                <w:bCs w:val="false"/>
              </w:rPr>
              <w:t xml:space="preserve"/>
            </w:r>
          </w:p>
        </w:tc>
        <w:tc>
          <w:tcPr>
            <w:tcW w:type="dxa" w:w="3487"/>
            <w:tcMar>
              <w:top w:type="dxa" w:w="80"/>
              <w:left w:type="dxa" w:w="100"/>
              <w:bottom w:type="dxa" w:w="80"/>
              <w:right w:type="dxa" w:w="100"/>
            </w:tcMar>
          </w:tcPr>
          <w:p>
            <w:r>
              <w:rPr>
                <w:b w:val="false"/>
                <w:bCs w:val="false"/>
              </w:rPr>
              <w:t xml:space="preserve"/>
            </w:r>
          </w:p>
        </w:tc>
        <w:tc>
          <w:tcPr>
            <w:tcW w:type="dxa" w:w="1101"/>
            <w:tcMar>
              <w:top w:type="dxa" w:w="80"/>
              <w:left w:type="dxa" w:w="100"/>
              <w:bottom w:type="dxa" w:w="80"/>
              <w:right w:type="dxa" w:w="100"/>
            </w:tcMar>
          </w:tcPr>
          <w:p>
            <w:r>
              <w:rPr>
                <w:b w:val="false"/>
                <w:bCs w:val="false"/>
              </w:rPr>
              <w:t xml:space="preserve"/>
            </w:r>
          </w:p>
        </w:tc>
        <w:tc>
          <w:tcPr>
            <w:tcW w:type="dxa" w:w="1470"/>
            <w:tcMar>
              <w:top w:type="dxa" w:w="80"/>
              <w:left w:type="dxa" w:w="100"/>
              <w:bottom w:type="dxa" w:w="80"/>
              <w:right w:type="dxa" w:w="100"/>
            </w:tcMar>
          </w:tcPr>
          <w:p>
            <w:r>
              <w:rPr>
                <w:b w:val="false"/>
                <w:bCs w:val="false"/>
              </w:rPr>
              <w:t xml:space="preserve"/>
            </w:r>
          </w:p>
        </w:tc>
      </w:tr>
    </w:tbl>
    <w:p>
      <w:pPr>
        <w:spacing w:after="140"/>
      </w:pPr>
      <w:r>
        <w:t xml:space="preserve">Se recomienda actualizar esta tabla cada vez que se apruebe un cambio, indicando si el ajuste ya fue implementado ("Cumplido"), está en desarrollo ("En proceso") o solo fue propuesto ("Propuesto").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ERS Portabilidad ISSSTE-IMSS · Estado de Cumplimiento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Portabilidad ISSSTE-IMSS · Estado de Cumplimiento</dc:title>
  <dc:subject>Documentación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2026-07-28T00:58:38.505Z</dcterms:created>
  <dcterms:modified xsi:type="dcterms:W3CDTF">2026-07-28T00:58:38.505Z</dcterms:modified>
</cp:coreProperties>
</file>

<file path=docProps/custom.xml><?xml version="1.0" encoding="utf-8"?>
<Properties xmlns="http://schemas.openxmlformats.org/officeDocument/2006/custom-properties" xmlns:vt="http://schemas.openxmlformats.org/officeDocument/2006/docPropsVTypes"/>
</file>