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808080"/>
          <w:sz w:val="20"/>
          <w:szCs w:val="20"/>
        </w:rPr>
        <w:t xml:space="preserve">FJL-F06-TD</w:t>
      </w:r>
    </w:p>
    <w:p>
      <w:pPr>
        <w:pStyle w:val="Title"/>
        <w:spacing w:after="200"/>
        <w:jc w:val="center"/>
      </w:pPr>
      <w:r>
        <w:t xml:space="preserve">Arquitectura Tecnológica</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Instituto de Seguridad y Servicios Sociales de los Trabajadores del Estado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Propósito</w:t>
      </w:r>
    </w:p>
    <w:p>
      <w:pPr>
        <w:spacing w:after="140"/>
      </w:pPr>
      <w:r>
        <w:t xml:space="preserve">Este documento describe la arquitectura tecnológica del sistema: sus componentes, capas y las interfaces con sistemas externos.</w:t>
      </w:r>
    </w:p>
    <w:p>
      <w:pPr>
        <w:pStyle w:val="Heading1"/>
        <w:spacing w:after="160" w:before="320"/>
      </w:pPr>
      <w:r>
        <w:t xml:space="preserve">2. Diagrama de arquitectura</w:t>
      </w:r>
    </w:p>
    <w:p>
      <w:pPr>
        <w:spacing w:after="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57600"/>
                    </a:xfrm>
                    <a:prstGeom prst="rect">
                      <a:avLst/>
                    </a:prstGeom>
                  </pic:spPr>
                </pic:pic>
              </a:graphicData>
            </a:graphic>
          </wp:inline>
        </w:drawing>
      </w:r>
    </w:p>
    <w:p>
      <w:pPr>
        <w:spacing w:after="200"/>
        <w:jc w:val="center"/>
      </w:pPr>
      <w:r>
        <w:rPr>
          <w:i/>
          <w:iCs/>
          <w:color w:val="595959"/>
          <w:sz w:val="18"/>
          <w:szCs w:val="18"/>
        </w:rPr>
        <w:t xml:space="preserve">Arquitectura tecnológica del sistema</w:t>
      </w:r>
    </w:p>
    <w:p>
      <w:pPr>
        <w:pStyle w:val="Heading1"/>
        <w:spacing w:after="160" w:before="320"/>
      </w:pPr>
      <w:r>
        <w:t xml:space="preserve">3.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6F1" w:val="clear"/>
            <w:tcMar>
              <w:top w:type="dxa" w:w="80"/>
              <w:left w:type="dxa" w:w="100"/>
              <w:bottom w:type="dxa" w:w="80"/>
              <w:right w:type="dxa" w:w="100"/>
            </w:tcMar>
          </w:tcPr>
          <w:p>
            <w:r>
              <w:rPr>
                <w:b/>
                <w:bCs/>
              </w:rPr>
              <w:t xml:space="preserve">Componente</w:t>
            </w:r>
          </w:p>
        </w:tc>
        <w:tc>
          <w:tcPr>
            <w:tcW w:type="dxa" w:w="6760"/>
            <w:shd w:fill="DCE6F1" w:val="clear"/>
            <w:tcMar>
              <w:top w:type="dxa" w:w="80"/>
              <w:left w:type="dxa" w:w="100"/>
              <w:bottom w:type="dxa" w:w="80"/>
              <w:right w:type="dxa" w:w="100"/>
            </w:tcMar>
          </w:tcPr>
          <w:p>
            <w:r>
              <w:rPr>
                <w:b/>
                <w:bCs/>
              </w:rPr>
              <w:t xml:space="preserve">Descripción</w:t>
            </w:r>
          </w:p>
        </w:tc>
      </w:tr>
      <w:tr>
        <w:tc>
          <w:tcPr>
            <w:tcW w:type="dxa" w:w="2600"/>
            <w:tcMar>
              <w:top w:type="dxa" w:w="80"/>
              <w:left w:type="dxa" w:w="100"/>
              <w:bottom w:type="dxa" w:w="80"/>
              <w:right w:type="dxa" w:w="100"/>
            </w:tcMar>
          </w:tcPr>
          <w:p>
            <w:r>
              <w:rPr>
                <w:b w:val="false"/>
                <w:bCs w:val="false"/>
              </w:rPr>
              <w:t xml:space="preserve">Portales de acceso</w:t>
            </w:r>
          </w:p>
        </w:tc>
        <w:tc>
          <w:tcPr>
            <w:tcW w:type="dxa" w:w="6760"/>
            <w:tcMar>
              <w:top w:type="dxa" w:w="80"/>
              <w:left w:type="dxa" w:w="100"/>
              <w:bottom w:type="dxa" w:w="80"/>
              <w:right w:type="dxa" w:w="100"/>
            </w:tcMar>
          </w:tcPr>
          <w:p>
            <w:r>
              <w:rPr>
                <w:b w:val="false"/>
                <w:bCs w:val="false"/>
              </w:rPr>
              <w:t xml:space="preserve">SINAVID-OV y SIPE-AV; envían CURP, tipo de sistema y usuario, todos encriptados.</w:t>
            </w:r>
          </w:p>
        </w:tc>
      </w:tr>
      <w:tr>
        <w:tc>
          <w:tcPr>
            <w:tcW w:type="dxa" w:w="2600"/>
            <w:tcMar>
              <w:top w:type="dxa" w:w="80"/>
              <w:left w:type="dxa" w:w="100"/>
              <w:bottom w:type="dxa" w:w="80"/>
              <w:right w:type="dxa" w:w="100"/>
            </w:tcMar>
          </w:tcPr>
          <w:p>
            <w:r>
              <w:rPr>
                <w:b w:val="false"/>
                <w:bCs w:val="false"/>
              </w:rPr>
              <w:t xml:space="preserve">Módulo de Transferencia de Derechos</w:t>
            </w:r>
          </w:p>
        </w:tc>
        <w:tc>
          <w:tcPr>
            <w:tcW w:type="dxa" w:w="6760"/>
            <w:tcMar>
              <w:top w:type="dxa" w:w="80"/>
              <w:left w:type="dxa" w:w="100"/>
              <w:bottom w:type="dxa" w:w="80"/>
              <w:right w:type="dxa" w:w="100"/>
            </w:tcMar>
          </w:tcPr>
          <w:p>
            <w:r>
              <w:rPr>
                <w:b w:val="false"/>
                <w:bCs w:val="false"/>
              </w:rPr>
              <w:t xml:space="preserve">Lógica de negocio en BDL/4GL sobre Genero Application Server (GAS): captura, validaciones, orquestación de servicios, firma electrónica y generación de reportes.</w:t>
            </w:r>
          </w:p>
        </w:tc>
      </w:tr>
      <w:tr>
        <w:tc>
          <w:tcPr>
            <w:tcW w:type="dxa" w:w="2600"/>
            <w:tcMar>
              <w:top w:type="dxa" w:w="80"/>
              <w:left w:type="dxa" w:w="100"/>
              <w:bottom w:type="dxa" w:w="80"/>
              <w:right w:type="dxa" w:w="100"/>
            </w:tcMar>
          </w:tcPr>
          <w:p>
            <w:r>
              <w:rPr>
                <w:b w:val="false"/>
                <w:bCs w:val="false"/>
              </w:rPr>
              <w:t xml:space="preserve">Base de Datos Única de Derechohabientes (BDUD)</w:t>
            </w:r>
          </w:p>
        </w:tc>
        <w:tc>
          <w:tcPr>
            <w:tcW w:type="dxa" w:w="6760"/>
            <w:tcMar>
              <w:top w:type="dxa" w:w="80"/>
              <w:left w:type="dxa" w:w="100"/>
              <w:bottom w:type="dxa" w:w="80"/>
              <w:right w:type="dxa" w:w="100"/>
            </w:tcMar>
          </w:tcPr>
          <w:p>
            <w:r>
              <w:rPr>
                <w:b w:val="false"/>
                <w:bCs w:val="false"/>
              </w:rPr>
              <w:t xml:space="preserve">Informix 12.10, instancia dsipe@aguila_sipe_tcp.</w:t>
            </w:r>
          </w:p>
        </w:tc>
      </w:tr>
      <w:tr>
        <w:tc>
          <w:tcPr>
            <w:tcW w:type="dxa" w:w="2600"/>
            <w:tcMar>
              <w:top w:type="dxa" w:w="80"/>
              <w:left w:type="dxa" w:w="100"/>
              <w:bottom w:type="dxa" w:w="80"/>
              <w:right w:type="dxa" w:w="100"/>
            </w:tcMar>
          </w:tcPr>
          <w:p>
            <w:r>
              <w:rPr>
                <w:b w:val="false"/>
                <w:bCs w:val="false"/>
              </w:rPr>
              <w:t xml:space="preserve">Almacenamiento temporal de firma</w:t>
            </w:r>
          </w:p>
        </w:tc>
        <w:tc>
          <w:tcPr>
            <w:tcW w:type="dxa" w:w="6760"/>
            <w:tcMar>
              <w:top w:type="dxa" w:w="80"/>
              <w:left w:type="dxa" w:w="100"/>
              <w:bottom w:type="dxa" w:w="80"/>
              <w:right w:type="dxa" w:w="100"/>
            </w:tcMar>
          </w:tcPr>
          <w:p>
            <w:r>
              <w:rPr>
                <w:b w:val="false"/>
                <w:bCs w:val="false"/>
              </w:rPr>
              <w:t xml:space="preserve">Certificado, llave y contraseña encriptados durante la generación y firma del reporte.</w:t>
            </w:r>
          </w:p>
        </w:tc>
      </w:tr>
      <w:tr>
        <w:tc>
          <w:tcPr>
            <w:tcW w:type="dxa" w:w="2600"/>
            <w:tcMar>
              <w:top w:type="dxa" w:w="80"/>
              <w:left w:type="dxa" w:w="100"/>
              <w:bottom w:type="dxa" w:w="80"/>
              <w:right w:type="dxa" w:w="100"/>
            </w:tcMar>
          </w:tcPr>
          <w:p>
            <w:r>
              <w:rPr>
                <w:b w:val="false"/>
                <w:bCs w:val="false"/>
              </w:rPr>
              <w:t xml:space="preserve">Servicios externos</w:t>
            </w:r>
          </w:p>
        </w:tc>
        <w:tc>
          <w:tcPr>
            <w:tcW w:type="dxa" w:w="6760"/>
            <w:tcMar>
              <w:top w:type="dxa" w:w="80"/>
              <w:left w:type="dxa" w:w="100"/>
              <w:bottom w:type="dxa" w:w="80"/>
              <w:right w:type="dxa" w:w="100"/>
            </w:tcMar>
          </w:tcPr>
          <w:p>
            <w:r>
              <w:rPr>
                <w:b w:val="false"/>
                <w:bCs w:val="false"/>
              </w:rPr>
              <w:t xml:space="preserve">IMSS (SOAP), ProceSAR (REST/SOAP), RENAPO (SOAP gob.mx), servicio de firma (ISSSTE/SAT) y CNSF (SOAP).</w:t>
            </w:r>
          </w:p>
        </w:tc>
      </w:tr>
    </w:tbl>
    <w:p>
      <w:pPr>
        <w:pStyle w:val="Heading1"/>
        <w:spacing w:after="160" w:before="320"/>
      </w:pPr>
      <w:r>
        <w:t xml:space="preserve">4. Interfaces externas</w:t>
      </w:r>
    </w:p>
    <w:p>
      <w:pPr>
        <w:spacing w:after="140"/>
      </w:pPr>
      <w:r>
        <w:t xml:space="preserve">Los valores de esta sección provienen del archivo de perfil de producción (fglprofile) del ambiente ISSSTE.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1"/>
        <w:gridCol w:w="1342"/>
        <w:gridCol w:w="5717"/>
      </w:tblGrid>
      <w:tr>
        <w:trPr>
          <w:tblHeader/>
        </w:trPr>
        <w:tc>
          <w:tcPr>
            <w:tcW w:type="dxa" w:w="2301"/>
            <w:shd w:fill="DCE6F1" w:val="clear"/>
            <w:tcMar>
              <w:top w:type="dxa" w:w="80"/>
              <w:left w:type="dxa" w:w="100"/>
              <w:bottom w:type="dxa" w:w="80"/>
              <w:right w:type="dxa" w:w="100"/>
            </w:tcMar>
          </w:tcPr>
          <w:p>
            <w:r>
              <w:rPr>
                <w:b/>
                <w:bCs/>
              </w:rPr>
              <w:t xml:space="preserve">Servicio externo</w:t>
            </w:r>
          </w:p>
        </w:tc>
        <w:tc>
          <w:tcPr>
            <w:tcW w:type="dxa" w:w="1342"/>
            <w:shd w:fill="DCE6F1" w:val="clear"/>
            <w:tcMar>
              <w:top w:type="dxa" w:w="80"/>
              <w:left w:type="dxa" w:w="100"/>
              <w:bottom w:type="dxa" w:w="80"/>
              <w:right w:type="dxa" w:w="100"/>
            </w:tcMar>
          </w:tcPr>
          <w:p>
            <w:r>
              <w:rPr>
                <w:b/>
                <w:bCs/>
              </w:rPr>
              <w:t xml:space="preserve">Protocolo</w:t>
            </w:r>
          </w:p>
        </w:tc>
        <w:tc>
          <w:tcPr>
            <w:tcW w:type="dxa" w:w="5717"/>
            <w:shd w:fill="DCE6F1" w:val="clear"/>
            <w:tcMar>
              <w:top w:type="dxa" w:w="80"/>
              <w:left w:type="dxa" w:w="100"/>
              <w:bottom w:type="dxa" w:w="80"/>
              <w:right w:type="dxa" w:w="100"/>
            </w:tcMar>
          </w:tcPr>
          <w:p>
            <w:r>
              <w:rPr>
                <w:b/>
                <w:bCs/>
              </w:rPr>
              <w:t xml:space="preserve">Endpoint de producción (fglprofile)</w:t>
            </w:r>
          </w:p>
        </w:tc>
      </w:tr>
      <w:tr>
        <w:tc>
          <w:tcPr>
            <w:tcW w:type="dxa" w:w="2301"/>
            <w:tcMar>
              <w:top w:type="dxa" w:w="80"/>
              <w:left w:type="dxa" w:w="100"/>
              <w:bottom w:type="dxa" w:w="80"/>
              <w:right w:type="dxa" w:w="100"/>
            </w:tcMar>
          </w:tcPr>
          <w:p>
            <w:r>
              <w:rPr>
                <w:b w:val="false"/>
                <w:bCs w:val="false"/>
              </w:rPr>
              <w:t xml:space="preserve">RENAPO — Consulta CURP</w:t>
            </w:r>
          </w:p>
        </w:tc>
        <w:tc>
          <w:tcPr>
            <w:tcW w:type="dxa" w:w="1342"/>
            <w:tcMar>
              <w:top w:type="dxa" w:w="80"/>
              <w:left w:type="dxa" w:w="100"/>
              <w:bottom w:type="dxa" w:w="80"/>
              <w:right w:type="dxa" w:w="100"/>
            </w:tcMar>
          </w:tcPr>
          <w:p>
            <w:r>
              <w:rPr>
                <w:b w:val="false"/>
                <w:bCs w:val="false"/>
              </w:rPr>
              <w:t xml:space="preserve">SOAP</w:t>
            </w:r>
          </w:p>
        </w:tc>
        <w:tc>
          <w:tcPr>
            <w:tcW w:type="dxa" w:w="5717"/>
            <w:tcMar>
              <w:top w:type="dxa" w:w="80"/>
              <w:left w:type="dxa" w:w="100"/>
              <w:bottom w:type="dxa" w:w="80"/>
              <w:right w:type="dxa" w:w="100"/>
            </w:tcMar>
          </w:tcPr>
          <w:p>
            <w:r>
              <w:rPr>
                <w:b w:val="false"/>
                <w:bCs w:val="false"/>
              </w:rPr>
              <w:t xml:space="preserve">https://webs.curp.gob.mx/WebServicesConsulta/services/ConsultaPorCurpService</w:t>
            </w:r>
          </w:p>
        </w:tc>
      </w:tr>
      <w:tr>
        <w:tc>
          <w:tcPr>
            <w:tcW w:type="dxa" w:w="2301"/>
            <w:tcMar>
              <w:top w:type="dxa" w:w="80"/>
              <w:left w:type="dxa" w:w="100"/>
              <w:bottom w:type="dxa" w:w="80"/>
              <w:right w:type="dxa" w:w="100"/>
            </w:tcMar>
          </w:tcPr>
          <w:p>
            <w:r>
              <w:rPr>
                <w:b w:val="false"/>
                <w:bCs w:val="false"/>
              </w:rPr>
              <w:t xml:space="preserve">IMSS — WS1/WS3/WS6</w:t>
            </w:r>
          </w:p>
        </w:tc>
        <w:tc>
          <w:tcPr>
            <w:tcW w:type="dxa" w:w="1342"/>
            <w:tcMar>
              <w:top w:type="dxa" w:w="80"/>
              <w:left w:type="dxa" w:w="100"/>
              <w:bottom w:type="dxa" w:w="80"/>
              <w:right w:type="dxa" w:w="100"/>
            </w:tcMar>
          </w:tcPr>
          <w:p>
            <w:r>
              <w:rPr>
                <w:b w:val="false"/>
                <w:bCs w:val="false"/>
              </w:rPr>
              <w:t xml:space="preserve">REST (vía API Gateway ISSSTE)</w:t>
            </w:r>
          </w:p>
        </w:tc>
        <w:tc>
          <w:tcPr>
            <w:tcW w:type="dxa" w:w="5717"/>
            <w:tcMar>
              <w:top w:type="dxa" w:w="80"/>
              <w:left w:type="dxa" w:w="100"/>
              <w:bottom w:type="dxa" w:w="80"/>
              <w:right w:type="dxa" w:w="100"/>
            </w:tcMar>
          </w:tcPr>
          <w:p>
            <w:r>
              <w:rPr>
                <w:b w:val="false"/>
                <w:bCs w:val="false"/>
              </w:rPr>
              <w:t xml:space="preserve">https://api2.issste.gob.mx/semanascotizadas-rest-ws/WSEstatusAsegurado, .../WSConsultaPeriodos, .../WSConclusionPortabilidad. Confirmado en código (alias wsconsultabasicaimss, wsconsultarobustaimss, wsnotificarprocedenciaimss).</w:t>
            </w:r>
          </w:p>
        </w:tc>
      </w:tr>
      <w:tr>
        <w:tc>
          <w:tcPr>
            <w:tcW w:type="dxa" w:w="2301"/>
            <w:tcMar>
              <w:top w:type="dxa" w:w="80"/>
              <w:left w:type="dxa" w:w="100"/>
              <w:bottom w:type="dxa" w:w="80"/>
              <w:right w:type="dxa" w:w="100"/>
            </w:tcMar>
          </w:tcPr>
          <w:p>
            <w:r>
              <w:rPr>
                <w:b w:val="false"/>
                <w:bCs w:val="false"/>
              </w:rPr>
              <w:t xml:space="preserve">ProceSAR — WS2/WS4/WS5</w:t>
            </w:r>
          </w:p>
        </w:tc>
        <w:tc>
          <w:tcPr>
            <w:tcW w:type="dxa" w:w="1342"/>
            <w:tcMar>
              <w:top w:type="dxa" w:w="80"/>
              <w:left w:type="dxa" w:w="100"/>
              <w:bottom w:type="dxa" w:w="80"/>
              <w:right w:type="dxa" w:w="100"/>
            </w:tcMar>
          </w:tcPr>
          <w:p>
            <w:r>
              <w:rPr>
                <w:b w:val="false"/>
                <w:bCs w:val="false"/>
              </w:rPr>
              <w:t xml:space="preserve">REST</w:t>
            </w:r>
          </w:p>
        </w:tc>
        <w:tc>
          <w:tcPr>
            <w:tcW w:type="dxa" w:w="5717"/>
            <w:tcMar>
              <w:top w:type="dxa" w:w="80"/>
              <w:left w:type="dxa" w:w="100"/>
              <w:bottom w:type="dxa" w:w="80"/>
              <w:right w:type="dxa" w:w="100"/>
            </w:tcMar>
          </w:tcPr>
          <w:p>
            <w:r>
              <w:rPr>
                <w:b w:val="false"/>
                <w:bCs w:val="false"/>
              </w:rPr>
              <w:t xml:space="preserve">Ruta directa confirmada en código: https://wsprocesar.com.mx/retiros/v1/999|1000|1001/portabilidad/... (alias wsconsultarprocesar, wsinsercionprocesar, wscancelarprocesar). El fglprofile define también una ruta alterna vía API Gateway ISSSTE (api2.issste.gob.mx), no referenciada por el código actual.</w:t>
            </w:r>
          </w:p>
        </w:tc>
      </w:tr>
      <w:tr>
        <w:tc>
          <w:tcPr>
            <w:tcW w:type="dxa" w:w="2301"/>
            <w:tcMar>
              <w:top w:type="dxa" w:w="80"/>
              <w:left w:type="dxa" w:w="100"/>
              <w:bottom w:type="dxa" w:w="80"/>
              <w:right w:type="dxa" w:w="100"/>
            </w:tcMar>
          </w:tcPr>
          <w:p>
            <w:r>
              <w:rPr>
                <w:b w:val="false"/>
                <w:bCs w:val="false"/>
              </w:rPr>
              <w:t xml:space="preserve">ProceSAR — Saldos Preliminares</w:t>
            </w:r>
          </w:p>
        </w:tc>
        <w:tc>
          <w:tcPr>
            <w:tcW w:type="dxa" w:w="1342"/>
            <w:tcMar>
              <w:top w:type="dxa" w:w="80"/>
              <w:left w:type="dxa" w:w="100"/>
              <w:bottom w:type="dxa" w:w="80"/>
              <w:right w:type="dxa" w:w="100"/>
            </w:tcMar>
          </w:tcPr>
          <w:p>
            <w:r>
              <w:rPr>
                <w:b w:val="false"/>
                <w:bCs w:val="false"/>
              </w:rPr>
              <w:t xml:space="preserve">SOAP</w:t>
            </w:r>
          </w:p>
        </w:tc>
        <w:tc>
          <w:tcPr>
            <w:tcW w:type="dxa" w:w="5717"/>
            <w:tcMar>
              <w:top w:type="dxa" w:w="80"/>
              <w:left w:type="dxa" w:w="100"/>
              <w:bottom w:type="dxa" w:w="80"/>
              <w:right w:type="dxa" w:w="100"/>
            </w:tcMar>
          </w:tcPr>
          <w:p>
            <w:r>
              <w:rPr>
                <w:b w:val="false"/>
                <w:bCs w:val="false"/>
              </w:rPr>
              <w:t xml:space="preserve">https://wsprocesar.com.mx/Retiros/SaldoPreliminarIssste</w:t>
            </w:r>
          </w:p>
        </w:tc>
      </w:tr>
      <w:tr>
        <w:tc>
          <w:tcPr>
            <w:tcW w:type="dxa" w:w="2301"/>
            <w:tcMar>
              <w:top w:type="dxa" w:w="80"/>
              <w:left w:type="dxa" w:w="100"/>
              <w:bottom w:type="dxa" w:w="80"/>
              <w:right w:type="dxa" w:w="100"/>
            </w:tcMar>
          </w:tcPr>
          <w:p>
            <w:r>
              <w:rPr>
                <w:b w:val="false"/>
                <w:bCs w:val="false"/>
              </w:rPr>
              <w:t xml:space="preserve">Servicio de firma (wsfirma)</w:t>
            </w:r>
          </w:p>
        </w:tc>
        <w:tc>
          <w:tcPr>
            <w:tcW w:type="dxa" w:w="1342"/>
            <w:tcMar>
              <w:top w:type="dxa" w:w="80"/>
              <w:left w:type="dxa" w:w="100"/>
              <w:bottom w:type="dxa" w:w="80"/>
              <w:right w:type="dxa" w:w="100"/>
            </w:tcMar>
          </w:tcPr>
          <w:p>
            <w:r>
              <w:rPr>
                <w:b w:val="false"/>
                <w:bCs w:val="false"/>
              </w:rPr>
              <w:t xml:space="preserve">REST</w:t>
            </w:r>
          </w:p>
        </w:tc>
        <w:tc>
          <w:tcPr>
            <w:tcW w:type="dxa" w:w="5717"/>
            <w:tcMar>
              <w:top w:type="dxa" w:w="80"/>
              <w:left w:type="dxa" w:w="100"/>
              <w:bottom w:type="dxa" w:w="80"/>
              <w:right w:type="dxa" w:w="100"/>
            </w:tcMar>
          </w:tcPr>
          <w:p>
            <w:r>
              <w:rPr>
                <w:b w:val="false"/>
                <w:bCs w:val="false"/>
              </w:rPr>
              <w:t xml:space="preserve">https://api2.issste.gob.mx/wsfirma</w:t>
            </w:r>
          </w:p>
        </w:tc>
      </w:tr>
      <w:tr>
        <w:tc>
          <w:tcPr>
            <w:tcW w:type="dxa" w:w="2301"/>
            <w:tcMar>
              <w:top w:type="dxa" w:w="80"/>
              <w:left w:type="dxa" w:w="100"/>
              <w:bottom w:type="dxa" w:w="80"/>
              <w:right w:type="dxa" w:w="100"/>
            </w:tcMar>
          </w:tcPr>
          <w:p>
            <w:r>
              <w:rPr>
                <w:b w:val="false"/>
                <w:bCs w:val="false"/>
              </w:rPr>
              <w:t xml:space="preserve">CNSF (ISucWebSWIS)</w:t>
            </w:r>
          </w:p>
        </w:tc>
        <w:tc>
          <w:tcPr>
            <w:tcW w:type="dxa" w:w="1342"/>
            <w:tcMar>
              <w:top w:type="dxa" w:w="80"/>
              <w:left w:type="dxa" w:w="100"/>
              <w:bottom w:type="dxa" w:w="80"/>
              <w:right w:type="dxa" w:w="100"/>
            </w:tcMar>
          </w:tcPr>
          <w:p>
            <w:r>
              <w:rPr>
                <w:b w:val="false"/>
                <w:bCs w:val="false"/>
              </w:rPr>
              <w:t xml:space="preserve">SOAP</w:t>
            </w:r>
          </w:p>
        </w:tc>
        <w:tc>
          <w:tcPr>
            <w:tcW w:type="dxa" w:w="5717"/>
            <w:tcMar>
              <w:top w:type="dxa" w:w="80"/>
              <w:left w:type="dxa" w:w="100"/>
              <w:bottom w:type="dxa" w:w="80"/>
              <w:right w:type="dxa" w:w="100"/>
            </w:tcMar>
          </w:tcPr>
          <w:p>
            <w:r>
              <w:rPr>
                <w:b w:val="false"/>
                <w:bCs w:val="false"/>
              </w:rPr>
              <w:t xml:space="preserve">http://172.16.5.196:10110/SucWebSWIS.dll/soap/ISucWebSWIS (IP interna; existe alterno comentado glsisucweb.sytes.net)</w:t>
            </w:r>
          </w:p>
        </w:tc>
      </w:tr>
      <w:tr>
        <w:tc>
          <w:tcPr>
            <w:tcW w:type="dxa" w:w="2301"/>
            <w:tcMar>
              <w:top w:type="dxa" w:w="80"/>
              <w:left w:type="dxa" w:w="100"/>
              <w:bottom w:type="dxa" w:w="80"/>
              <w:right w:type="dxa" w:w="100"/>
            </w:tcMar>
          </w:tcPr>
          <w:p>
            <w:r>
              <w:rPr>
                <w:b w:val="false"/>
                <w:bCs w:val="false"/>
              </w:rPr>
              <w:t xml:space="preserve">Dictamen de Beneficio Pensionario (WS7, autoconsumo)</w:t>
            </w:r>
          </w:p>
        </w:tc>
        <w:tc>
          <w:tcPr>
            <w:tcW w:type="dxa" w:w="1342"/>
            <w:tcMar>
              <w:top w:type="dxa" w:w="80"/>
              <w:left w:type="dxa" w:w="100"/>
              <w:bottom w:type="dxa" w:w="80"/>
              <w:right w:type="dxa" w:w="100"/>
            </w:tcMar>
          </w:tcPr>
          <w:p>
            <w:r>
              <w:rPr>
                <w:b w:val="false"/>
                <w:bCs w:val="false"/>
              </w:rPr>
              <w:t xml:space="preserve">REST</w:t>
            </w:r>
          </w:p>
        </w:tc>
        <w:tc>
          <w:tcPr>
            <w:tcW w:type="dxa" w:w="5717"/>
            <w:tcMar>
              <w:top w:type="dxa" w:w="80"/>
              <w:left w:type="dxa" w:w="100"/>
              <w:bottom w:type="dxa" w:w="80"/>
              <w:right w:type="dxa" w:w="100"/>
            </w:tcMar>
          </w:tcPr>
          <w:p>
            <w:r>
              <w:rPr>
                <w:b w:val="false"/>
                <w:bCs w:val="false"/>
              </w:rPr>
              <w:t xml:space="preserve">https://issstenet.issste.gob.mx/gasapp/ws/r/wsportabilidad/dictamenbeneficiopensionarios</w:t>
            </w:r>
          </w:p>
        </w:tc>
      </w:tr>
    </w:tbl>
    <w:p>
      <w:pPr>
        <w:pStyle w:val="Heading1"/>
        <w:spacing w:after="160" w:before="320"/>
      </w:pPr>
      <w:r>
        <w:t xml:space="preserve">5. Seguridad</w:t>
      </w:r>
    </w:p>
    <w:p>
      <w:pPr>
        <w:pStyle w:val="ListParagraph"/>
        <w:numPr>
          <w:ilvl w:val="0"/>
          <w:numId w:val="1"/>
        </w:numPr>
        <w:spacing w:after="60"/>
      </w:pPr>
      <w:r>
        <w:t xml:space="preserve">Todo dato de identidad, certificado, llave privada y contraseña se almacena y transmite encriptado.</w:t>
      </w:r>
    </w:p>
    <w:p>
      <w:pPr>
        <w:pStyle w:val="ListParagraph"/>
        <w:numPr>
          <w:ilvl w:val="0"/>
          <w:numId w:val="1"/>
        </w:numPr>
        <w:spacing w:after="60"/>
      </w:pPr>
      <w:r>
        <w:t xml:space="preserve">La Resolución de Transferencia de Derechos incluye un sello digital encriptado con certificado propio del Instituto.</w:t>
      </w:r>
    </w:p>
    <w:p>
      <w:pPr>
        <w:pStyle w:val="ListParagraph"/>
        <w:numPr>
          <w:ilvl w:val="0"/>
          <w:numId w:val="1"/>
        </w:numPr>
        <w:spacing w:after="60"/>
      </w:pPr>
      <w:r>
        <w:t xml:space="preserve">El acceso al módulo está restringido a invocaciones desde los portales institucionales autorizados.</w:t>
      </w:r>
    </w:p>
    <w:p>
      <w:pPr>
        <w:pStyle w:val="ListParagraph"/>
        <w:numPr>
          <w:ilvl w:val="0"/>
          <w:numId w:val="1"/>
        </w:numPr>
        <w:spacing w:after="60"/>
      </w:pPr>
      <w:r>
        <w:t xml:space="preserve">Los endpoints externos y sus credenciales de autenticación (RENAPO, ProceSAR) se configuran mediante archivo de perfil (fglprofile) por ambiente, no de forma fija en el código fuente.</w:t>
      </w:r>
    </w:p>
    <w:p>
      <w:pPr>
        <w:pStyle w:val="Heading1"/>
        <w:spacing w:after="160" w:before="320"/>
      </w:pPr>
      <w:r>
        <w:t xml:space="preserve">6. Supuestos</w:t>
      </w:r>
    </w:p>
    <w:p>
      <w:pPr>
        <w:shd w:fill="E2EFDA" w:val="clear"/>
        <w:spacing w:after="160"/>
      </w:pPr>
      <w:r>
        <w:rPr>
          <w:b/>
          <w:bCs/>
          <w:color w:val="2E7D32"/>
        </w:rPr>
        <w:t xml:space="preserve">Supuesto: </w:t>
      </w:r>
      <w:r>
        <w:t xml:space="preserve">El fglprofile de producción define, además de la ruta directa a wsprocesar.com.mx que el código utiliza, una ruta alterna vía API Gateway del ISSSTE (api2.issste.gob.mx) que no está referenciada en el código fuente revisado; podría tratarse de una vía de contingencia o de un remanente de configuración.</w:t>
      </w:r>
    </w:p>
    <w:p>
      <w:pPr>
        <w:shd w:fill="E2EFDA" w:val="clear"/>
        <w:spacing w:after="160"/>
      </w:pPr>
      <w:r>
        <w:rPr>
          <w:b/>
          <w:bCs/>
          <w:color w:val="2E7D32"/>
        </w:rPr>
        <w:t xml:space="preserve">Supuesto: </w:t>
      </w:r>
      <w:r>
        <w:t xml:space="preserve">El fglprofile revisado incluye además servicios de "Cambio de Régimen" (registro de folio de trabajador, preaviso, acuse) sobre el mismo dominio de ProceSAR, que no forman parte del alcance de este proyecto de portabilidad; se documentan aquí únicamente porque comparten el mismo archivo de configuración.</w:t>
      </w:r>
    </w:p>
    <w:p>
      <w:pPr>
        <w:shd w:fill="E2EFDA" w:val="clear"/>
        <w:spacing w:after="160"/>
      </w:pPr>
      <w:r>
        <w:rPr>
          <w:b/>
          <w:bCs/>
          <w:color w:val="2E7D32"/>
        </w:rPr>
        <w:t xml:space="preserve">Supuesto: </w:t>
      </w:r>
      <w:r>
        <w:t xml:space="preserve">El fglprofile contiene notas comentadas para un despliegue futuro en contenedores (Kubernetes), con URLs internas alternas; no están activas en la configuración actual.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FJL-F06-TD · Arquitectura Tecnológica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17383796500dd8baa73c9ecbaefca6b09e1f72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FJL-F06-TD · Arquitectura Tecnológica</dc:title>
  <dc:subject>Documentación oficial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2026-07-28T00:58:39.418Z</dcterms:created>
  <dcterms:modified xsi:type="dcterms:W3CDTF">2026-07-28T00:58:39.418Z</dcterms:modified>
</cp:coreProperties>
</file>

<file path=docProps/custom.xml><?xml version="1.0" encoding="utf-8"?>
<Properties xmlns="http://schemas.openxmlformats.org/officeDocument/2006/custom-properties" xmlns:vt="http://schemas.openxmlformats.org/officeDocument/2006/docPropsVTypes"/>
</file>