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808080"/>
          <w:sz w:val="20"/>
          <w:szCs w:val="20"/>
        </w:rPr>
        <w:t xml:space="preserve">FJL-F07-TD</w:t>
      </w:r>
    </w:p>
    <w:p>
      <w:pPr>
        <w:pStyle w:val="Title"/>
        <w:spacing w:after="200"/>
        <w:jc w:val="center"/>
      </w:pPr>
      <w:r>
        <w:t xml:space="preserve">Diseño</w:t>
      </w:r>
    </w:p>
    <w:p>
      <w:pPr>
        <w:spacing w:after="100"/>
        <w:jc w:val="center"/>
      </w:pPr>
      <w:r>
        <w:rPr>
          <w:b/>
          <w:bCs/>
          <w:sz w:val="26"/>
          <w:szCs w:val="26"/>
        </w:rPr>
        <w:t xml:space="preserve">Portabilidad de Derechos Pensionarios entre ISSSTE e IMSS</w:t>
      </w:r>
    </w:p>
    <w:p>
      <w:pPr>
        <w:spacing w:after="400"/>
        <w:jc w:val="center"/>
      </w:pPr>
      <w:r>
        <w:rPr>
          <w:i/>
          <w:iCs/>
          <w:color w:val="595959"/>
          <w:sz w:val="20"/>
          <w:szCs w:val="20"/>
        </w:rPr>
        <w:t xml:space="preserve">Entregable para Instituto de Seguridad y Servicios Sociales de los Trabajadores del Estado (ISSSTE) — Versión 1.0 (Entrega Final)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Control de versiones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2600"/>
        <w:gridCol w:w="1800"/>
        <w:gridCol w:w="2560"/>
      </w:tblGrid>
      <w:tr>
        <w:trPr>
          <w:tblHeader/>
        </w:trPr>
        <w:tc>
          <w:tcPr>
            <w:tcW w:type="dxa" w:w="10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Versión</w:t>
            </w:r>
          </w:p>
        </w:tc>
        <w:tc>
          <w:tcPr>
            <w:tcW w:type="dxa" w:w="14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Fecha</w:t>
            </w:r>
          </w:p>
        </w:tc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2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27/07/2026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Carlos Quintero (Four Js)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Entrega Final</w:t>
            </w:r>
          </w:p>
        </w:tc>
        <w:tc>
          <w:tcPr>
            <w:tcW w:type="dxa" w:w="2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Versión inicial — entrega formal a ISSSTE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Propósito</w:t>
      </w:r>
    </w:p>
    <w:p>
      <w:pPr>
        <w:spacing w:after="140"/>
      </w:pPr>
      <w:r>
        <w:t xml:space="preserve">Este documento presenta el diseño de módulos, pantallas, datos y contratos de servicio del sistema.</w:t>
      </w:r>
    </w:p>
    <w:p>
      <w:pPr>
        <w:pStyle w:val="Heading1"/>
        <w:spacing w:after="160" w:before="320"/>
      </w:pPr>
      <w:r>
        <w:t xml:space="preserve">2. Diseño de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Módulo</w:t>
            </w:r>
          </w:p>
        </w:tc>
        <w:tc>
          <w:tcPr>
            <w:tcW w:type="dxa" w:w="6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Responsabilidad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mSolicitudPortabilidad.4gl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Orquestador del proceso saliente; consume los servicios de IMSS y ProceSAR, invoca el dictamen y la firma.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lSolicitudPortabilidad.4gl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Librería de validaciones, folios, catálogos y utilidades compartidas.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mWS1ConsultaBasicaISSSTE.4gl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Servicio expuesto: Consulta Básica (proceso entrante).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mWS3ConsultaRobustaISSSTE.4gl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Servicio expuesto: Consulta Robusta con periodos (proceso entrante).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mWS6AvisoEstatusTransferenciaISSSTE.4gl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Servicio expuesto: Aviso de Estatus de Transferencia (proceso entrante).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mWs7DictamenBeneficioPensionario.4gl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Servicio de Dictamen de Beneficio Pensionario; integra consulta de saldos y CNSF.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archivos_CNSFws7.4gl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Consumo del servicio de la CNSF y cálculo de suficiencia de saldo.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lPeriodos.4gl / lPeriodosWS3.4gl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Motor de validación de periodos: sueldo, traslapes, marcado de periodos procesados.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lReporteSolicitud.4gl / mGeneraReporte.4gl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Generación y firma de los reportes de Solicitud y Resolución.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mClienteCURP.4gl / mClienteCURPDetalle.4gl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Cliente de consulta de CURP ante RENAPO (simple y detallada).</w:t>
            </w:r>
          </w:p>
        </w:tc>
      </w:tr>
    </w:tbl>
    <w:p>
      <w:pPr>
        <w:pStyle w:val="Heading1"/>
        <w:spacing w:after="160" w:before="320"/>
      </w:pPr>
      <w:r>
        <w:t xml:space="preserve">3. Diseño de pantallas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Pantalla</w:t>
            </w:r>
          </w:p>
        </w:tc>
        <w:tc>
          <w:tcPr>
            <w:tcW w:type="dxa" w:w="65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fSolicitudPortabilidad / _gdc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Captura de la solicitud: CURP, datos recuperados, NSS/correo/teléfono, sección de firma electrónica.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faDescargaSolicitudes / _gdc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Listado de solicitudes previas, con descarga de Solicitud y Resolución.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fDescargarSolicitud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Descarga puntual de un documento.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fMensajeER / _gdc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Mensaje de inconsistencia de registro (CURP duplicada o registro no válido en DIRECTO).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fMensajenoSAT / _gdc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Mensaje de falla en la firma electrónica.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fAyuda</w:t>
            </w:r>
          </w:p>
        </w:tc>
        <w:tc>
          <w:tcPr>
            <w:tcW w:type="dxa" w:w="65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Pantalla de ayuda al usuario.</w:t>
            </w:r>
          </w:p>
        </w:tc>
      </w:tr>
    </w:tbl>
    <w:p>
      <w:pPr>
        <w:pStyle w:val="Heading1"/>
        <w:spacing w:after="160" w:before="320"/>
      </w:pPr>
      <w:r>
        <w:t xml:space="preserve">4. Diseño de datos</w:t>
      </w:r>
    </w:p>
    <w:p>
      <w:pPr>
        <w:spacing w:after="140"/>
      </w:pPr>
      <w:r>
        <w:t xml:space="preserve">Ver el modelo conceptual completo en FJL-F03-TD-Diagnóstico Conceptual. A continuación, el mismo diagrama como referencia rápida:</w:t>
      </w:r>
    </w:p>
    <w:p>
      <w:pPr>
        <w:spacing w:after="60"/>
        <w:jc w:val="center"/>
      </w:pPr>
      <w:r>
        <w:drawing>
          <wp:inline distT="0" distB="0" distL="0" distR="0">
            <wp:extent cx="55245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Diagrama Entidad-Relación (referencia)</w:t>
      </w:r>
    </w:p>
    <w:p>
      <w:pPr>
        <w:pStyle w:val="Heading1"/>
        <w:spacing w:after="160" w:before="320"/>
      </w:pPr>
      <w:r>
        <w:t xml:space="preserve">5. Contratos de servicio</w:t>
      </w:r>
    </w:p>
    <w:p>
      <w:pPr>
        <w:pStyle w:val="Heading2"/>
        <w:spacing w:after="120" w:before="240"/>
      </w:pPr>
      <w:r>
        <w:t xml:space="preserve">5.1 Servicios del proceso saliente</w:t>
      </w:r>
    </w:p>
    <w:p>
      <w:pPr>
        <w:pStyle w:val="Heading3"/>
        <w:spacing w:after="100" w:before="200"/>
      </w:pPr>
      <w:r>
        <w:t xml:space="preserve">IMSS-WS1-EstatusAsegurado</w:t>
      </w:r>
    </w:p>
    <w:p>
      <w:pPr>
        <w:spacing w:after="140"/>
      </w:pPr>
      <w:r>
        <w:t xml:space="preserve">Datos de entrada: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Instituto receptor del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01=IMSS, 02=ISSSTE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 IMSS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(11)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(18)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inicio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y hora (19)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Hora de la CDMX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Correo electrónico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(255)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40"/>
      </w:pPr>
      <w:r>
        <w:t xml:space="preserve">Datos de 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Código resultado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01=Aceptado, 02=Rechazo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Motivo de rechazo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(3)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 código resultado=02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 / Primer apellido / Segundo apellido / Nombre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 (según campo)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Sólo si código resultado=01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(11)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 registrado en la entidad que transfiere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de baja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(10)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Sólo si código resultado=01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Observaciones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(255)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3"/>
        <w:spacing w:after="100" w:before="200"/>
      </w:pPr>
      <w:r>
        <w:t xml:space="preserve">PSAR-WS2-Consulta</w:t>
      </w:r>
    </w:p>
    <w:p>
      <w:pPr>
        <w:spacing w:after="140"/>
      </w:pPr>
      <w:r>
        <w:t xml:space="preserve">Datos de entrada: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Instituto receptor del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01=IMSS, 02=ISSSTE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 IMSS / CURP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Requerido sólo si Tipo Consulta=01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Folio trámite de entidad receptora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(50)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Requerido sólo si Tipo Consulta=02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Primer apellido / Nombre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(50)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Segundo apellido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(50)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inicio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y hora (19)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Hora de la CDMX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Correo electrónico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(255)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40"/>
      </w:pPr>
      <w:r>
        <w:t xml:space="preserve">Datos de 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Código resultado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01=Aceptado, 02=Rechazo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Motivo de rechazo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(3)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 código resultado=02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Folio PROCESAR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(50)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Conforme a regla de negocio de ProceSAR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del registro del estatus en BD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y hora (19)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Registro de la petición o del estatus 01 previo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en BD de dictaminación de portabilidad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Catálogo de estatus a reportar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Derecho otorgado IMSS / ISSSTE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(130)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 hay más de un derecho, se informa el último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del otorgamiento del derecho IMSS / ISSSTE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(10)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Corresponde a la FIP</w:t>
            </w:r>
          </w:p>
        </w:tc>
      </w:tr>
    </w:tbl>
    <w:p>
      <w:pPr>
        <w:pStyle w:val="Heading3"/>
        <w:spacing w:after="100" w:before="200"/>
      </w:pPr>
      <w:r>
        <w:t xml:space="preserve">IMSS-WS3-ConsultaPeriodos</w:t>
      </w:r>
    </w:p>
    <w:p>
      <w:pPr>
        <w:spacing w:after="140"/>
      </w:pPr>
      <w:r>
        <w:t xml:space="preserve">Datos de entrada: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Instituto receptor del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01=IMSS, 02=ISSSTE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 IMSS / CURP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inicio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(10)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Correo electrónico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(255)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Folio trámite de entidad receptora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(50)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Indicador marca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(1)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0=Sin marca, 1=Marcar</w:t>
            </w:r>
          </w:p>
        </w:tc>
      </w:tr>
    </w:tbl>
    <w:p>
      <w:pPr>
        <w:spacing w:after="140"/>
      </w:pPr>
      <w:r>
        <w:t xml:space="preserve">Datos de 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Código resultado / Motivo de rechazo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 / 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01=Aceptado, 02=Rechazo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 / Apellidos / Nombre / NSS / Fecha de baja / Observaciones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 (según campo)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Sólo si código resultado=01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de envío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y hora (19)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Hora de la CDMX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Periodos portados / Eventos deducción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(4)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Número de arreglos por periodo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Días cotizados / descontados / reintegrados / total de días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(5)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Total incluye descuentos y reintegros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Arreglo por periodo: fecha inicio/término, dependencia o patrón, pagaduría, RP/ramo-pagaduría, entidad federativa, sueldo registrado, tipo de movimiento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/ Alfanumérico / 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repite por cada periodo cotizado</w:t>
            </w:r>
          </w:p>
        </w:tc>
      </w:tr>
    </w:tbl>
    <w:p>
      <w:pPr>
        <w:pStyle w:val="Heading3"/>
        <w:spacing w:after="100" w:before="200"/>
      </w:pPr>
      <w:r>
        <w:t xml:space="preserve">PSAR-WS4-Insercion</w:t>
      </w:r>
    </w:p>
    <w:p>
      <w:pPr>
        <w:spacing w:after="140"/>
      </w:pPr>
      <w:r>
        <w:t xml:space="preserve">Datos de entrada: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Instituto receptor del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01=IMSS, 02=ISSSTE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 IMSS / CURP / Folio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de baja IMSS / ISSSTE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Fecha (10)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 envía si está dado de baja en el instituto correspondiente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Días cotizados / descontados / reintegrados / total de días (IMSS e ISSSTE)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(5)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Total de semanas/años reconocidos IMSS/ISSSTE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(5)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IMSS en semanas, ISSSTE en años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Observaciones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(255)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spacing w:after="140"/>
      </w:pPr>
      <w:r>
        <w:t xml:space="preserve">Datos de 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Código resultado / Motivo de rechazo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 / 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01=Aceptado, 02=Rechazo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Folio PROCESAR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(50)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Conforme a regla de negocio de ProceSAR</w:t>
            </w:r>
          </w:p>
        </w:tc>
      </w:tr>
    </w:tbl>
    <w:p>
      <w:pPr>
        <w:pStyle w:val="Heading3"/>
        <w:spacing w:after="100" w:before="200"/>
      </w:pPr>
      <w:r>
        <w:t xml:space="preserve">PSAR-WS5-Cancelacion</w:t>
      </w:r>
    </w:p>
    <w:p>
      <w:pPr>
        <w:spacing w:after="140"/>
      </w:pPr>
      <w:r>
        <w:t xml:space="preserve">Datos de entrada: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Instituto receptor del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01=IMSS, 02=ISSSTE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 IMSS / CURP / Folio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Estatus a reportar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Catálogo de estatus a reportar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Motivo de rechazo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(3)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Sólo si el estatus reportado es de rechazo</w:t>
            </w:r>
          </w:p>
        </w:tc>
      </w:tr>
    </w:tbl>
    <w:p>
      <w:pPr>
        <w:spacing w:after="140"/>
      </w:pPr>
      <w:r>
        <w:t xml:space="preserve">Datos de 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Código resultado / Motivo de rechazo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 / 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01=Aceptado, 02=Rechazo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Folio PROCESAR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(50)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</w:tbl>
    <w:p>
      <w:pPr>
        <w:pStyle w:val="Heading3"/>
        <w:spacing w:after="100" w:before="200"/>
      </w:pPr>
      <w:r>
        <w:t xml:space="preserve">IMSS-WS6-ConclusionPortabilidad</w:t>
      </w:r>
    </w:p>
    <w:p>
      <w:pPr>
        <w:spacing w:after="140"/>
      </w:pPr>
      <w:r>
        <w:t xml:space="preserve">Datos de entrada: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Instituto receptor del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01=IMSS, 02=ISSSTE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 IMSS / CURP / Folio trámite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Resultado de integración a portabilidad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(1)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0=No procedió, 1=Sí procedió</w:t>
            </w:r>
          </w:p>
        </w:tc>
      </w:tr>
    </w:tbl>
    <w:p>
      <w:pPr>
        <w:spacing w:after="140"/>
      </w:pPr>
      <w:r>
        <w:t xml:space="preserve">Datos de 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Código resultado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01=Aceptado (el instituto que transfiere reversa y marca los periodos), 02=Rechazo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Motivo de rechazo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(3)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Si código resultado=02</w:t>
            </w:r>
          </w:p>
        </w:tc>
      </w:tr>
    </w:tbl>
    <w:p>
      <w:pPr>
        <w:pStyle w:val="Heading2"/>
        <w:spacing w:after="120" w:before="240"/>
      </w:pPr>
      <w:r>
        <w:t xml:space="preserve">5.2 Servicios del proceso entrante</w:t>
      </w:r>
    </w:p>
    <w:p>
      <w:pPr>
        <w:spacing w:after="140"/>
      </w:pPr>
      <w:r>
        <w:t xml:space="preserve">ISSSTE-WS1-ConsultaBasica e ISSSTE-WS3-ConsultaRobusta comparten estructura de campos con sus equivalentes del proceso saliente, invirtiendo receptor/transferente. Adicionalmente, cuando el trámite se rechaza o cancela (por determinación de IMSS o por una validación interna de los registros), se invoca PSAR-WS5-Cancelacion para notificar la cancelación a ProceSAR, después de haber atendido ISSSTE-WS3-ConsultaRobusta.</w:t>
      </w:r>
    </w:p>
    <w:p>
      <w:pPr>
        <w:pStyle w:val="Heading2"/>
        <w:spacing w:after="120" w:before="240"/>
      </w:pPr>
      <w:r>
        <w:t xml:space="preserve">5.3 ISSSTE-WS7-DictamenBeneficioPensionario</w:t>
      </w:r>
    </w:p>
    <w:p>
      <w:pPr>
        <w:spacing w:after="140"/>
      </w:pPr>
      <w:r>
        <w:t xml:space="preserve">Datos de entrada: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NSS_IMSS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(11)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CURP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(18)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TIEMPO_COTIZADO_IMSS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TIEMPO_COTIZADO_ISSSTE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SALARIO_PROM_HL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(12,2)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Salario promedio de la Historia Laboral</w:t>
            </w:r>
          </w:p>
        </w:tc>
      </w:tr>
    </w:tbl>
    <w:p>
      <w:pPr>
        <w:spacing w:after="140"/>
      </w:pPr>
      <w:r>
        <w:t xml:space="preserve">Datos de salida: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900"/>
        <w:gridCol w:w="396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Tipo / Longitud</w:t>
            </w:r>
          </w:p>
        </w:tc>
        <w:tc>
          <w:tcPr>
            <w:tcW w:type="dxa" w:w="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Oblig.</w:t>
            </w:r>
          </w:p>
        </w:tc>
        <w:tc>
          <w:tcPr>
            <w:tcW w:type="dxa" w:w="396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NSS_IMSS / CURP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CVE_BENEFICIO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Numérico (2)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99=Error, 0=Sin derecho, 1=Retiro anticipado, 2=Cesantía en edad avanzada, 3=Vejez, 14=Retiro de saldo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DESC_BENEFICIO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(30)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Descripción del valor de CVE_BENEFICIO (o del error, si CVE_BENEFICIO=99)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DERECHO_PENSION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Alfanumérico (1)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39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S/N; "S" únicamente si CVE_BENEFICIO es 1, 2 o 3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FJL-F07-TD · Diseño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C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2861bf69845b5ff1a8335c59ac3c25b1bcab9f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FJL-F07-TD · Diseño</dc:title>
  <dc:subject>Documentación oficial del proyecto</dc:subject>
  <dc:creator>Carlos Quintero (carlos.quintero@4js.com)</dc:creator>
  <dc:description>Portabilidad de Derechos Pensionarios entre ISSSTE e IMSS</dc:description>
  <cp:lastModifiedBy>Carlos Quintero (carlos.quintero@4js.com)</cp:lastModifiedBy>
  <cp:revision>1</cp:revision>
  <dcterms:created xsi:type="dcterms:W3CDTF">2026-07-28T00:58:39.486Z</dcterms:created>
  <dcterms:modified xsi:type="dcterms:W3CDTF">2026-07-28T00:58:39.486Z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