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808080"/>
          <w:sz w:val="20"/>
          <w:szCs w:val="20"/>
        </w:rPr>
        <w:t xml:space="preserve">FJL-F12-TD</w:t>
      </w:r>
    </w:p>
    <w:p>
      <w:pPr>
        <w:pStyle w:val="Title"/>
        <w:spacing w:after="200"/>
        <w:jc w:val="center"/>
      </w:pPr>
      <w:r>
        <w:t xml:space="preserve">Plan de Calidad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Portabilidad de Derechos Pensionarios entre ISSSTE e IMSS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Entregable para Instituto de Seguridad y Servicios Sociales de los Trabajadores del Estado (ISSSTE) — Versión 1.0 (Entrega Final)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1800"/>
        <w:gridCol w:w="256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1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2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27/07/2026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Carlos Quintero (Four Js)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Entrega Final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Versión inicial — entrega formal a ISSSTE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Propósito</w:t>
      </w:r>
    </w:p>
    <w:p>
      <w:pPr>
        <w:spacing w:after="140"/>
      </w:pPr>
      <w:r>
        <w:t xml:space="preserve">Este plan define los objetivos, estándares, actividades y roles de aseguramiento de calidad para el proyecto.</w:t>
      </w:r>
    </w:p>
    <w:p>
      <w:pPr>
        <w:pStyle w:val="Heading1"/>
        <w:spacing w:after="160" w:before="320"/>
      </w:pPr>
      <w:r>
        <w:t xml:space="preserve">2. Objetivos de calidad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Que cada requerimiento funcional cuente con al menos un escenario de prueba asociado.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Que el catálogo de reglas de negocio y motivos de rechazo se aplique de forma idéntica en ambos procesos (saliente y entrante).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Que ningún dato sensible (certificado, llave, contraseña) se exponga en bitácoras o mensajes de error.</w:t>
      </w:r>
    </w:p>
    <w:p>
      <w:pPr>
        <w:pStyle w:val="Heading1"/>
        <w:spacing w:after="160" w:before="320"/>
      </w:pPr>
      <w:r>
        <w:t xml:space="preserve">3. Estándares a seguir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Nomenclatura de servicios [INSTITUTO]-WS[NN]-[NombreFunción] (FJL-F02, sección 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Convenciones de nomenclatura de archivos fuente (FJL-F11, sección 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Catálogo único y versionado de motivos de rechazo (FJL-F10).</w:t>
      </w:r>
    </w:p>
    <w:p>
      <w:pPr>
        <w:pStyle w:val="Heading1"/>
        <w:spacing w:after="160" w:before="320"/>
      </w:pPr>
      <w:r>
        <w:t xml:space="preserve">4. Actividades de aseguramiento de calidad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Actividad</w:t>
            </w:r>
          </w:p>
        </w:tc>
        <w:tc>
          <w:tcPr>
            <w:tcW w:type="dxa" w:w="2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Frecuencia</w:t>
            </w:r>
          </w:p>
        </w:tc>
        <w:tc>
          <w:tcPr>
            <w:tcW w:type="dxa" w:w="37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Revisión de código (peer review)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cada entrega/módulo</w:t>
            </w:r>
          </w:p>
        </w:tc>
        <w:tc>
          <w:tcPr>
            <w:tcW w:type="dxa" w:w="3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Equipo de desarrollo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Ejecución de escenarios de prueba (FJL-F13)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cada liberación</w:t>
            </w:r>
          </w:p>
        </w:tc>
        <w:tc>
          <w:tcPr>
            <w:tcW w:type="dxa" w:w="3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Equipo de calidad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Verificación de cumplimiento de requerimientos (FJL-F04)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versión formal</w:t>
            </w:r>
          </w:p>
        </w:tc>
        <w:tc>
          <w:tcPr>
            <w:tcW w:type="dxa" w:w="3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Líder técnico / ISSSTE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Auditoría de manejo de credenciales de firma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Trimestral</w:t>
            </w:r>
          </w:p>
        </w:tc>
        <w:tc>
          <w:tcPr>
            <w:tcW w:type="dxa" w:w="3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Seguridad de la información</w:t>
            </w:r>
          </w:p>
        </w:tc>
      </w:tr>
    </w:tbl>
    <w:p>
      <w:pPr>
        <w:pStyle w:val="Heading1"/>
        <w:spacing w:after="160" w:before="320"/>
      </w:pPr>
      <w:r>
        <w:t xml:space="preserve">5. Roles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Rol</w:t>
            </w:r>
          </w:p>
        </w:tc>
        <w:tc>
          <w:tcPr>
            <w:tcW w:type="dxa" w:w="61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Responsabilidad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Líder técnico</w:t>
            </w:r>
          </w:p>
        </w:tc>
        <w:tc>
          <w:tcPr>
            <w:tcW w:type="dxa" w:w="6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Aprobar cambios a requerimientos y reglas de negocio.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Equipo de desarrollo</w:t>
            </w:r>
          </w:p>
        </w:tc>
        <w:tc>
          <w:tcPr>
            <w:tcW w:type="dxa" w:w="6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Implementar y documentar cambios conforme a los estándares.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Equipo de calidad</w:t>
            </w:r>
          </w:p>
        </w:tc>
        <w:tc>
          <w:tcPr>
            <w:tcW w:type="dxa" w:w="6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Diseñar y ejecutar escenarios de prueba.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ISSSTE (responsable funcional)</w:t>
            </w:r>
          </w:p>
        </w:tc>
        <w:tc>
          <w:tcPr>
            <w:tcW w:type="dxa" w:w="6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Validar y firmar la conformidad de los entregables.</w:t>
            </w:r>
          </w:p>
        </w:tc>
      </w:tr>
    </w:tbl>
    <w:p>
      <w:pPr>
        <w:pStyle w:val="Heading1"/>
        <w:spacing w:after="160" w:before="320"/>
      </w:pPr>
      <w:r>
        <w:t xml:space="preserve">6. Métricas de calidad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Porcentaje de requerimientos con escenario de prueba documentado.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Número de incidencias reportadas por falla de comunicación con servicios externos, por periodo.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Tiempo promedio de resolución de solicitudes en estatus "En Proceso".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FJL-F12-TD · Plan de Calidad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C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FJL-F12-TD · Plan de Calidad</dc:title>
  <dc:subject>Documentación oficial del proyecto</dc:subject>
  <dc:creator>Carlos Quintero (carlos.quintero@4js.com)</dc:creator>
  <dc:description>Portabilidad de Derechos Pensionarios entre ISSSTE e IMSS</dc:description>
  <cp:lastModifiedBy>Carlos Quintero (carlos.quintero@4js.com)</cp:lastModifiedBy>
  <cp:revision>1</cp:revision>
  <dcterms:created xsi:type="dcterms:W3CDTF">2026-07-28T00:58:39.688Z</dcterms:created>
  <dcterms:modified xsi:type="dcterms:W3CDTF">2026-07-28T00:58:39.688Z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