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Guía de Operación del Usuario</w:t>
      </w:r>
    </w:p>
    <w:p>
      <w:pPr>
        <w:spacing w:after="100"/>
        <w:jc w:val="center"/>
      </w:pPr>
      <w:r>
        <w:rPr>
          <w:b/>
          <w:bCs/>
          <w:sz w:val="26"/>
          <w:szCs w:val="26"/>
        </w:rPr>
        <w:t xml:space="preserve">Sistema de Transferencia de Derechos Pensionarios entre ISSSTE e IMSS</w:t>
      </w:r>
    </w:p>
    <w:p>
      <w:pPr>
        <w:spacing w:after="400"/>
        <w:jc w:val="center"/>
      </w:pPr>
      <w:r>
        <w:rPr>
          <w:i/>
          <w:iCs/>
          <w:color w:val="595959"/>
          <w:sz w:val="20"/>
          <w:szCs w:val="20"/>
        </w:rPr>
        <w:t xml:space="preserve">Manual de Usuario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¿Qué es el sistema?</w:t>
      </w:r>
    </w:p>
    <w:p>
      <w:pPr>
        <w:spacing w:after="140"/>
      </w:pPr>
      <w:r>
        <w:t xml:space="preserve">El sistema de Transferencia de Derechos Pensionarios permite a un derechohabiente del ISSSTE tramitar la portabilidad de sus derechos pensionarios hacia el IMSS, y también permite que el ISSSTE atienda las solicitudes de portabilidad que el IMSS envía respecto de sus propios derechohabientes. En ambos casos, el sistema valida la información del derechohabiente, verifica que cumpla con los requisitos de elegibilidad, calcula el tiempo cotizado combinado entre ambos institutos y emite una resolución sobre el trámite.</w:t>
      </w:r>
    </w:p>
    <w:p>
      <w:pPr>
        <w:pStyle w:val="Heading1"/>
        <w:spacing w:after="160" w:before="320"/>
      </w:pPr>
      <w:r>
        <w:t xml:space="preserve">2. Acceso al sistema</w:t>
      </w:r>
    </w:p>
    <w:p>
      <w:pPr>
        <w:spacing w:after="140"/>
      </w:pPr>
      <w:r>
        <w:t xml:space="preserve">El acceso al módulo de Transferencia de Derechos se realiza desde dos portales institucionales:</w:t>
      </w:r>
    </w:p>
    <w:p>
      <w:pPr>
        <w:pStyle w:val="ListParagraph"/>
        <w:numPr>
          <w:ilvl w:val="0"/>
          <w:numId w:val="1"/>
        </w:numPr>
        <w:spacing w:after="60"/>
      </w:pPr>
      <w:r>
        <w:t xml:space="preserve">SINAVID-OV — Sistema Nacional de Vigencia de Derechos, Oficina Virtual.</w:t>
      </w:r>
    </w:p>
    <w:p>
      <w:pPr>
        <w:pStyle w:val="ListParagraph"/>
        <w:numPr>
          <w:ilvl w:val="0"/>
          <w:numId w:val="1"/>
        </w:numPr>
        <w:spacing w:after="60"/>
      </w:pPr>
      <w:r>
        <w:t xml:space="preserve">SIPE-AV — Sistema Integral de Prestaciones Económicas, Afiliación y Vigencia.</w:t>
      </w:r>
    </w:p>
    <w:p>
      <w:pPr>
        <w:spacing w:after="140"/>
      </w:pPr>
      <w:r>
        <w:t xml:space="preserve">Al ingresar desde cualquiera de los dos, el portal envía la CURP del derechohabiente junto con el sistema de origen y el usuario que realiza la operación; esta información viaja protegida en todo momento. Si el módulo se abre fuera de estos portales, se muestra el mensaje "Servicio disponible únicamente desde el portal SINAVID-OV o SIPE-AV" y no permite continuar.</w:t>
      </w:r>
    </w:p>
    <w:p>
      <w:pPr>
        <w:pStyle w:val="Heading1"/>
        <w:spacing w:after="160" w:before="320"/>
      </w:pPr>
      <w:r>
        <w:t xml:space="preserve">3. Consultar solicitudes existentes</w:t>
      </w:r>
    </w:p>
    <w:p>
      <w:pPr>
        <w:spacing w:after="140"/>
      </w:pPr>
      <w:r>
        <w:t xml:space="preserve">Al ingresar, el sistema busca automáticamente si ya existen solicitudes de transferencia registradas para el derechohabiente. Si encuentra una o más, se presenta una lista con folio, fecha, NSS, correo, y estatus del trámite (ver significado en la sección 6). Desde ahí se puede ver o descargar la solicitud y la resolución, iniciar una nueva solicitud (si no hay ninguna en trámite) o salir de la consulta.</w:t>
      </w:r>
    </w:p>
    <w:p>
      <w:pPr>
        <w:spacing w:after="140"/>
      </w:pPr>
      <w:r>
        <w:t xml:space="preserve">Por acuerdo entre los institutos, un mismo derechohabiente puede llegar a tener más de una solicitud de portabilidad a lo largo del tiempo, siempre que el trámite anterior haya concluido por completo.</w:t>
      </w:r>
    </w:p>
    <w:p>
      <w:pPr>
        <w:pStyle w:val="Heading1"/>
        <w:spacing w:after="160" w:before="320"/>
      </w:pPr>
      <w:r>
        <w:t xml:space="preserve">4. Registrar una nueva solicitud de transferencia</w:t>
      </w:r>
    </w:p>
    <w:p>
      <w:pPr>
        <w:pStyle w:val="Heading2"/>
        <w:spacing w:after="120" w:before="240"/>
      </w:pPr>
      <w:r>
        <w:t xml:space="preserve">4.1 Captura de la CURP y datos automáticos</w:t>
      </w:r>
    </w:p>
    <w:p>
      <w:pPr>
        <w:spacing w:after="140"/>
      </w:pPr>
      <w:r>
        <w:t xml:space="preserve">Al capturar la CURP (18 caracteres), el sistema recupera y muestra de forma automática: nombre completo, Número ISSSTE, fecha de nacimiento, antigüedad o tiempo cotizado, régimen de pensión (Ordinario o Décimo Transitorio) y situación de afiliación (Activo, Baja, Finado o Indeterminado). La CURP se valida además contra el registro nacional de identidad (RENAPO).</w:t>
      </w:r>
    </w:p>
    <w:p>
      <w:pPr>
        <w:spacing w:after="140"/>
      </w:pPr>
      <w:r>
        <w:t xml:space="preserve">Si la situación de afiliación es "Finado" o el estatus de vigencia es "Indeterminado", el sistema no permite continuar con el trámite y genera automáticamente un documento de rechazo, recomendando acudir a la Representación del ISSSTE correspondiente para corregir la información. Si la situación es "Activo" o "Baja", el trámite continúa normalmente.</w:t>
      </w:r>
    </w:p>
    <w:p>
      <w:pPr>
        <w:pStyle w:val="Heading2"/>
        <w:spacing w:after="120" w:before="240"/>
      </w:pPr>
      <w:r>
        <w:t xml:space="preserve">4.2 Datos de contacto</w:t>
      </w:r>
    </w:p>
    <w:p>
      <w:pPr>
        <w:pStyle w:val="ListParagraph"/>
        <w:numPr>
          <w:ilvl w:val="0"/>
          <w:numId w:val="1"/>
        </w:numPr>
        <w:spacing w:after="60"/>
      </w:pPr>
      <w:r>
        <w:t xml:space="preserve">Número de Seguridad Social (NSS) del instituto receptor: 11 dígitos (se completa automáticamente con un cero a la izquierda si se capturan 10).</w:t>
      </w:r>
    </w:p>
    <w:p>
      <w:pPr>
        <w:pStyle w:val="ListParagraph"/>
        <w:numPr>
          <w:ilvl w:val="0"/>
          <w:numId w:val="1"/>
        </w:numPr>
        <w:spacing w:after="60"/>
      </w:pPr>
      <w:r>
        <w:t xml:space="preserve">Correo electrónico: formato cuenta@dominio.com.</w:t>
      </w:r>
    </w:p>
    <w:p>
      <w:pPr>
        <w:pStyle w:val="ListParagraph"/>
        <w:numPr>
          <w:ilvl w:val="0"/>
          <w:numId w:val="1"/>
        </w:numPr>
        <w:spacing w:after="60"/>
      </w:pPr>
      <w:r>
        <w:t xml:space="preserve">Teléfono: 10 dígitos.</w:t>
      </w:r>
    </w:p>
    <w:p>
      <w:pPr>
        <w:pStyle w:val="Heading2"/>
        <w:spacing w:after="120" w:before="240"/>
      </w:pPr>
      <w:r>
        <w:t xml:space="preserve">4.3 Firma electrónica de la solicitud</w:t>
      </w:r>
    </w:p>
    <w:p>
      <w:pPr>
        <w:spacing w:after="140"/>
      </w:pPr>
      <w:r>
        <w:t xml:space="preserve">Antes de enviar la solicitud es necesario firmarla electrónicamente, seleccionando el certificado digital (e.firma/FIEL), la llave privada y capturando la contraseña correspondiente. El sistema realiza de forma automática la autenticación necesaria para firmar y generar los documentos de Solicitud y Resolución.</w:t>
      </w:r>
    </w:p>
    <w:p>
      <w:pPr>
        <w:spacing w:after="140"/>
      </w:pPr>
      <w:r>
        <w:t xml:space="preserve">Medidas de seguridad de la firma:</w:t>
      </w:r>
    </w:p>
    <w:p>
      <w:pPr>
        <w:pStyle w:val="ListParagraph"/>
        <w:numPr>
          <w:ilvl w:val="0"/>
          <w:numId w:val="1"/>
        </w:numPr>
        <w:spacing w:after="60"/>
      </w:pPr>
      <w:r>
        <w:t xml:space="preserve">Todos los datos se almacenan y viajan encriptados.</w:t>
      </w:r>
    </w:p>
    <w:p>
      <w:pPr>
        <w:pStyle w:val="ListParagraph"/>
        <w:numPr>
          <w:ilvl w:val="0"/>
          <w:numId w:val="1"/>
        </w:numPr>
        <w:spacing w:after="60"/>
      </w:pPr>
      <w:r>
        <w:t xml:space="preserve">La contraseña y los certificados almacenados nunca se difunden por ningún medio.</w:t>
      </w:r>
    </w:p>
    <w:p>
      <w:pPr>
        <w:pStyle w:val="ListParagraph"/>
        <w:numPr>
          <w:ilvl w:val="0"/>
          <w:numId w:val="1"/>
        </w:numPr>
        <w:spacing w:after="60"/>
      </w:pPr>
      <w:r>
        <w:t xml:space="preserve">Los archivos del certificado y la llave no son manipulados directamente por ningún usuario del sistema.</w:t>
      </w:r>
    </w:p>
    <w:p>
      <w:pPr>
        <w:pStyle w:val="ListParagraph"/>
        <w:numPr>
          <w:ilvl w:val="0"/>
          <w:numId w:val="1"/>
        </w:numPr>
        <w:spacing w:after="60"/>
      </w:pPr>
      <w:r>
        <w:t xml:space="preserve">La contraseña se usa siempre en su formato encriptado, hasta el momento en que se invoca el servicio de firma.</w:t>
      </w:r>
    </w:p>
    <w:p>
      <w:pPr>
        <w:pStyle w:val="ListParagraph"/>
        <w:numPr>
          <w:ilvl w:val="0"/>
          <w:numId w:val="1"/>
        </w:numPr>
        <w:spacing w:after="60"/>
      </w:pPr>
      <w:r>
        <w:t xml:space="preserve">Como medida adicional de seguridad, el documento de Resolución incluye un sello digital, también encriptado, generado con un certificado propio del Instituto.</w:t>
      </w:r>
    </w:p>
    <w:p>
      <w:pPr>
        <w:spacing w:after="140"/>
      </w:pPr>
      <w:r>
        <w:t xml:space="preserve">Este servicio de firma es provisto por el Instituto en acuerdo explícito con el SAT; para el usuario resulta transparente si el servicio está expuesto directamente por el SAT o por el Instituto.</w:t>
      </w:r>
    </w:p>
    <w:p>
      <w:pPr>
        <w:pStyle w:val="Heading2"/>
        <w:spacing w:after="120" w:before="240"/>
      </w:pPr>
      <w:r>
        <w:t xml:space="preserve">4.4 Envío de la solicitud</w:t>
      </w:r>
    </w:p>
    <w:p>
      <w:pPr>
        <w:spacing w:after="140"/>
      </w:pPr>
      <w:r>
        <w:t xml:space="preserve">Si ya existe una solicitud registrada para la misma CURP en trámite, el sistema no permite capturar una nueva y muestra el listado de solicitudes existentes. Si todo es correcto, se muestra el mensaje "Proceso de Transferencia de Derechos Iniciado", se firma electrónicamente la solicitud y se genera el folio con el que se dará seguimiento al trámite.</w:t>
      </w:r>
    </w:p>
    <w:p>
      <w:pPr>
        <w:pStyle w:val="Heading1"/>
        <w:spacing w:after="160" w:before="320"/>
      </w:pPr>
      <w:r>
        <w:t xml:space="preserve">5. Documentos generados</w:t>
      </w:r>
    </w:p>
    <w:p>
      <w:pPr>
        <w:pStyle w:val="Heading2"/>
        <w:spacing w:after="120" w:before="240"/>
      </w:pPr>
      <w:r>
        <w:t xml:space="preserve">5.1 Solicitud de Transferencia de Derechos</w:t>
      </w:r>
    </w:p>
    <w:p>
      <w:pPr>
        <w:spacing w:after="140"/>
      </w:pPr>
      <w:r>
        <w:t xml:space="preserve">Incluye: fecha y folio de la solicitud, nombre completo, régimen pensionario, NSS ISSSTE, situación afiliatoria, CURP, fecha de baja, fecha de nacimiento, antigüedad para pensiones, NSS IMSS, correo, teléfono, y un espacio para nombre completo y firma autógrafa, además de la firma y sello del operador.</w:t>
      </w:r>
    </w:p>
    <w:p>
      <w:pPr>
        <w:pStyle w:val="Heading2"/>
        <w:spacing w:after="120" w:before="240"/>
      </w:pPr>
      <w:r>
        <w:t xml:space="preserve">5.2 Resolución de Transferencia de Derechos</w:t>
      </w:r>
    </w:p>
    <w:p>
      <w:pPr>
        <w:spacing w:after="140"/>
      </w:pPr>
      <w:r>
        <w:t xml:space="preserve">Incluye los mismos datos registrados, más el Resultado del trámite, el Motivo de Rechazo (cuando aplica), Observaciones, y el sello digital del Instituto. Cuando el trámite determina que existe beneficio pensionario, el sistema consulta de forma automática los saldos preliminares del derechohabiente y consume el servicio de la CNSF, para completar esa determinación.</w:t>
      </w:r>
    </w:p>
    <w:p>
      <w:pPr>
        <w:spacing w:after="140"/>
      </w:pPr>
      <w:r>
        <w:t xml:space="preserve">Ambos documentos pueden consultarse y descargarse en cualquier momento desde la sección de solicitudes existentes (sección 3).</w:t>
      </w:r>
    </w:p>
    <w:p>
      <w:pPr>
        <w:pStyle w:val="Heading1"/>
        <w:spacing w:after="160" w:before="320"/>
      </w:pPr>
      <w:r>
        <w:t xml:space="preserve">6. Significado del estatus del trámite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rPr>
          <w:tblHeader/>
        </w:trPr>
        <w:tc>
          <w:tcPr>
            <w:tcW w:type="dxa" w:w="2042"/>
            <w:shd w:fill="DCE6F1" w:val="clear"/>
            <w:tcMar>
              <w:top w:type="dxa" w:w="80"/>
              <w:left w:type="dxa" w:w="100"/>
              <w:bottom w:type="dxa" w:w="80"/>
              <w:right w:type="dxa" w:w="100"/>
            </w:tcMar>
          </w:tcPr>
          <w:p>
            <w:r>
              <w:rPr>
                <w:b/>
                <w:bCs/>
              </w:rPr>
              <w:t xml:space="preserve">Estatus</w:t>
            </w:r>
          </w:p>
        </w:tc>
        <w:tc>
          <w:tcPr>
            <w:tcW w:type="dxa" w:w="7318"/>
            <w:shd w:fill="DCE6F1" w:val="clear"/>
            <w:tcMar>
              <w:top w:type="dxa" w:w="80"/>
              <w:left w:type="dxa" w:w="100"/>
              <w:bottom w:type="dxa" w:w="80"/>
              <w:right w:type="dxa" w:w="100"/>
            </w:tcMar>
          </w:tcPr>
          <w:p>
            <w:r>
              <w:rPr>
                <w:b/>
                <w:bCs/>
              </w:rPr>
              <w:t xml:space="preserve">Qué significa para el usuario</w:t>
            </w:r>
          </w:p>
        </w:tc>
      </w:tr>
      <w:tr>
        <w:tc>
          <w:tcPr>
            <w:tcW w:type="dxa" w:w="2042"/>
            <w:tcMar>
              <w:top w:type="dxa" w:w="80"/>
              <w:left w:type="dxa" w:w="100"/>
              <w:bottom w:type="dxa" w:w="80"/>
              <w:right w:type="dxa" w:w="100"/>
            </w:tcMar>
          </w:tcPr>
          <w:p>
            <w:r>
              <w:rPr>
                <w:b w:val="false"/>
                <w:bCs w:val="false"/>
              </w:rPr>
              <w:t xml:space="preserve">Iniciada</w:t>
            </w:r>
          </w:p>
        </w:tc>
        <w:tc>
          <w:tcPr>
            <w:tcW w:type="dxa" w:w="7318"/>
            <w:tcMar>
              <w:top w:type="dxa" w:w="80"/>
              <w:left w:type="dxa" w:w="100"/>
              <w:bottom w:type="dxa" w:w="80"/>
              <w:right w:type="dxa" w:w="100"/>
            </w:tcMar>
          </w:tcPr>
          <w:p>
            <w:r>
              <w:rPr>
                <w:b w:val="false"/>
                <w:bCs w:val="false"/>
              </w:rPr>
              <w:t xml:space="preserve">La solicitud fue capturada, firmada electrónicamente y registrada con un folio. Está en espera de que se complete el intercambio de información con el otro instituto.</w:t>
            </w:r>
          </w:p>
        </w:tc>
      </w:tr>
      <w:tr>
        <w:tc>
          <w:tcPr>
            <w:tcW w:type="dxa" w:w="2042"/>
            <w:tcMar>
              <w:top w:type="dxa" w:w="80"/>
              <w:left w:type="dxa" w:w="100"/>
              <w:bottom w:type="dxa" w:w="80"/>
              <w:right w:type="dxa" w:w="100"/>
            </w:tcMar>
          </w:tcPr>
          <w:p>
            <w:r>
              <w:rPr>
                <w:b w:val="false"/>
                <w:bCs w:val="false"/>
              </w:rPr>
              <w:t xml:space="preserve">En Proceso</w:t>
            </w:r>
          </w:p>
        </w:tc>
        <w:tc>
          <w:tcPr>
            <w:tcW w:type="dxa" w:w="7318"/>
            <w:tcMar>
              <w:top w:type="dxa" w:w="80"/>
              <w:left w:type="dxa" w:w="100"/>
              <w:bottom w:type="dxa" w:w="80"/>
              <w:right w:type="dxa" w:w="100"/>
            </w:tcMar>
          </w:tcPr>
          <w:p>
            <w:r>
              <w:rPr>
                <w:b w:val="false"/>
                <w:bCs w:val="false"/>
              </w:rPr>
              <w:t xml:space="preserve">El trámite se encuentra en validación e intercambio de información entre ISSSTE, IMSS y, en su caso, ProceSAR.</w:t>
            </w:r>
          </w:p>
        </w:tc>
      </w:tr>
      <w:tr>
        <w:tc>
          <w:tcPr>
            <w:tcW w:type="dxa" w:w="2042"/>
            <w:tcMar>
              <w:top w:type="dxa" w:w="80"/>
              <w:left w:type="dxa" w:w="100"/>
              <w:bottom w:type="dxa" w:w="80"/>
              <w:right w:type="dxa" w:w="100"/>
            </w:tcMar>
          </w:tcPr>
          <w:p>
            <w:r>
              <w:rPr>
                <w:b w:val="false"/>
                <w:bCs w:val="false"/>
              </w:rPr>
              <w:t xml:space="preserve">Procedente</w:t>
            </w:r>
          </w:p>
        </w:tc>
        <w:tc>
          <w:tcPr>
            <w:tcW w:type="dxa" w:w="7318"/>
            <w:tcMar>
              <w:top w:type="dxa" w:w="80"/>
              <w:left w:type="dxa" w:w="100"/>
              <w:bottom w:type="dxa" w:w="80"/>
              <w:right w:type="dxa" w:w="100"/>
            </w:tcMar>
          </w:tcPr>
          <w:p>
            <w:r>
              <w:rPr>
                <w:b w:val="false"/>
                <w:bCs w:val="false"/>
              </w:rPr>
              <w:t xml:space="preserve">El trámite fue aceptado. El derechohabiente puede descargar la resolución que confirma la transferencia de derechos.</w:t>
            </w:r>
          </w:p>
        </w:tc>
      </w:tr>
      <w:tr>
        <w:tc>
          <w:tcPr>
            <w:tcW w:type="dxa" w:w="2042"/>
            <w:tcMar>
              <w:top w:type="dxa" w:w="80"/>
              <w:left w:type="dxa" w:w="100"/>
              <w:bottom w:type="dxa" w:w="80"/>
              <w:right w:type="dxa" w:w="100"/>
            </w:tcMar>
          </w:tcPr>
          <w:p>
            <w:r>
              <w:rPr>
                <w:b w:val="false"/>
                <w:bCs w:val="false"/>
              </w:rPr>
              <w:t xml:space="preserve">Rechazada</w:t>
            </w:r>
          </w:p>
        </w:tc>
        <w:tc>
          <w:tcPr>
            <w:tcW w:type="dxa" w:w="7318"/>
            <w:tcMar>
              <w:top w:type="dxa" w:w="80"/>
              <w:left w:type="dxa" w:w="100"/>
              <w:bottom w:type="dxa" w:w="80"/>
              <w:right w:type="dxa" w:w="100"/>
            </w:tcMar>
          </w:tcPr>
          <w:p>
            <w:r>
              <w:rPr>
                <w:b w:val="false"/>
                <w:bCs w:val="false"/>
              </w:rPr>
              <w:t xml:space="preserve">El trámite no cumplió con alguno de los requisitos de elegibilidad. La resolución descargable indica el motivo específico.</w:t>
            </w:r>
          </w:p>
        </w:tc>
      </w:tr>
      <w:tr>
        <w:tc>
          <w:tcPr>
            <w:tcW w:type="dxa" w:w="2042"/>
            <w:tcMar>
              <w:top w:type="dxa" w:w="80"/>
              <w:left w:type="dxa" w:w="100"/>
              <w:bottom w:type="dxa" w:w="80"/>
              <w:right w:type="dxa" w:w="100"/>
            </w:tcMar>
          </w:tcPr>
          <w:p>
            <w:r>
              <w:rPr>
                <w:b w:val="false"/>
                <w:bCs w:val="false"/>
              </w:rPr>
              <w:t xml:space="preserve">Cancelada</w:t>
            </w:r>
          </w:p>
        </w:tc>
        <w:tc>
          <w:tcPr>
            <w:tcW w:type="dxa" w:w="7318"/>
            <w:tcMar>
              <w:top w:type="dxa" w:w="80"/>
              <w:left w:type="dxa" w:w="100"/>
              <w:bottom w:type="dxa" w:w="80"/>
              <w:right w:type="dxa" w:w="100"/>
            </w:tcMar>
          </w:tcPr>
          <w:p>
            <w:r>
              <w:rPr>
                <w:b w:val="false"/>
                <w:bCs w:val="false"/>
              </w:rPr>
              <w:t xml:space="preserve">El trámite se canceló; por ejemplo, cuando no fue posible confirmar la comunicación con el otro instituto o cuando el dictamen determina que no existe beneficio pensionario posible.</w:t>
            </w:r>
          </w:p>
        </w:tc>
      </w:tr>
    </w:tbl>
    <w:p>
      <w:pPr>
        <w:spacing w:after="140"/>
      </w:pPr>
      <w:r>
        <w:t xml:space="preserve">Cuando la solicitud se inicia en ISSSTE, no existe un tiempo de espera fijo entre estatus, ya que el proceso es secuencial: si en algún paso no se obtiene respuesta o algo falla, el sistema lo interpreta como un rechazo y muestra el motivo correspondiente.</w:t>
      </w:r>
    </w:p>
    <w:p>
      <w:pPr>
        <w:pStyle w:val="Heading1"/>
        <w:spacing w:after="160" w:before="320"/>
      </w:pPr>
      <w:r>
        <w:t xml:space="preserve">7. Motivos de rechazo u observación</w:t>
      </w:r>
    </w:p>
    <w:p>
      <w:pPr>
        <w:spacing w:after="140"/>
      </w:pPr>
      <w:r>
        <w:t xml:space="preserve">Si tu solicitud fue iniciada en ISSSTE (hacia IMSS), estos son los motivos posibles y qué puedes hacer en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Qué puedes hacer</w:t>
            </w:r>
          </w:p>
        </w:tc>
      </w:tr>
      <w:tr>
        <w:tc>
          <w:tcPr>
            <w:tcW w:type="dxa" w:w="850"/>
            <w:tcMar>
              <w:top w:type="dxa" w:w="80"/>
              <w:left w:type="dxa" w:w="100"/>
              <w:bottom w:type="dxa" w:w="80"/>
              <w:right w:type="dxa" w:w="100"/>
            </w:tcMar>
          </w:tcPr>
          <w:p>
            <w:r>
              <w:rPr>
                <w:b w:val="false"/>
                <w:bCs w:val="false"/>
              </w:rPr>
              <w:t xml:space="preserve">101</w:t>
            </w:r>
          </w:p>
        </w:tc>
        <w:tc>
          <w:tcPr>
            <w:tcW w:type="dxa" w:w="3573"/>
            <w:tcMar>
              <w:top w:type="dxa" w:w="80"/>
              <w:left w:type="dxa" w:w="100"/>
              <w:bottom w:type="dxa" w:w="80"/>
              <w:right w:type="dxa" w:w="100"/>
            </w:tcMar>
          </w:tcPr>
          <w:p>
            <w:r>
              <w:rPr>
                <w:b w:val="false"/>
                <w:bCs w:val="false"/>
              </w:rPr>
              <w:t xml:space="preserve">La solicitud no logró firmarse de forma exitosa.</w:t>
            </w:r>
          </w:p>
        </w:tc>
        <w:tc>
          <w:tcPr>
            <w:tcW w:type="dxa" w:w="4937"/>
            <w:tcMar>
              <w:top w:type="dxa" w:w="80"/>
              <w:left w:type="dxa" w:w="100"/>
              <w:bottom w:type="dxa" w:w="80"/>
              <w:right w:type="dxa" w:w="100"/>
            </w:tcMar>
          </w:tcPr>
          <w:p>
            <w:r>
              <w:rPr>
                <w:b w:val="false"/>
                <w:bCs w:val="false"/>
              </w:rPr>
              <w:t xml:space="preserve">Por favor verifique sus credenciales.</w:t>
            </w:r>
          </w:p>
        </w:tc>
      </w:tr>
      <w:tr>
        <w:tc>
          <w:tcPr>
            <w:tcW w:type="dxa" w:w="850"/>
            <w:tcMar>
              <w:top w:type="dxa" w:w="80"/>
              <w:left w:type="dxa" w:w="100"/>
              <w:bottom w:type="dxa" w:w="80"/>
              <w:right w:type="dxa" w:w="100"/>
            </w:tcMar>
          </w:tcPr>
          <w:p>
            <w:r>
              <w:rPr>
                <w:b w:val="false"/>
                <w:bCs w:val="false"/>
              </w:rPr>
              <w:t xml:space="preserve">102</w:t>
            </w:r>
          </w:p>
        </w:tc>
        <w:tc>
          <w:tcPr>
            <w:tcW w:type="dxa" w:w="3573"/>
            <w:tcMar>
              <w:top w:type="dxa" w:w="80"/>
              <w:left w:type="dxa" w:w="100"/>
              <w:bottom w:type="dxa" w:w="80"/>
              <w:right w:type="dxa" w:w="100"/>
            </w:tcMar>
          </w:tcPr>
          <w:p>
            <w:r>
              <w:rPr>
                <w:b w:val="false"/>
                <w:bCs w:val="false"/>
              </w:rPr>
              <w:t xml:space="preserve">La solicitud no pudo ser registrada.</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103</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104</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105</w:t>
            </w:r>
          </w:p>
        </w:tc>
        <w:tc>
          <w:tcPr>
            <w:tcW w:type="dxa" w:w="3573"/>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4937"/>
            <w:tcMar>
              <w:top w:type="dxa" w:w="80"/>
              <w:left w:type="dxa" w:w="100"/>
              <w:bottom w:type="dxa" w:w="80"/>
              <w:right w:type="dxa" w:w="100"/>
            </w:tcMar>
          </w:tcPr>
          <w:p>
            <w:r>
              <w:rPr>
                <w:b w:val="false"/>
                <w:bCs w:val="false"/>
              </w:rPr>
              <w:t xml:space="preserve">Presentarse en su Representación para corregir su información. Si la información registrada en la BDUD es correcta, acuda al módulo más cercano de RENAPO para aclarar su situación.</w:t>
            </w:r>
          </w:p>
        </w:tc>
      </w:tr>
      <w:tr>
        <w:tc>
          <w:tcPr>
            <w:tcW w:type="dxa" w:w="850"/>
            <w:tcMar>
              <w:top w:type="dxa" w:w="80"/>
              <w:left w:type="dxa" w:w="100"/>
              <w:bottom w:type="dxa" w:w="80"/>
              <w:right w:type="dxa" w:w="100"/>
            </w:tcMar>
          </w:tcPr>
          <w:p>
            <w:r>
              <w:rPr>
                <w:b w:val="false"/>
                <w:bCs w:val="false"/>
              </w:rPr>
              <w:t xml:space="preserve">106</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Presentarse en su Representación para corregir su estatus de vigencia.</w:t>
            </w:r>
          </w:p>
        </w:tc>
      </w:tr>
      <w:tr>
        <w:tc>
          <w:tcPr>
            <w:tcW w:type="dxa" w:w="850"/>
            <w:tcMar>
              <w:top w:type="dxa" w:w="80"/>
              <w:left w:type="dxa" w:w="100"/>
              <w:bottom w:type="dxa" w:w="80"/>
              <w:right w:type="dxa" w:w="100"/>
            </w:tcMar>
          </w:tcPr>
          <w:p>
            <w:r>
              <w:rPr>
                <w:b w:val="false"/>
                <w:bCs w:val="false"/>
              </w:rPr>
              <w:t xml:space="preserve">107</w:t>
            </w:r>
          </w:p>
        </w:tc>
        <w:tc>
          <w:tcPr>
            <w:tcW w:type="dxa" w:w="3573"/>
            <w:tcMar>
              <w:top w:type="dxa" w:w="80"/>
              <w:left w:type="dxa" w:w="100"/>
              <w:bottom w:type="dxa" w:w="80"/>
              <w:right w:type="dxa" w:w="100"/>
            </w:tcMar>
          </w:tcPr>
          <w:p>
            <w:r>
              <w:rPr>
                <w:b w:val="false"/>
                <w:bCs w:val="false"/>
              </w:rPr>
              <w:t xml:space="preserve">Ya presenta un beneficio pensionario.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108</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109</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Presentarse en ventanilla de Pensiones para validar periodos con marca de IG.</w:t>
            </w:r>
          </w:p>
        </w:tc>
      </w:tr>
      <w:tr>
        <w:tc>
          <w:tcPr>
            <w:tcW w:type="dxa" w:w="850"/>
            <w:tcMar>
              <w:top w:type="dxa" w:w="80"/>
              <w:left w:type="dxa" w:w="100"/>
              <w:bottom w:type="dxa" w:w="80"/>
              <w:right w:type="dxa" w:w="100"/>
            </w:tcMar>
          </w:tcPr>
          <w:p>
            <w:r>
              <w:rPr>
                <w:b w:val="false"/>
                <w:bCs w:val="false"/>
              </w:rPr>
              <w:t xml:space="preserve">110</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111</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112</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113</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114</w:t>
            </w:r>
          </w:p>
        </w:tc>
        <w:tc>
          <w:tcPr>
            <w:tcW w:type="dxa" w:w="3573"/>
            <w:tcMar>
              <w:top w:type="dxa" w:w="80"/>
              <w:left w:type="dxa" w:w="100"/>
              <w:bottom w:type="dxa" w:w="80"/>
              <w:right w:type="dxa" w:w="100"/>
            </w:tcMar>
          </w:tcPr>
          <w:p>
            <w:r>
              <w:rPr>
                <w:b w:val="false"/>
                <w:bCs w:val="false"/>
              </w:rPr>
              <w:t xml:space="preserve">Periodos previos a la entrada en vigor de la LISSSTE no actualizados.</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115</w:t>
            </w:r>
          </w:p>
        </w:tc>
        <w:tc>
          <w:tcPr>
            <w:tcW w:type="dxa" w:w="3573"/>
            <w:tcMar>
              <w:top w:type="dxa" w:w="80"/>
              <w:left w:type="dxa" w:w="100"/>
              <w:bottom w:type="dxa" w:w="80"/>
              <w:right w:type="dxa" w:w="100"/>
            </w:tcMar>
          </w:tcPr>
          <w:p>
            <w:r>
              <w:rPr>
                <w:b w:val="false"/>
                <w:bCs w:val="false"/>
              </w:rPr>
              <w:t xml:space="preserve">Rechazado por el otro Instituto (WS1).</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116</w:t>
            </w:r>
          </w:p>
        </w:tc>
        <w:tc>
          <w:tcPr>
            <w:tcW w:type="dxa" w:w="3573"/>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117</w:t>
            </w:r>
          </w:p>
        </w:tc>
        <w:tc>
          <w:tcPr>
            <w:tcW w:type="dxa" w:w="3573"/>
            <w:tcMar>
              <w:top w:type="dxa" w:w="80"/>
              <w:left w:type="dxa" w:w="100"/>
              <w:bottom w:type="dxa" w:w="80"/>
              <w:right w:type="dxa" w:w="100"/>
            </w:tcMar>
          </w:tcPr>
          <w:p>
            <w:r>
              <w:rPr>
                <w:b w:val="false"/>
                <w:bCs w:val="false"/>
              </w:rPr>
              <w:t xml:space="preserve">Beneficio pensionario previo marcado en PROCESAR.</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118</w:t>
            </w:r>
          </w:p>
        </w:tc>
        <w:tc>
          <w:tcPr>
            <w:tcW w:type="dxa" w:w="3573"/>
            <w:tcMar>
              <w:top w:type="dxa" w:w="80"/>
              <w:left w:type="dxa" w:w="100"/>
              <w:bottom w:type="dxa" w:w="80"/>
              <w:right w:type="dxa" w:w="100"/>
            </w:tcMar>
          </w:tcPr>
          <w:p>
            <w:r>
              <w:rPr>
                <w:b w:val="false"/>
                <w:bCs w:val="false"/>
              </w:rPr>
              <w:t xml:space="preserve">Rechazado por PROCESAR (WS2).</w:t>
            </w:r>
          </w:p>
        </w:tc>
        <w:tc>
          <w:tcPr>
            <w:tcW w:type="dxa" w:w="4937"/>
            <w:tcMar>
              <w:top w:type="dxa" w:w="80"/>
              <w:left w:type="dxa" w:w="100"/>
              <w:bottom w:type="dxa" w:w="80"/>
              <w:right w:type="dxa" w:w="100"/>
            </w:tcMar>
          </w:tcPr>
          <w:p>
            <w:r>
              <w:rPr>
                <w:b w:val="false"/>
                <w:bCs w:val="false"/>
              </w:rPr>
              <w:t xml:space="preserve">Mostrar el motivo de rechazo de PROCESAR.</w:t>
            </w:r>
          </w:p>
        </w:tc>
      </w:tr>
      <w:tr>
        <w:tc>
          <w:tcPr>
            <w:tcW w:type="dxa" w:w="850"/>
            <w:tcMar>
              <w:top w:type="dxa" w:w="80"/>
              <w:left w:type="dxa" w:w="100"/>
              <w:bottom w:type="dxa" w:w="80"/>
              <w:right w:type="dxa" w:w="100"/>
            </w:tcMar>
          </w:tcPr>
          <w:p>
            <w:r>
              <w:rPr>
                <w:b w:val="false"/>
                <w:bCs w:val="false"/>
              </w:rPr>
              <w:t xml:space="preserve">119</w:t>
            </w:r>
          </w:p>
        </w:tc>
        <w:tc>
          <w:tcPr>
            <w:tcW w:type="dxa" w:w="3573"/>
            <w:tcMar>
              <w:top w:type="dxa" w:w="80"/>
              <w:left w:type="dxa" w:w="100"/>
              <w:bottom w:type="dxa" w:w="80"/>
              <w:right w:type="dxa" w:w="100"/>
            </w:tcMar>
          </w:tcPr>
          <w:p>
            <w:r>
              <w:rPr>
                <w:b w:val="false"/>
                <w:bCs w:val="false"/>
              </w:rPr>
              <w:t xml:space="preserve">Rechazado por el otro Instituto (WS3).</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120</w:t>
            </w:r>
          </w:p>
        </w:tc>
        <w:tc>
          <w:tcPr>
            <w:tcW w:type="dxa" w:w="3573"/>
            <w:tcMar>
              <w:top w:type="dxa" w:w="80"/>
              <w:left w:type="dxa" w:w="100"/>
              <w:bottom w:type="dxa" w:w="80"/>
              <w:right w:type="dxa" w:w="100"/>
            </w:tcMar>
          </w:tcPr>
          <w:p>
            <w:r>
              <w:rPr>
                <w:b w:val="false"/>
                <w:bCs w:val="false"/>
              </w:rPr>
              <w:t xml:space="preserve">Sin beneficio pensionario posible.</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121</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122</w:t>
            </w:r>
          </w:p>
        </w:tc>
        <w:tc>
          <w:tcPr>
            <w:tcW w:type="dxa" w:w="3573"/>
            <w:tcMar>
              <w:top w:type="dxa" w:w="80"/>
              <w:left w:type="dxa" w:w="100"/>
              <w:bottom w:type="dxa" w:w="80"/>
              <w:right w:type="dxa" w:w="100"/>
            </w:tcMar>
          </w:tcPr>
          <w:p>
            <w:r>
              <w:rPr>
                <w:b w:val="false"/>
                <w:bCs w:val="false"/>
              </w:rPr>
              <w:t xml:space="preserve">No fue posible notificar a PROCESAR conclusión exitosa del trámite.</w:t>
            </w:r>
          </w:p>
        </w:tc>
        <w:tc>
          <w:tcPr>
            <w:tcW w:type="dxa" w:w="4937"/>
            <w:tcMar>
              <w:top w:type="dxa" w:w="80"/>
              <w:left w:type="dxa" w:w="100"/>
              <w:bottom w:type="dxa" w:w="80"/>
              <w:right w:type="dxa" w:w="100"/>
            </w:tcMar>
          </w:tcPr>
          <w:p>
            <w:r>
              <w:rPr>
                <w:b w:val="false"/>
                <w:bCs w:val="false"/>
              </w:rPr>
              <w:t xml:space="preserve">(STI) Intentar operación de forma automática durante 24 hrs, posterior notificar error a los administradores.</w:t>
            </w:r>
          </w:p>
        </w:tc>
      </w:tr>
      <w:tr>
        <w:tc>
          <w:tcPr>
            <w:tcW w:type="dxa" w:w="850"/>
            <w:tcMar>
              <w:top w:type="dxa" w:w="80"/>
              <w:left w:type="dxa" w:w="100"/>
              <w:bottom w:type="dxa" w:w="80"/>
              <w:right w:type="dxa" w:w="100"/>
            </w:tcMar>
          </w:tcPr>
          <w:p>
            <w:r>
              <w:rPr>
                <w:b w:val="false"/>
                <w:bCs w:val="false"/>
              </w:rPr>
              <w:t xml:space="preserve">123</w:t>
            </w:r>
          </w:p>
        </w:tc>
        <w:tc>
          <w:tcPr>
            <w:tcW w:type="dxa" w:w="3573"/>
            <w:tcMar>
              <w:top w:type="dxa" w:w="80"/>
              <w:left w:type="dxa" w:w="100"/>
              <w:bottom w:type="dxa" w:w="80"/>
              <w:right w:type="dxa" w:w="100"/>
            </w:tcMar>
          </w:tcPr>
          <w:p>
            <w:r>
              <w:rPr>
                <w:b w:val="false"/>
                <w:bCs w:val="false"/>
              </w:rPr>
              <w:t xml:space="preserve">Falla de comunicación en proceso de dictaminación (WS7).</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124</w:t>
            </w:r>
          </w:p>
        </w:tc>
        <w:tc>
          <w:tcPr>
            <w:tcW w:type="dxa" w:w="3573"/>
            <w:tcMar>
              <w:top w:type="dxa" w:w="80"/>
              <w:left w:type="dxa" w:w="100"/>
              <w:bottom w:type="dxa" w:w="80"/>
              <w:right w:type="dxa" w:w="100"/>
            </w:tcMar>
          </w:tcPr>
          <w:p>
            <w:r>
              <w:rPr>
                <w:b w:val="false"/>
                <w:bCs w:val="false"/>
              </w:rPr>
              <w:t xml:space="preserve">Falla de comunicación en notificación de procedencia (WS6).</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125</w:t>
            </w:r>
          </w:p>
        </w:tc>
        <w:tc>
          <w:tcPr>
            <w:tcW w:type="dxa" w:w="3573"/>
            <w:tcMar>
              <w:top w:type="dxa" w:w="80"/>
              <w:left w:type="dxa" w:w="100"/>
              <w:bottom w:type="dxa" w:w="80"/>
              <w:right w:type="dxa" w:w="100"/>
            </w:tcMar>
          </w:tcPr>
          <w:p>
            <w:r>
              <w:rPr>
                <w:b w:val="false"/>
                <w:bCs w:val="false"/>
              </w:rPr>
              <w:t xml:space="preserve">Falla de comunicación en notificación de conclusión (WS4).</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126</w:t>
            </w:r>
          </w:p>
        </w:tc>
        <w:tc>
          <w:tcPr>
            <w:tcW w:type="dxa" w:w="3573"/>
            <w:tcMar>
              <w:top w:type="dxa" w:w="80"/>
              <w:left w:type="dxa" w:w="100"/>
              <w:bottom w:type="dxa" w:w="80"/>
              <w:right w:type="dxa" w:w="100"/>
            </w:tcMar>
          </w:tcPr>
          <w:p>
            <w:r>
              <w:rPr>
                <w:b w:val="false"/>
                <w:bCs w:val="false"/>
              </w:rPr>
              <w:t xml:space="preserve">Falla de comunicación en notificación de rechazo (WS5).</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127</w:t>
            </w:r>
          </w:p>
        </w:tc>
        <w:tc>
          <w:tcPr>
            <w:tcW w:type="dxa" w:w="3573"/>
            <w:tcMar>
              <w:top w:type="dxa" w:w="80"/>
              <w:left w:type="dxa" w:w="100"/>
              <w:bottom w:type="dxa" w:w="80"/>
              <w:right w:type="dxa" w:w="100"/>
            </w:tcMar>
          </w:tcPr>
          <w:p>
            <w:r>
              <w:rPr>
                <w:b w:val="false"/>
                <w:bCs w:val="false"/>
              </w:rPr>
              <w:t xml:space="preserve">Falla de comunicación al consultar RENAPO.</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128</w:t>
            </w:r>
          </w:p>
        </w:tc>
        <w:tc>
          <w:tcPr>
            <w:tcW w:type="dxa" w:w="3573"/>
            <w:tcMar>
              <w:top w:type="dxa" w:w="80"/>
              <w:left w:type="dxa" w:w="100"/>
              <w:bottom w:type="dxa" w:w="80"/>
              <w:right w:type="dxa" w:w="100"/>
            </w:tcMar>
          </w:tcPr>
          <w:p>
            <w:r>
              <w:rPr>
                <w:b w:val="false"/>
                <w:bCs w:val="false"/>
              </w:rPr>
              <w:t xml:space="preserve">Falla de comunicación en consulta básica (WS1).</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129</w:t>
            </w:r>
          </w:p>
        </w:tc>
        <w:tc>
          <w:tcPr>
            <w:tcW w:type="dxa" w:w="3573"/>
            <w:tcMar>
              <w:top w:type="dxa" w:w="80"/>
              <w:left w:type="dxa" w:w="100"/>
              <w:bottom w:type="dxa" w:w="80"/>
              <w:right w:type="dxa" w:w="100"/>
            </w:tcMar>
          </w:tcPr>
          <w:p>
            <w:r>
              <w:rPr>
                <w:b w:val="false"/>
                <w:bCs w:val="false"/>
              </w:rPr>
              <w:t xml:space="preserve">Falla de comunicación al realizar la inserción en PROCESAR (WS2).</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130</w:t>
            </w:r>
          </w:p>
        </w:tc>
        <w:tc>
          <w:tcPr>
            <w:tcW w:type="dxa" w:w="3573"/>
            <w:tcMar>
              <w:top w:type="dxa" w:w="80"/>
              <w:left w:type="dxa" w:w="100"/>
              <w:bottom w:type="dxa" w:w="80"/>
              <w:right w:type="dxa" w:w="100"/>
            </w:tcMar>
          </w:tcPr>
          <w:p>
            <w:r>
              <w:rPr>
                <w:b w:val="false"/>
                <w:bCs w:val="false"/>
              </w:rPr>
              <w:t xml:space="preserve">Falla de comunicación en consulta robusta (WS3).</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131</w:t>
            </w:r>
          </w:p>
        </w:tc>
        <w:tc>
          <w:tcPr>
            <w:tcW w:type="dxa" w:w="3573"/>
            <w:tcMar>
              <w:top w:type="dxa" w:w="80"/>
              <w:left w:type="dxa" w:w="100"/>
              <w:bottom w:type="dxa" w:w="80"/>
              <w:right w:type="dxa" w:w="100"/>
            </w:tcMar>
          </w:tcPr>
          <w:p>
            <w:r>
              <w:rPr>
                <w:b w:val="false"/>
                <w:bCs w:val="false"/>
              </w:rPr>
              <w:t xml:space="preserve">Falla de comunicación de saldos preliminares (WS-SaldosPreliminares).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132</w:t>
            </w:r>
          </w:p>
        </w:tc>
        <w:tc>
          <w:tcPr>
            <w:tcW w:type="dxa" w:w="3573"/>
            <w:tcMar>
              <w:top w:type="dxa" w:w="80"/>
              <w:left w:type="dxa" w:w="100"/>
              <w:bottom w:type="dxa" w:w="80"/>
              <w:right w:type="dxa" w:w="100"/>
            </w:tcMar>
          </w:tcPr>
          <w:p>
            <w:r>
              <w:rPr>
                <w:b w:val="false"/>
                <w:bCs w:val="false"/>
              </w:rPr>
              <w:t xml:space="preserve">Falla de comunicación con CNSF.</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133</w:t>
            </w:r>
          </w:p>
        </w:tc>
        <w:tc>
          <w:tcPr>
            <w:tcW w:type="dxa" w:w="3573"/>
            <w:tcMar>
              <w:top w:type="dxa" w:w="80"/>
              <w:left w:type="dxa" w:w="100"/>
              <w:bottom w:type="dxa" w:w="80"/>
              <w:right w:type="dxa" w:w="100"/>
            </w:tcMar>
          </w:tcPr>
          <w:p>
            <w:r>
              <w:rPr>
                <w:b w:val="false"/>
                <w:bCs w:val="false"/>
              </w:rPr>
              <w:t xml:space="preserve">Rechazo de saldos 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134</w:t>
            </w:r>
          </w:p>
        </w:tc>
        <w:tc>
          <w:tcPr>
            <w:tcW w:type="dxa" w:w="3573"/>
            <w:tcMar>
              <w:top w:type="dxa" w:w="80"/>
              <w:left w:type="dxa" w:w="100"/>
              <w:bottom w:type="dxa" w:w="80"/>
              <w:right w:type="dxa" w:w="100"/>
            </w:tcMar>
          </w:tcPr>
          <w:p>
            <w:r>
              <w:rPr>
                <w:b w:val="false"/>
                <w:bCs w:val="false"/>
              </w:rPr>
              <w:t xml:space="preserve">Sin saldo suficiente en la cuenta individual (CNSF).</w:t>
            </w:r>
          </w:p>
        </w:tc>
        <w:tc>
          <w:tcPr>
            <w:tcW w:type="dxa" w:w="4937"/>
            <w:tcMar>
              <w:top w:type="dxa" w:w="80"/>
              <w:left w:type="dxa" w:w="100"/>
              <w:bottom w:type="dxa" w:w="80"/>
              <w:right w:type="dxa" w:w="100"/>
            </w:tcMar>
          </w:tcPr>
          <w:p>
            <w:r>
              <w:rPr>
                <w:b w:val="false"/>
                <w:bCs w:val="false"/>
              </w:rPr>
              <w:t xml:space="preserve">—</w:t>
            </w:r>
          </w:p>
        </w:tc>
      </w:tr>
    </w:tbl>
    <w:p>
      <w:pPr>
        <w:spacing w:after="140"/>
      </w:pPr>
      <w:r>
        <w:t xml:space="preserve">Si tu solicitud fue iniciada por IMSS (hacia ISSSTE), estos son los motivos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Qué puedes hacer</w:t>
            </w:r>
          </w:p>
        </w:tc>
      </w:tr>
      <w:tr>
        <w:tc>
          <w:tcPr>
            <w:tcW w:type="dxa" w:w="850"/>
            <w:tcMar>
              <w:top w:type="dxa" w:w="80"/>
              <w:left w:type="dxa" w:w="100"/>
              <w:bottom w:type="dxa" w:w="80"/>
              <w:right w:type="dxa" w:w="100"/>
            </w:tcMar>
          </w:tcPr>
          <w:p>
            <w:r>
              <w:rPr>
                <w:b w:val="false"/>
                <w:bCs w:val="false"/>
              </w:rPr>
              <w:t xml:space="preserve">201</w:t>
            </w:r>
          </w:p>
        </w:tc>
        <w:tc>
          <w:tcPr>
            <w:tcW w:type="dxa" w:w="3573"/>
            <w:tcMar>
              <w:top w:type="dxa" w:w="80"/>
              <w:left w:type="dxa" w:w="100"/>
              <w:bottom w:type="dxa" w:w="80"/>
              <w:right w:type="dxa" w:w="100"/>
            </w:tcMar>
          </w:tcPr>
          <w:p>
            <w:r>
              <w:rPr>
                <w:b w:val="false"/>
                <w:bCs w:val="false"/>
              </w:rPr>
              <w:t xml:space="preserve">Información requerida no proporcionada.</w:t>
            </w:r>
          </w:p>
        </w:tc>
        <w:tc>
          <w:tcPr>
            <w:tcW w:type="dxa" w:w="4937"/>
            <w:tcMar>
              <w:top w:type="dxa" w:w="80"/>
              <w:left w:type="dxa" w:w="100"/>
              <w:bottom w:type="dxa" w:w="80"/>
              <w:right w:type="dxa" w:w="100"/>
            </w:tcMar>
          </w:tcPr>
          <w:p>
            <w:r>
              <w:rPr>
                <w:b w:val="false"/>
                <w:bCs w:val="false"/>
              </w:rPr>
              <w:t xml:space="preserve">La información requerida no fue proporcionada.</w:t>
            </w:r>
          </w:p>
        </w:tc>
      </w:tr>
      <w:tr>
        <w:tc>
          <w:tcPr>
            <w:tcW w:type="dxa" w:w="850"/>
            <w:tcMar>
              <w:top w:type="dxa" w:w="80"/>
              <w:left w:type="dxa" w:w="100"/>
              <w:bottom w:type="dxa" w:w="80"/>
              <w:right w:type="dxa" w:w="100"/>
            </w:tcMar>
          </w:tcPr>
          <w:p>
            <w:r>
              <w:rPr>
                <w:b w:val="false"/>
                <w:bCs w:val="false"/>
              </w:rPr>
              <w:t xml:space="preserve">202</w:t>
            </w:r>
          </w:p>
        </w:tc>
        <w:tc>
          <w:tcPr>
            <w:tcW w:type="dxa" w:w="3573"/>
            <w:tcMar>
              <w:top w:type="dxa" w:w="80"/>
              <w:left w:type="dxa" w:w="100"/>
              <w:bottom w:type="dxa" w:w="80"/>
              <w:right w:type="dxa" w:w="100"/>
            </w:tcMar>
          </w:tcPr>
          <w:p>
            <w:r>
              <w:rPr>
                <w:b w:val="false"/>
                <w:bCs w:val="false"/>
              </w:rPr>
              <w:t xml:space="preserve">Trabajador no existe en BDUD.</w:t>
            </w:r>
          </w:p>
        </w:tc>
        <w:tc>
          <w:tcPr>
            <w:tcW w:type="dxa" w:w="4937"/>
            <w:tcMar>
              <w:top w:type="dxa" w:w="80"/>
              <w:left w:type="dxa" w:w="100"/>
              <w:bottom w:type="dxa" w:w="80"/>
              <w:right w:type="dxa" w:w="100"/>
            </w:tcMar>
          </w:tcPr>
          <w:p>
            <w:r>
              <w:rPr>
                <w:b w:val="false"/>
                <w:bCs w:val="false"/>
              </w:rPr>
              <w:t xml:space="preserve">La CURP no existe en la Base de Datos Única de Derechohabientes.</w:t>
            </w:r>
          </w:p>
        </w:tc>
      </w:tr>
      <w:tr>
        <w:tc>
          <w:tcPr>
            <w:tcW w:type="dxa" w:w="850"/>
            <w:tcMar>
              <w:top w:type="dxa" w:w="80"/>
              <w:left w:type="dxa" w:w="100"/>
              <w:bottom w:type="dxa" w:w="80"/>
              <w:right w:type="dxa" w:w="100"/>
            </w:tcMar>
          </w:tcPr>
          <w:p>
            <w:r>
              <w:rPr>
                <w:b w:val="false"/>
                <w:bCs w:val="false"/>
              </w:rPr>
              <w:t xml:space="preserve">203</w:t>
            </w:r>
          </w:p>
        </w:tc>
        <w:tc>
          <w:tcPr>
            <w:tcW w:type="dxa" w:w="3573"/>
            <w:tcMar>
              <w:top w:type="dxa" w:w="80"/>
              <w:left w:type="dxa" w:w="100"/>
              <w:bottom w:type="dxa" w:w="80"/>
              <w:right w:type="dxa" w:w="100"/>
            </w:tcMar>
          </w:tcPr>
          <w:p>
            <w:r>
              <w:rPr>
                <w:b w:val="false"/>
                <w:bCs w:val="false"/>
              </w:rPr>
              <w:t xml:space="preserve">Trámite previo de portabilidad de derechos.</w:t>
            </w:r>
          </w:p>
        </w:tc>
        <w:tc>
          <w:tcPr>
            <w:tcW w:type="dxa" w:w="4937"/>
            <w:tcMar>
              <w:top w:type="dxa" w:w="80"/>
              <w:left w:type="dxa" w:w="100"/>
              <w:bottom w:type="dxa" w:w="80"/>
              <w:right w:type="dxa" w:w="100"/>
            </w:tcMar>
          </w:tcPr>
          <w:p>
            <w:r>
              <w:rPr>
                <w:b w:val="false"/>
                <w:bCs w:val="false"/>
              </w:rPr>
              <w:t xml:space="preserve">La CURP presenta un trámite previo de portabilidad de derechos.</w:t>
            </w:r>
          </w:p>
        </w:tc>
      </w:tr>
      <w:tr>
        <w:tc>
          <w:tcPr>
            <w:tcW w:type="dxa" w:w="850"/>
            <w:tcMar>
              <w:top w:type="dxa" w:w="80"/>
              <w:left w:type="dxa" w:w="100"/>
              <w:bottom w:type="dxa" w:w="80"/>
              <w:right w:type="dxa" w:w="100"/>
            </w:tcMar>
          </w:tcPr>
          <w:p>
            <w:r>
              <w:rPr>
                <w:b w:val="false"/>
                <w:bCs w:val="false"/>
              </w:rPr>
              <w:t xml:space="preserve">204</w:t>
            </w:r>
          </w:p>
        </w:tc>
        <w:tc>
          <w:tcPr>
            <w:tcW w:type="dxa" w:w="3573"/>
            <w:tcMar>
              <w:top w:type="dxa" w:w="80"/>
              <w:left w:type="dxa" w:w="100"/>
              <w:bottom w:type="dxa" w:w="80"/>
              <w:right w:type="dxa" w:w="100"/>
            </w:tcMar>
          </w:tcPr>
          <w:p>
            <w:r>
              <w:rPr>
                <w:b w:val="false"/>
                <w:bCs w:val="false"/>
              </w:rPr>
              <w:t xml:space="preserve">Trabajador activo.</w:t>
            </w:r>
          </w:p>
        </w:tc>
        <w:tc>
          <w:tcPr>
            <w:tcW w:type="dxa" w:w="4937"/>
            <w:tcMar>
              <w:top w:type="dxa" w:w="80"/>
              <w:left w:type="dxa" w:w="100"/>
              <w:bottom w:type="dxa" w:w="80"/>
              <w:right w:type="dxa" w:w="100"/>
            </w:tcMar>
          </w:tcPr>
          <w:p>
            <w:r>
              <w:rPr>
                <w:b w:val="false"/>
                <w:bCs w:val="false"/>
              </w:rPr>
              <w:t xml:space="preserve">El trabajador se encuentra activo, podrá iniciar su trámite en el otro Instituto.</w:t>
            </w:r>
          </w:p>
        </w:tc>
      </w:tr>
      <w:tr>
        <w:tc>
          <w:tcPr>
            <w:tcW w:type="dxa" w:w="850"/>
            <w:tcMar>
              <w:top w:type="dxa" w:w="80"/>
              <w:left w:type="dxa" w:w="100"/>
              <w:bottom w:type="dxa" w:w="80"/>
              <w:right w:type="dxa" w:w="100"/>
            </w:tcMar>
          </w:tcPr>
          <w:p>
            <w:r>
              <w:rPr>
                <w:b w:val="false"/>
                <w:bCs w:val="false"/>
              </w:rPr>
              <w:t xml:space="preserve">205</w:t>
            </w:r>
          </w:p>
        </w:tc>
        <w:tc>
          <w:tcPr>
            <w:tcW w:type="dxa" w:w="3573"/>
            <w:tcMar>
              <w:top w:type="dxa" w:w="80"/>
              <w:left w:type="dxa" w:w="100"/>
              <w:bottom w:type="dxa" w:w="80"/>
              <w:right w:type="dxa" w:w="100"/>
            </w:tcMar>
          </w:tcPr>
          <w:p>
            <w:r>
              <w:rPr>
                <w:b w:val="false"/>
                <w:bCs w:val="false"/>
              </w:rPr>
              <w:t xml:space="preserve">Información no coincidente con la registrada en RENAPO.</w:t>
            </w:r>
          </w:p>
        </w:tc>
        <w:tc>
          <w:tcPr>
            <w:tcW w:type="dxa" w:w="4937"/>
            <w:tcMar>
              <w:top w:type="dxa" w:w="80"/>
              <w:left w:type="dxa" w:w="100"/>
              <w:bottom w:type="dxa" w:w="80"/>
              <w:right w:type="dxa" w:w="100"/>
            </w:tcMar>
          </w:tcPr>
          <w:p>
            <w:r>
              <w:rPr>
                <w:b w:val="false"/>
                <w:bCs w:val="false"/>
              </w:rPr>
              <w:t xml:space="preserve">La información no es coincidente con la registrada en RENAPO,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206</w:t>
            </w:r>
          </w:p>
        </w:tc>
        <w:tc>
          <w:tcPr>
            <w:tcW w:type="dxa" w:w="3573"/>
            <w:tcMar>
              <w:top w:type="dxa" w:w="80"/>
              <w:left w:type="dxa" w:w="100"/>
              <w:bottom w:type="dxa" w:w="80"/>
              <w:right w:type="dxa" w:w="100"/>
            </w:tcMar>
          </w:tcPr>
          <w:p>
            <w:r>
              <w:rPr>
                <w:b w:val="false"/>
                <w:bCs w:val="false"/>
              </w:rPr>
              <w:t xml:space="preserve">CURP con estatus de baja en RENAPO.</w:t>
            </w:r>
          </w:p>
        </w:tc>
        <w:tc>
          <w:tcPr>
            <w:tcW w:type="dxa" w:w="4937"/>
            <w:tcMar>
              <w:top w:type="dxa" w:w="80"/>
              <w:left w:type="dxa" w:w="100"/>
              <w:bottom w:type="dxa" w:w="80"/>
              <w:right w:type="dxa" w:w="100"/>
            </w:tcMar>
          </w:tcPr>
          <w:p>
            <w:r>
              <w:rPr>
                <w:b w:val="false"/>
                <w:bCs w:val="false"/>
              </w:rPr>
              <w:t xml:space="preserve">La CURP presenta un estatus de baja registrado en RENAPO. Deberá acudir a la oficina más cercana de RENAPO para aclarar su situación.</w:t>
            </w:r>
          </w:p>
        </w:tc>
      </w:tr>
      <w:tr>
        <w:tc>
          <w:tcPr>
            <w:tcW w:type="dxa" w:w="850"/>
            <w:tcMar>
              <w:top w:type="dxa" w:w="80"/>
              <w:left w:type="dxa" w:w="100"/>
              <w:bottom w:type="dxa" w:w="80"/>
              <w:right w:type="dxa" w:w="100"/>
            </w:tcMar>
          </w:tcPr>
          <w:p>
            <w:r>
              <w:rPr>
                <w:b w:val="false"/>
                <w:bCs w:val="false"/>
              </w:rPr>
              <w:t xml:space="preserve">207</w:t>
            </w:r>
          </w:p>
        </w:tc>
        <w:tc>
          <w:tcPr>
            <w:tcW w:type="dxa" w:w="3573"/>
            <w:tcMar>
              <w:top w:type="dxa" w:w="80"/>
              <w:left w:type="dxa" w:w="100"/>
              <w:bottom w:type="dxa" w:w="80"/>
              <w:right w:type="dxa" w:w="100"/>
            </w:tcMar>
          </w:tcPr>
          <w:p>
            <w:r>
              <w:rPr>
                <w:b w:val="false"/>
                <w:bCs w:val="false"/>
              </w:rPr>
              <w:t xml:space="preserve">Estatus de finado en la BDUD.</w:t>
            </w:r>
          </w:p>
        </w:tc>
        <w:tc>
          <w:tcPr>
            <w:tcW w:type="dxa" w:w="4937"/>
            <w:tcMar>
              <w:top w:type="dxa" w:w="80"/>
              <w:left w:type="dxa" w:w="100"/>
              <w:bottom w:type="dxa" w:w="80"/>
              <w:right w:type="dxa" w:w="100"/>
            </w:tcMar>
          </w:tcPr>
          <w:p>
            <w:r>
              <w:rPr>
                <w:b w:val="false"/>
                <w:bCs w:val="false"/>
              </w:rPr>
              <w:t xml:space="preserve">El registro presenta estatus finado en la Base de Datos Única de Derechohabientes,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208</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El registro presenta estatus de vigencia indeterminado,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209</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El régimen pensionario es incorrecto o sin asignar,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210</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No se encuentra en régimen ordinario (cuentas individuales).</w:t>
            </w:r>
          </w:p>
        </w:tc>
      </w:tr>
      <w:tr>
        <w:tc>
          <w:tcPr>
            <w:tcW w:type="dxa" w:w="850"/>
            <w:tcMar>
              <w:top w:type="dxa" w:w="80"/>
              <w:left w:type="dxa" w:w="100"/>
              <w:bottom w:type="dxa" w:w="80"/>
              <w:right w:type="dxa" w:w="100"/>
            </w:tcMar>
          </w:tcPr>
          <w:p>
            <w:r>
              <w:rPr>
                <w:b w:val="false"/>
                <w:bCs w:val="false"/>
              </w:rPr>
              <w:t xml:space="preserve">211</w:t>
            </w:r>
          </w:p>
        </w:tc>
        <w:tc>
          <w:tcPr>
            <w:tcW w:type="dxa" w:w="3573"/>
            <w:tcMar>
              <w:top w:type="dxa" w:w="80"/>
              <w:left w:type="dxa" w:w="100"/>
              <w:bottom w:type="dxa" w:w="80"/>
              <w:right w:type="dxa" w:w="100"/>
            </w:tcMar>
          </w:tcPr>
          <w:p>
            <w:r>
              <w:rPr>
                <w:b w:val="false"/>
                <w:bCs w:val="false"/>
              </w:rPr>
              <w:t xml:space="preserve">Con beneficio pensionario.</w:t>
            </w:r>
          </w:p>
        </w:tc>
        <w:tc>
          <w:tcPr>
            <w:tcW w:type="dxa" w:w="4937"/>
            <w:tcMar>
              <w:top w:type="dxa" w:w="80"/>
              <w:left w:type="dxa" w:w="100"/>
              <w:bottom w:type="dxa" w:w="80"/>
              <w:right w:type="dxa" w:w="100"/>
            </w:tcMar>
          </w:tcPr>
          <w:p>
            <w:r>
              <w:rPr>
                <w:b w:val="false"/>
                <w:bCs w:val="false"/>
              </w:rPr>
              <w:t xml:space="preserve">Cuenta con un beneficio pensionario o negativa de pensión.</w:t>
            </w:r>
          </w:p>
        </w:tc>
      </w:tr>
      <w:tr>
        <w:tc>
          <w:tcPr>
            <w:tcW w:type="dxa" w:w="850"/>
            <w:tcMar>
              <w:top w:type="dxa" w:w="80"/>
              <w:left w:type="dxa" w:w="100"/>
              <w:bottom w:type="dxa" w:w="80"/>
              <w:right w:type="dxa" w:w="100"/>
            </w:tcMar>
          </w:tcPr>
          <w:p>
            <w:r>
              <w:rPr>
                <w:b w:val="false"/>
                <w:bCs w:val="false"/>
              </w:rPr>
              <w:t xml:space="preserve">212</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Se detectaron marcas de beneficio pensionario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213</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Se detectaron marcas de Indemnización Global inconsistentes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214</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Se detectaron marcas de Portabilidad de Derechos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215</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Se detectaron inconsistencias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216</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No cuenta con antigüedad cotizante al fondo de pensiones.</w:t>
            </w:r>
          </w:p>
        </w:tc>
      </w:tr>
      <w:tr>
        <w:tc>
          <w:tcPr>
            <w:tcW w:type="dxa" w:w="850"/>
            <w:tcMar>
              <w:top w:type="dxa" w:w="80"/>
              <w:left w:type="dxa" w:w="100"/>
              <w:bottom w:type="dxa" w:w="80"/>
              <w:right w:type="dxa" w:w="100"/>
            </w:tcMar>
          </w:tcPr>
          <w:p>
            <w:r>
              <w:rPr>
                <w:b w:val="false"/>
                <w:bCs w:val="false"/>
              </w:rPr>
              <w:t xml:space="preserve">217</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Se detectó inconsistencia en su régimen pensionario,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218</w:t>
            </w:r>
          </w:p>
        </w:tc>
        <w:tc>
          <w:tcPr>
            <w:tcW w:type="dxa" w:w="3573"/>
            <w:tcMar>
              <w:top w:type="dxa" w:w="80"/>
              <w:left w:type="dxa" w:w="100"/>
              <w:bottom w:type="dxa" w:w="80"/>
              <w:right w:type="dxa" w:w="100"/>
            </w:tcMar>
          </w:tcPr>
          <w:p>
            <w:r>
              <w:rPr>
                <w:b w:val="false"/>
                <w:bCs w:val="false"/>
              </w:rPr>
              <w:t xml:space="preserve">Periodosprevios a la entrada en vigor de la LISSSTE no actualizados.</w:t>
            </w:r>
          </w:p>
        </w:tc>
        <w:tc>
          <w:tcPr>
            <w:tcW w:type="dxa" w:w="4937"/>
            <w:tcMar>
              <w:top w:type="dxa" w:w="80"/>
              <w:left w:type="dxa" w:w="100"/>
              <w:bottom w:type="dxa" w:w="80"/>
              <w:right w:type="dxa" w:w="100"/>
            </w:tcMar>
          </w:tcPr>
          <w:p>
            <w:r>
              <w:rPr>
                <w:b w:val="false"/>
                <w:bCs w:val="false"/>
              </w:rPr>
              <w:t xml:space="preserve">Se detectaron periodos inconsistentes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219</w:t>
            </w:r>
          </w:p>
        </w:tc>
        <w:tc>
          <w:tcPr>
            <w:tcW w:type="dxa" w:w="3573"/>
            <w:tcMar>
              <w:top w:type="dxa" w:w="80"/>
              <w:left w:type="dxa" w:w="100"/>
              <w:bottom w:type="dxa" w:w="80"/>
              <w:right w:type="dxa" w:w="100"/>
            </w:tcMar>
          </w:tcPr>
          <w:p>
            <w:r>
              <w:rPr>
                <w:b w:val="false"/>
                <w:bCs w:val="false"/>
              </w:rPr>
              <w:t xml:space="preserve">No existe solicitud con los datos enviados.</w:t>
            </w:r>
          </w:p>
        </w:tc>
        <w:tc>
          <w:tcPr>
            <w:tcW w:type="dxa" w:w="4937"/>
            <w:tcMar>
              <w:top w:type="dxa" w:w="80"/>
              <w:left w:type="dxa" w:w="100"/>
              <w:bottom w:type="dxa" w:w="80"/>
              <w:right w:type="dxa" w:w="100"/>
            </w:tcMar>
          </w:tcPr>
          <w:p>
            <w:r>
              <w:rPr>
                <w:b w:val="false"/>
                <w:bCs w:val="false"/>
              </w:rPr>
              <w:t xml:space="preserve">No existe registro de la solicitud con la información enviada.</w:t>
            </w:r>
          </w:p>
        </w:tc>
      </w:tr>
      <w:tr>
        <w:tc>
          <w:tcPr>
            <w:tcW w:type="dxa" w:w="850"/>
            <w:tcMar>
              <w:top w:type="dxa" w:w="80"/>
              <w:left w:type="dxa" w:w="100"/>
              <w:bottom w:type="dxa" w:w="80"/>
              <w:right w:type="dxa" w:w="100"/>
            </w:tcMar>
          </w:tcPr>
          <w:p>
            <w:r>
              <w:rPr>
                <w:b w:val="false"/>
                <w:bCs w:val="false"/>
              </w:rPr>
              <w:t xml:space="preserve">220</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La solicitud fue rechazada por el otro instituto.</w:t>
            </w:r>
          </w:p>
        </w:tc>
      </w:tr>
      <w:tr>
        <w:tc>
          <w:tcPr>
            <w:tcW w:type="dxa" w:w="850"/>
            <w:tcMar>
              <w:top w:type="dxa" w:w="80"/>
              <w:left w:type="dxa" w:w="100"/>
              <w:bottom w:type="dxa" w:w="80"/>
              <w:right w:type="dxa" w:w="100"/>
            </w:tcMar>
          </w:tcPr>
          <w:p>
            <w:r>
              <w:rPr>
                <w:b w:val="false"/>
                <w:bCs w:val="false"/>
              </w:rPr>
              <w:t xml:space="preserve">221</w:t>
            </w:r>
          </w:p>
        </w:tc>
        <w:tc>
          <w:tcPr>
            <w:tcW w:type="dxa" w:w="3573"/>
            <w:tcMar>
              <w:top w:type="dxa" w:w="80"/>
              <w:left w:type="dxa" w:w="100"/>
              <w:bottom w:type="dxa" w:w="80"/>
              <w:right w:type="dxa" w:w="100"/>
            </w:tcMar>
          </w:tcPr>
          <w:p>
            <w:r>
              <w:rPr>
                <w:b w:val="false"/>
                <w:bCs w:val="false"/>
              </w:rPr>
              <w:t xml:space="preserve">No fue posible marcar los periodos en la BDUD.</w:t>
            </w:r>
          </w:p>
        </w:tc>
        <w:tc>
          <w:tcPr>
            <w:tcW w:type="dxa" w:w="4937"/>
            <w:tcMar>
              <w:top w:type="dxa" w:w="80"/>
              <w:left w:type="dxa" w:w="100"/>
              <w:bottom w:type="dxa" w:w="80"/>
              <w:right w:type="dxa" w:w="100"/>
            </w:tcMar>
          </w:tcPr>
          <w:p>
            <w:r>
              <w:rPr>
                <w:b w:val="false"/>
                <w:bCs w:val="false"/>
              </w:rPr>
              <w:t xml:space="preserve">No fue posible marcar el historial de cotización en la Base de Datos de Derechohabientes, intente de nuevo más tarde.</w:t>
            </w:r>
          </w:p>
        </w:tc>
      </w:tr>
      <w:tr>
        <w:tc>
          <w:tcPr>
            <w:tcW w:type="dxa" w:w="850"/>
            <w:tcMar>
              <w:top w:type="dxa" w:w="80"/>
              <w:left w:type="dxa" w:w="100"/>
              <w:bottom w:type="dxa" w:w="80"/>
              <w:right w:type="dxa" w:w="100"/>
            </w:tcMar>
          </w:tcPr>
          <w:p>
            <w:r>
              <w:rPr>
                <w:b w:val="false"/>
                <w:bCs w:val="false"/>
              </w:rPr>
              <w:t xml:space="preserve">222</w:t>
            </w:r>
          </w:p>
        </w:tc>
        <w:tc>
          <w:tcPr>
            <w:tcW w:type="dxa" w:w="3573"/>
            <w:tcMar>
              <w:top w:type="dxa" w:w="80"/>
              <w:left w:type="dxa" w:w="100"/>
              <w:bottom w:type="dxa" w:w="80"/>
              <w:right w:type="dxa" w:w="100"/>
            </w:tcMar>
          </w:tcPr>
          <w:p>
            <w:r>
              <w:rPr>
                <w:b w:val="false"/>
                <w:bCs w:val="false"/>
              </w:rPr>
              <w:t xml:space="preserve">No fue posible actualizar estatus de solicitud.</w:t>
            </w:r>
          </w:p>
        </w:tc>
        <w:tc>
          <w:tcPr>
            <w:tcW w:type="dxa" w:w="4937"/>
            <w:tcMar>
              <w:top w:type="dxa" w:w="80"/>
              <w:left w:type="dxa" w:w="100"/>
              <w:bottom w:type="dxa" w:w="80"/>
              <w:right w:type="dxa" w:w="100"/>
            </w:tcMar>
          </w:tcPr>
          <w:p>
            <w:r>
              <w:rPr>
                <w:b w:val="false"/>
                <w:bCs w:val="false"/>
              </w:rPr>
              <w:t xml:space="preserve">No fue posible actualizar el estatus de la solicitud, intente de nuevo más tarde.</w:t>
            </w:r>
          </w:p>
        </w:tc>
      </w:tr>
      <w:tr>
        <w:tc>
          <w:tcPr>
            <w:tcW w:type="dxa" w:w="850"/>
            <w:tcMar>
              <w:top w:type="dxa" w:w="80"/>
              <w:left w:type="dxa" w:w="100"/>
              <w:bottom w:type="dxa" w:w="80"/>
              <w:right w:type="dxa" w:w="100"/>
            </w:tcMar>
          </w:tcPr>
          <w:p>
            <w:r>
              <w:rPr>
                <w:b w:val="false"/>
                <w:bCs w:val="false"/>
              </w:rPr>
              <w:t xml:space="preserve">223</w:t>
            </w:r>
          </w:p>
        </w:tc>
        <w:tc>
          <w:tcPr>
            <w:tcW w:type="dxa" w:w="3573"/>
            <w:tcMar>
              <w:top w:type="dxa" w:w="80"/>
              <w:left w:type="dxa" w:w="100"/>
              <w:bottom w:type="dxa" w:w="80"/>
              <w:right w:type="dxa" w:w="100"/>
            </w:tcMar>
          </w:tcPr>
          <w:p>
            <w:r>
              <w:rPr>
                <w:b w:val="false"/>
                <w:bCs w:val="false"/>
              </w:rPr>
              <w:t xml:space="preserve">No se identifica consulta básica previa.</w:t>
            </w:r>
          </w:p>
        </w:tc>
        <w:tc>
          <w:tcPr>
            <w:tcW w:type="dxa" w:w="4937"/>
            <w:tcMar>
              <w:top w:type="dxa" w:w="80"/>
              <w:left w:type="dxa" w:w="100"/>
              <w:bottom w:type="dxa" w:w="80"/>
              <w:right w:type="dxa" w:w="100"/>
            </w:tcMar>
          </w:tcPr>
          <w:p>
            <w:r>
              <w:rPr>
                <w:b w:val="false"/>
                <w:bCs w:val="false"/>
              </w:rPr>
              <w:t xml:space="preserve">No se identifica una consulta básica previa en los últimos 5 minutos.</w:t>
            </w:r>
          </w:p>
        </w:tc>
      </w:tr>
      <w:tr>
        <w:tc>
          <w:tcPr>
            <w:tcW w:type="dxa" w:w="850"/>
            <w:tcMar>
              <w:top w:type="dxa" w:w="80"/>
              <w:left w:type="dxa" w:w="100"/>
              <w:bottom w:type="dxa" w:w="80"/>
              <w:right w:type="dxa" w:w="100"/>
            </w:tcMar>
          </w:tcPr>
          <w:p>
            <w:r>
              <w:rPr>
                <w:b w:val="false"/>
                <w:bCs w:val="false"/>
              </w:rPr>
              <w:t xml:space="preserve">224</w:t>
            </w:r>
          </w:p>
        </w:tc>
        <w:tc>
          <w:tcPr>
            <w:tcW w:type="dxa" w:w="3573"/>
            <w:tcMar>
              <w:top w:type="dxa" w:w="80"/>
              <w:left w:type="dxa" w:w="100"/>
              <w:bottom w:type="dxa" w:w="80"/>
              <w:right w:type="dxa" w:w="100"/>
            </w:tcMar>
          </w:tcPr>
          <w:p>
            <w:r>
              <w:rPr>
                <w:b w:val="false"/>
                <w:bCs w:val="false"/>
              </w:rPr>
              <w:t xml:space="preserve">Motivo de rechazo proporcionado en la consulta básica (WS3).</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225</w:t>
            </w:r>
          </w:p>
        </w:tc>
        <w:tc>
          <w:tcPr>
            <w:tcW w:type="dxa" w:w="3573"/>
            <w:tcMar>
              <w:top w:type="dxa" w:w="80"/>
              <w:left w:type="dxa" w:w="100"/>
              <w:bottom w:type="dxa" w:w="80"/>
              <w:right w:type="dxa" w:w="100"/>
            </w:tcMar>
          </w:tcPr>
          <w:p>
            <w:r>
              <w:rPr>
                <w:b w:val="false"/>
                <w:bCs w:val="false"/>
              </w:rPr>
              <w:t xml:space="preserve">Trámite previo de portabilidad de derechos concluido (WS1).</w:t>
            </w:r>
          </w:p>
        </w:tc>
        <w:tc>
          <w:tcPr>
            <w:tcW w:type="dxa" w:w="4937"/>
            <w:tcMar>
              <w:top w:type="dxa" w:w="80"/>
              <w:left w:type="dxa" w:w="100"/>
              <w:bottom w:type="dxa" w:w="80"/>
              <w:right w:type="dxa" w:w="100"/>
            </w:tcMar>
          </w:tcPr>
          <w:p>
            <w:r>
              <w:rPr>
                <w:b w:val="false"/>
                <w:bCs w:val="false"/>
              </w:rPr>
              <w:t xml:space="preserve">Se identifica una tramite previo de portabilidad de derechos concluido en este Instituto.</w:t>
            </w:r>
          </w:p>
        </w:tc>
      </w:tr>
    </w:tbl>
    <w:p>
      <w:pPr>
        <w:spacing w:after="140"/>
      </w:pPr>
      <w:r>
        <w:t xml:space="preserve">Nota sobre el motivo 223: cuando IMSS consulta a ISSSTE, el sistema exige que exista una Consulta Básica reciente (dentro de los últimos 5 minutos) antes de aceptar la Consulta Robusta relacionada; si no se identifica esa consulta previa, el trámite se rechaza con este motivo.</w:t>
      </w:r>
    </w:p>
    <w:p>
      <w:pPr>
        <w:pStyle w:val="Heading1"/>
        <w:spacing w:after="160" w:before="320"/>
      </w:pPr>
      <w:r>
        <w:t xml:space="preserve">8. Recomendaciones para el usuario</w:t>
      </w:r>
    </w:p>
    <w:p>
      <w:pPr>
        <w:pStyle w:val="ListParagraph"/>
        <w:numPr>
          <w:ilvl w:val="0"/>
          <w:numId w:val="1"/>
        </w:numPr>
        <w:spacing w:after="60"/>
      </w:pPr>
      <w:r>
        <w:t xml:space="preserve">Verifica que tu CURP esté escrita exactamente como aparece en tu identificación oficial antes de capturarla.</w:t>
      </w:r>
    </w:p>
    <w:p>
      <w:pPr>
        <w:pStyle w:val="ListParagraph"/>
        <w:numPr>
          <w:ilvl w:val="0"/>
          <w:numId w:val="1"/>
        </w:numPr>
        <w:spacing w:after="60"/>
      </w:pPr>
      <w:r>
        <w:t xml:space="preserve">Ten a la mano tu certificado digital, llave privada y contraseña antes de iniciar el trámite.</w:t>
      </w:r>
    </w:p>
    <w:p>
      <w:pPr>
        <w:pStyle w:val="ListParagraph"/>
        <w:numPr>
          <w:ilvl w:val="0"/>
          <w:numId w:val="1"/>
        </w:numPr>
        <w:spacing w:after="60"/>
      </w:pPr>
      <w:r>
        <w:t xml:space="preserve">Verifica que tu correo electrónico y teléfono estén correctos, ya que son el medio de contacto durante el trámite.</w:t>
      </w:r>
    </w:p>
    <w:p>
      <w:pPr>
        <w:pStyle w:val="ListParagraph"/>
        <w:numPr>
          <w:ilvl w:val="0"/>
          <w:numId w:val="1"/>
        </w:numPr>
        <w:spacing w:after="60"/>
      </w:pPr>
      <w:r>
        <w:t xml:space="preserve">Conserva el folio de tu solicitud para dar seguimiento o descargar tus documentos.</w:t>
      </w:r>
    </w:p>
    <w:p>
      <w:pPr>
        <w:pStyle w:val="ListParagraph"/>
        <w:numPr>
          <w:ilvl w:val="0"/>
          <w:numId w:val="1"/>
        </w:numPr>
        <w:spacing w:after="60"/>
      </w:pPr>
      <w:r>
        <w:t xml:space="preserve">Si tu solicitud es rechazada o cancelada, descarga la resolución para conocer el motivo específico antes de intentar un nuevo trámite.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Guía de Operación del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Operación del Usuario</dc:title>
  <dc:subject>Documentación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2026-07-28T00:58:37.780Z</dcterms:created>
  <dcterms:modified xsi:type="dcterms:W3CDTF">2026-07-28T00:58:37.794Z</dcterms:modified>
</cp:coreProperties>
</file>

<file path=docProps/custom.xml><?xml version="1.0" encoding="utf-8"?>
<Properties xmlns="http://schemas.openxmlformats.org/officeDocument/2006/custom-properties" xmlns:vt="http://schemas.openxmlformats.org/officeDocument/2006/docPropsVTypes"/>
</file>