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FJL-F10</w:t>
      </w:r>
    </w:p>
    <w:p>
      <w:pPr>
        <w:pStyle w:val="Title"/>
        <w:spacing w:after="200"/>
        <w:jc w:val="center"/>
      </w:pPr>
      <w:r>
        <w:t xml:space="preserve">Reglas de Negocio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concentra el catálogo formal de reglas de negocio y motivos de rechazo/observación aplicables al proceso de portabilidad de derechos pensionarios.</w:t>
      </w:r>
    </w:p>
    <w:p>
      <w:pPr>
        <w:pStyle w:val="Heading1"/>
        <w:spacing w:after="160" w:before="320"/>
      </w:pPr>
      <w:r>
        <w:t xml:space="preserve">2. Reglas de elegibilidad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58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Estatus del derechohabiente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impedir continuar el trámite si el derechohabiente no existe en la BDUD, si su estatus es finado, o si su estatus de vigencia es indeterminado.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Consistencia con RENAPO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rechazar el trámite si la información capturada no coincide con la registrada en RENAPO, o si RENAPO reporta baja por defunción.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previo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detectar y observar si existe un trámite de portabilidad de derechos previo o en curso para el mismo derechohabiente.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Régimen pensionario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validar que el régimen pensionario sea Ordinario o Décimo Transitorio y esté correctamente asignado; determinadas reglas posteriores solo aplican a régimen Ordinario.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Vigencia y bono de pensión al 31/03/2007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detectar inconsistencias cuando el derechohabiente estuvo vigente al 31 de marzo de 2007 sin bono de pensión registrado, o cuando su fecha de ingreso es posterior a esa fecha sin hoja laboral previa.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Beneficio pensionario previo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rechazar el trámite si el derechohabiente ya presenta un beneficio pensionario directo o una marca de beneficio pensionario en su historial de cotización.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Marcas de impedimento (IG, 200/300, 100, 400-430)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rechazar u observar el trámite si se detectan marcas de Indemnización Global, marcas 200/300, traslapes con marca 100, o periodos con marca 400 a 430 en el historial de cotización.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Antigüedad mínima al fondo de pensiones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validar que el derechohabiente cuente con al menos un día de antigüedad como cotizante al fondo de pensiones.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RN-09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Consistencia general de periodos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validar que la secuencia de periodos cotizados sea consistente, sin usuarios inválidos, sueldos por debajo del mínimo, fechas invertidas, ni duplicados de mismo ramo-pagaduría con mismo cierre.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Periodos previos a la entrada en vigor de la LISSSTE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detectar periodos anteriores al 31/03/2007 no actualizados con fecha posterior y anterior al 30/09/2009.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Secuencia de consulta (proceso entrante)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validar que exista una consulta básica previa reciente (en los últimos 5 minutos) antes de aceptar una consulta robusta relacionada, cuando el proceso lo requiera.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Confirmación cruzada entre institutos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considerar rechazado el trámite si el otro instituto (IMSS o ProceSAR) reporta un código de rechazo (02), y deberá mostrar el motivo específico recibido de la contraparte.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Elegibilidad combinada de beneficio pensionario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determinar si procede el derecho a pensión combinando el tiempo cotizado en ambos institutos y la edad del derechohabiente, y deberá proceder a la consulta de saldos y al consumo del servicio de la CNSF únicamente cuando el dictamen sea positivo.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RN-14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Re-portabilidad de periodos</w:t>
            </w:r>
          </w:p>
        </w:tc>
        <w:tc>
          <w:tcPr>
            <w:tcW w:type="dxa" w:w="5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deberá permitir volver a consultar y volver a marcar, en un nuevo trámite de portabilidad, los periodos que ya cuenten con la clave 410 en uso_pen (marca de portabilidad/re-portabilidad), sin considerar dicha marca como un impedimento bloqueante; solo se excluyen los periodos con una marca distinta a 410 o nula.</w:t>
            </w:r>
          </w:p>
        </w:tc>
      </w:tr>
    </w:tbl>
    <w:p>
      <w:pPr>
        <w:pStyle w:val="Heading1"/>
        <w:spacing w:after="160" w:before="320"/>
      </w:pPr>
      <w:r>
        <w:t xml:space="preserve">3. Catálogo de motivos de rechazo — proceso saliente (101-134)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480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3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Motivo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Recomendación al derechohabiente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solicitud no logró firmarse de forma exitosa.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verifique sus credenciales.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solicitud no pudo ser registrada.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Régimen pensionario incorrecto o sin asignar.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Presentarse en su Representación para validar su régimen pensionario.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Sólo aplica para régimen ordinario.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Información no coincidente con la registrada en RENAPO y/o CURP con estatus de baja en RENAPO.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Presentarse en su Representación para corregir su información. Si la información registrada en la BDUD es correcta, acuda al módulo más cercano de RENAPO para aclarar su situación.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Estatus de vigencia indeterminado.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Presentarse en su Representación para corregir su estatus de vigencia.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Ya presenta un beneficio pensionario.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Marca de beneficio pensionario en el historial de cotización.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Inconsistencias en la marca de IGen el historial de cotización.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Presentarse en ventanilla de Pensiones para validar periodos con marca de IG.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de portabilidad de derechos previo.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Inconsistencias en el historial de cotización.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Presentarse en su Representación con las HUS para validar su historial.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cuenta con antigüedad cotizante al fondo de pensiones.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Inconsistencia en régimen pensionario (Activo LISSSTE sin Bono).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Presentarse en su Representación para validar su régimen pensionario.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Periodos previos a la entrada en vigor de la LISSSTE no actualizados.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Presentarse en su Representación con las HUS para validar su historial.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Rechazado por el otro Instituto (WS1).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Mostrar el motivo de rechazo del otro Instituto.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Vigente en el otro Instituto o su fecha de baja es posterior a la de este Instituto.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Beneficio pensionario previo marcado en PROCESAR.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Rechazado por PROCESAR (WS2).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Mostrar el motivo de rechazo de PROCESAR.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Rechazado por el otro Instituto (WS3).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Mostrar el motivo de rechazo del otro Instituto.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 beneficio pensionario posible.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Rechazado por el otro Instituto (WS6).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Mostrar el motivo de rechazo del otro Instituto.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fue posible notificar a PROCESAR conclusión exitosa del trámite.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(STI) Intentar operación de forma automática durante 24 hrs, posterior notificar error a los administradores.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proceso de dictaminación (WS7).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notificación de procedencia (WS6).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notificación de conclusión (WS4).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notificación de rechazo (WS5).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al consultar RENAPO.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consulta básica (WS1).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al realizar la inserción en PROCESAR (WS2).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en consulta robusta (WS3).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de saldos preliminares (WS-SaldosPreliminares).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Falla de comunicación con CNSF.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Rechazo de saldos preliminares.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 favor inténtelo nuevamente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134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 saldo suficiente en la cuenta individual (CNSF).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t xml:space="preserve">4. Catálogo de motivos de rechazo — proceso entrante (201-225)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480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3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Motivo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Recomendación al derechohabiente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Información requerida no proporcionada.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información requerida no fue proporcionada.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Trabajador no existe en BDUD.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CURP no existe en la Base de Datos Única de Derechohabientes.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previo de portabilidad de derechos.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CURP presenta un trámite previo de portabilidad de derechos.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Trabajador activo.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trabajador se encuentra activo, podrá iniciar su trámite en el otro Instituto.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Información no coincidente con la registrada en RENAPO.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información no es coincidente con la registrada en RENAPO, deberá presentarse en su Representación del ISSSTE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CURP con estatus de baja en RENAPO.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CURP presenta un estatus de baja registrado en RENAPO. Deberá acudir a la oficina más cercana de RENAPO para aclarar su situación.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Estatus de finado en la BDUD.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registro presenta estatus finado en la Base de Datos Única de Derechohabientes, deberá presentarse en su Representación del ISSSTE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Estatus de vigencia indeterminado.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registro presenta estatus de vigencia indeterminado, deberá presentarse en su Representación del ISSSTE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Régimen pensionario incorrecto o sin asignar.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régimen pensionario es incorrecto o sin asignar, deberá presentarse en su Representación del ISSSTE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Sólo aplica para régimen ordinario.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se encuentra en régimen ordinario (cuentas individuales).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 beneficio pensionario.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Cuenta con un beneficio pensionario o negativa de pensión.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Marca de beneficio pensionario en el historial de cotización.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detectaron marcas de beneficio pensionario en el historial de cotización, deberá presentarse en su Representación del ISSSTE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Inconsistencias en la marca de IGen el historial de cotización.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detectaron marcas de Indemnización Global inconsistentes en el historial de cotización, deberá presentarse en su Representación del ISSSTE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de portabilidad de derechos previo.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detectaron marcas de Portabilidad de Derechos en el historial de cotización, deberá presentarse en su Representación del ISSSTE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Inconsistencias en el historial de cotización.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detectaron inconsistencias en el historial de cotización, deberá presentarse en su Representación del ISSSTE con las Hojas Únicas de Servicio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cuenta con antigüedad cotizante al fondo de pensiones.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cuenta con antigüedad cotizante al fondo de pensiones.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Inconsistencia en régimen pensionario (Activo LISSSTE sin Bono).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detectó inconsistencia en su régimen pensionario, deberá presentarse en su Representación del ISSSTE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Periodosprevios a la entrada en vigor de la LISSSTE no actualizados.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detectaron periodos inconsistentes en el historial de cotización, deberá presentarse en su Representación del ISSSTE con las Hojas Únicas de Servicio para corregir su información.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existe solicitud con los datos enviados.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existe registro de la solicitud con la información enviada.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Rechazado por el otro Instituto (WS6).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solicitud fue rechazada por el otro instituto.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fue posible marcar los periodos en la BDUD.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fue posible marcar el historial de cotización en la Base de Datos de Derechohabientes, intente de nuevo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fue posible actualizar estatus de solicitud.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fue posible actualizar el estatus de la solicitud, intente de nuevo más tarde.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se identifica consulta básica previa.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se identifica una consulta básica previa en los últimos 5 minutos.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Motivo de rechazo proporcionado en la consulta básica (WS3).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225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Trámite previo de portabilidad de derechos concluido (WS1).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identifica una tramite previo de portabilidad de derechos concluido en este Instituto.</w:t>
            </w:r>
          </w:p>
        </w:tc>
      </w:tr>
    </w:tbl>
    <w:p>
      <w:pPr>
        <w:pStyle w:val="Heading1"/>
        <w:spacing w:after="160" w:before="320"/>
      </w:pPr>
      <w:r>
        <w:t xml:space="preserve">5. Interpretación de códigos de respuesta entre institutos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01 = el servicio del instituto contraparte registró correctamente la operación enviada.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02 = el servicio se consumió correctamente, pero el instituto contraparte detectó un problema de datos (rechazo de negocio, no técnico).</w:t>
      </w:r>
    </w:p>
    <w:p>
      <w:pPr>
        <w:pStyle w:val="Heading1"/>
        <w:spacing w:after="160" w:before="320"/>
      </w:pPr>
      <w:r>
        <w:t xml:space="preserve">6. Gobierno del catálogo</w:t>
      </w:r>
    </w:p>
    <w:p>
      <w:pPr>
        <w:spacing w:after="140"/>
      </w:pPr>
      <w:r>
        <w:t xml:space="preserve">Se recomienda que cualquier adición o modificación de reglas de negocio o motivos de rechazo se registre con fecha, responsable y justificación, y se refleje en una nueva versión de este documento.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FJL-F10 · Reglas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FJL-F10 · Reglas de Negocio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2026-07-28T01:11:21.274Z</dcterms:created>
  <dcterms:modified xsi:type="dcterms:W3CDTF">2026-07-28T01:11:21.274Z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