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>
            <w:rPr>
              <w:rStyle w:val="nfasisintenso"/>
            </w:rPr>
            <w:t>Índice</w:t>
          </w:r>
        </w:p>
        <w:p w14:paraId="482D65E6" w14:textId="728E5DB3" w:rsidR="005404B0" w:rsidRDefault="75614E7F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421655" w:history="1">
            <w:r w:rsidR="005404B0" w:rsidRPr="007D63E8">
              <w:rPr>
                <w:rStyle w:val="Hipervnculo"/>
                <w:rFonts w:ascii="Arial" w:eastAsia="Calibri" w:hAnsi="Arial"/>
                <w:noProof/>
              </w:rPr>
              <w:t>1.</w:t>
            </w:r>
            <w:r w:rsidR="005404B0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5404B0" w:rsidRPr="007D63E8">
              <w:rPr>
                <w:rStyle w:val="Hipervnculo"/>
                <w:noProof/>
              </w:rPr>
              <w:t>Propósito</w:t>
            </w:r>
            <w:r w:rsidR="005404B0">
              <w:rPr>
                <w:noProof/>
                <w:webHidden/>
              </w:rPr>
              <w:tab/>
            </w:r>
            <w:r w:rsidR="005404B0">
              <w:rPr>
                <w:noProof/>
                <w:webHidden/>
              </w:rPr>
              <w:fldChar w:fldCharType="begin"/>
            </w:r>
            <w:r w:rsidR="005404B0">
              <w:rPr>
                <w:noProof/>
                <w:webHidden/>
              </w:rPr>
              <w:instrText xml:space="preserve"> PAGEREF _Toc241421655 \h </w:instrText>
            </w:r>
            <w:r w:rsidR="005404B0">
              <w:rPr>
                <w:noProof/>
                <w:webHidden/>
              </w:rPr>
            </w:r>
            <w:r w:rsidR="005404B0">
              <w:rPr>
                <w:noProof/>
                <w:webHidden/>
              </w:rPr>
              <w:fldChar w:fldCharType="separate"/>
            </w:r>
            <w:r w:rsidR="005404B0">
              <w:rPr>
                <w:noProof/>
                <w:webHidden/>
              </w:rPr>
              <w:t>2</w:t>
            </w:r>
            <w:r w:rsidR="005404B0">
              <w:rPr>
                <w:noProof/>
                <w:webHidden/>
              </w:rPr>
              <w:fldChar w:fldCharType="end"/>
            </w:r>
          </w:hyperlink>
        </w:p>
        <w:p w14:paraId="10AB05B2" w14:textId="4E725615" w:rsidR="005404B0" w:rsidRDefault="005404B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21656" w:history="1">
            <w:r w:rsidRPr="007D63E8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7D63E8">
              <w:rPr>
                <w:rStyle w:val="Hipervnculo"/>
                <w:noProof/>
              </w:rPr>
              <w:t>Datos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28AD" w14:textId="7D3C7D0B" w:rsidR="005404B0" w:rsidRDefault="005404B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21657" w:history="1">
            <w:r w:rsidRPr="007D63E8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7D63E8">
              <w:rPr>
                <w:rStyle w:val="Hipervnculo"/>
                <w:noProof/>
              </w:rPr>
              <w:t>Necesidad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3325D" w14:textId="5C0E467B" w:rsidR="005404B0" w:rsidRDefault="005404B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21658" w:history="1">
            <w:r w:rsidRPr="007D63E8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7D63E8">
              <w:rPr>
                <w:rStyle w:val="Hipervnculo"/>
                <w:noProof/>
              </w:rPr>
              <w:t>Descripción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FF880" w14:textId="2946F3DB" w:rsidR="005404B0" w:rsidRDefault="005404B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21659" w:history="1">
            <w:r w:rsidRPr="007D63E8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7D63E8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CEA65" w14:textId="577EF841" w:rsidR="005404B0" w:rsidRDefault="005404B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21660" w:history="1">
            <w:r w:rsidRPr="007D63E8">
              <w:rPr>
                <w:rStyle w:val="Hipervnculo"/>
                <w:noProof/>
              </w:rPr>
              <w:t>4.2.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7D63E8">
              <w:rPr>
                <w:rStyle w:val="Hipervnculo"/>
                <w:noProof/>
              </w:rPr>
              <w:t>Lista de requisitos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D865" w14:textId="45B958F9" w:rsidR="005404B0" w:rsidRDefault="005404B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21661" w:history="1">
            <w:r w:rsidRPr="007D63E8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7D63E8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5AE8" w14:textId="2DE2CE90" w:rsidR="005404B0" w:rsidRDefault="005404B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21662" w:history="1">
            <w:r w:rsidRPr="007D63E8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7D63E8">
              <w:rPr>
                <w:rStyle w:val="Hipervnculo"/>
                <w:noProof/>
              </w:rPr>
              <w:t>Expectativas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6434F" w14:textId="3CFE6A41" w:rsidR="005404B0" w:rsidRDefault="005404B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21663" w:history="1">
            <w:r w:rsidRPr="007D63E8">
              <w:rPr>
                <w:rStyle w:val="Hipervnculo"/>
                <w:noProof/>
              </w:rPr>
              <w:t>7.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7D63E8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0FD0C" w14:textId="1C80B4A4" w:rsidR="005404B0" w:rsidRDefault="005404B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21664" w:history="1">
            <w:r w:rsidRPr="007D63E8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DA332" w14:textId="67E89CE8" w:rsidR="00AA3076" w:rsidRPr="00854FEB" w:rsidRDefault="75614E7F" w:rsidP="00854FEB">
          <w:pPr>
            <w:pStyle w:val="TDC1"/>
            <w:tabs>
              <w:tab w:val="left" w:pos="480"/>
              <w:tab w:val="right" w:leader="dot" w:pos="8490"/>
            </w:tabs>
            <w:rPr>
              <w:color w:val="0563C1" w:themeColor="hyperlink"/>
              <w:u w:val="single"/>
            </w:rPr>
          </w:pPr>
          <w:r>
            <w:fldChar w:fldCharType="end"/>
          </w:r>
        </w:p>
      </w:sdtContent>
    </w:sdt>
    <w:p w14:paraId="2D57971F" w14:textId="4BFF64B2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7E35C077" w14:textId="77777777" w:rsidR="00854FEB" w:rsidRDefault="00854FEB" w:rsidP="009474AD"/>
    <w:p w14:paraId="0F3BDC93" w14:textId="77777777" w:rsidR="00854FEB" w:rsidRDefault="00854FEB" w:rsidP="009474AD"/>
    <w:p w14:paraId="6C23FCC4" w14:textId="77777777" w:rsidR="00854FEB" w:rsidRDefault="00854FEB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3D9834D9" w14:textId="7BCD4977" w:rsidR="0E486630" w:rsidRPr="00430DF9" w:rsidRDefault="0E486630" w:rsidP="00430DF9">
      <w:pPr>
        <w:spacing w:after="160" w:line="259" w:lineRule="auto"/>
      </w:pPr>
    </w:p>
    <w:p w14:paraId="720A3AD4" w14:textId="77777777" w:rsidR="005404B0" w:rsidRDefault="005404B0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8F898B9" w14:textId="72098397" w:rsidR="018BE618" w:rsidRDefault="018BE618" w:rsidP="006729BA">
      <w:pPr>
        <w:pStyle w:val="Ttulo1"/>
        <w:numPr>
          <w:ilvl w:val="0"/>
          <w:numId w:val="6"/>
        </w:numPr>
        <w:rPr>
          <w:rFonts w:ascii="Arial" w:eastAsia="Calibri" w:hAnsi="Arial" w:cs="Times New Roman"/>
          <w:sz w:val="24"/>
          <w:szCs w:val="24"/>
        </w:rPr>
      </w:pPr>
      <w:bookmarkStart w:id="0" w:name="_Toc241421655"/>
      <w:r>
        <w:lastRenderedPageBreak/>
        <w:t>Propósito</w:t>
      </w:r>
      <w:bookmarkEnd w:id="0"/>
    </w:p>
    <w:p w14:paraId="6484A315" w14:textId="129FDB09" w:rsidR="75614E7F" w:rsidRPr="005404B0" w:rsidRDefault="00156364" w:rsidP="006729BA">
      <w:pPr>
        <w:spacing w:after="0"/>
        <w:rPr>
          <w:rFonts w:asciiTheme="minorHAnsi" w:hAnsiTheme="minorHAnsi" w:cstheme="minorHAnsi"/>
          <w:sz w:val="20"/>
          <w:szCs w:val="20"/>
        </w:rPr>
      </w:pPr>
      <w:r w:rsidRPr="005404B0">
        <w:rPr>
          <w:rFonts w:asciiTheme="minorHAnsi" w:hAnsiTheme="minorHAnsi" w:cstheme="minorHAnsi"/>
          <w:sz w:val="20"/>
          <w:szCs w:val="20"/>
        </w:rPr>
        <w:t>Brindar una declaración clara y concisa que describe los elementos necesarios para comprender la necesidad del producto</w:t>
      </w:r>
      <w:r w:rsidRPr="005404B0">
        <w:rPr>
          <w:rFonts w:asciiTheme="minorHAnsi" w:hAnsiTheme="minorHAnsi" w:cstheme="minorHAnsi"/>
          <w:i/>
          <w:iCs/>
          <w:sz w:val="20"/>
          <w:szCs w:val="20"/>
        </w:rPr>
        <w:t xml:space="preserve"> Portabilidad de Derechos Pensionarios entre ISSSTE e IMSS</w:t>
      </w:r>
      <w:r w:rsidRPr="005404B0">
        <w:rPr>
          <w:rFonts w:asciiTheme="minorHAnsi" w:hAnsiTheme="minorHAnsi" w:cstheme="minorHAnsi"/>
          <w:sz w:val="20"/>
          <w:szCs w:val="20"/>
        </w:rPr>
        <w:t>.</w:t>
      </w:r>
    </w:p>
    <w:p w14:paraId="30A174D3" w14:textId="43B7522D" w:rsidR="00BE67AA" w:rsidRDefault="00D930D5" w:rsidP="006729BA">
      <w:pPr>
        <w:pStyle w:val="Ttulo1"/>
        <w:numPr>
          <w:ilvl w:val="0"/>
          <w:numId w:val="6"/>
        </w:numPr>
      </w:pPr>
      <w:bookmarkStart w:id="1" w:name="_Toc241421656"/>
      <w:r>
        <w:t>Datos del cliente</w:t>
      </w:r>
      <w:bookmarkEnd w:id="1"/>
      <w:r>
        <w:t xml:space="preserve"> </w:t>
      </w:r>
    </w:p>
    <w:p w14:paraId="6B591226" w14:textId="102D31ED" w:rsidR="005948E0" w:rsidRPr="005404B0" w:rsidRDefault="005C3E16" w:rsidP="006729BA">
      <w:pPr>
        <w:spacing w:after="0"/>
        <w:rPr>
          <w:rFonts w:asciiTheme="minorHAnsi" w:hAnsiTheme="minorHAnsi" w:cstheme="minorHAnsi"/>
          <w:i/>
          <w:iCs/>
          <w:sz w:val="20"/>
          <w:szCs w:val="20"/>
        </w:rPr>
      </w:pPr>
      <w:r w:rsidRPr="005404B0">
        <w:rPr>
          <w:rFonts w:asciiTheme="minorHAnsi" w:hAnsiTheme="minorHAnsi" w:cstheme="minorHAnsi"/>
          <w:sz w:val="20"/>
          <w:szCs w:val="20"/>
        </w:rPr>
        <w:t xml:space="preserve">Nombre del cliente: </w:t>
      </w:r>
      <w:r w:rsidRPr="005404B0">
        <w:rPr>
          <w:rFonts w:asciiTheme="minorHAnsi" w:hAnsiTheme="minorHAnsi" w:cstheme="minorHAnsi"/>
          <w:i/>
          <w:iCs/>
          <w:sz w:val="20"/>
          <w:szCs w:val="20"/>
        </w:rPr>
        <w:t>Instituto de Seguridad y Servicios Sociales de los Trabajadores del Estado (ISSSTE)</w:t>
      </w:r>
    </w:p>
    <w:p w14:paraId="489FDCE1" w14:textId="77777777" w:rsidR="005F642C" w:rsidRDefault="005F642C" w:rsidP="006729BA">
      <w:pPr>
        <w:pStyle w:val="Ttulo1"/>
        <w:numPr>
          <w:ilvl w:val="0"/>
          <w:numId w:val="6"/>
        </w:numPr>
      </w:pPr>
      <w:bookmarkStart w:id="2" w:name="_Toc241421657"/>
      <w:r>
        <w:t>Necesidad comercial</w:t>
      </w:r>
      <w:bookmarkEnd w:id="2"/>
    </w:p>
    <w:p w14:paraId="2412D21F" w14:textId="0CECDD25" w:rsidR="00CD2B2B" w:rsidRPr="005404B0" w:rsidRDefault="00B92F3B" w:rsidP="006729BA">
      <w:pPr>
        <w:spacing w:after="0"/>
        <w:rPr>
          <w:rFonts w:asciiTheme="minorHAnsi" w:hAnsiTheme="minorHAnsi" w:cstheme="minorHAnsi"/>
          <w:i/>
          <w:iCs/>
          <w:sz w:val="20"/>
          <w:szCs w:val="18"/>
        </w:rPr>
      </w:pPr>
      <w:r w:rsidRPr="005404B0">
        <w:rPr>
          <w:rFonts w:asciiTheme="minorHAnsi" w:hAnsiTheme="minorHAnsi" w:cstheme="minorHAnsi"/>
          <w:i/>
          <w:iCs/>
          <w:sz w:val="20"/>
          <w:szCs w:val="18"/>
        </w:rPr>
        <w:t>ISSSTE no cuenta con un mecanismo sistematizado, auditable y con validez legal para tramitar la portabilidad de derechos pensionarios de un derechohabiente entre ISSSTE e IMSS, incluyendo los casos en que un mismo derechohabiente requiere portar sus derechos más de una vez a lo largo de su vida laboral. Esto se traduce en trámites lentos, propensos a error humano, sin trazabilidad uniforme y sin una aplicación consistente de las reglas de elegibilidad entre ambos sentidos del proceso.</w:t>
      </w:r>
    </w:p>
    <w:p w14:paraId="418B207E" w14:textId="77777777" w:rsidR="005F642C" w:rsidRDefault="005F642C" w:rsidP="006729BA">
      <w:pPr>
        <w:pStyle w:val="Ttulo1"/>
        <w:numPr>
          <w:ilvl w:val="0"/>
          <w:numId w:val="6"/>
        </w:numPr>
      </w:pPr>
      <w:bookmarkStart w:id="3" w:name="_Toc241421658"/>
      <w:r>
        <w:t>Descripción del producto</w:t>
      </w:r>
      <w:bookmarkEnd w:id="3"/>
    </w:p>
    <w:p w14:paraId="074C69D1" w14:textId="77777777" w:rsidR="00D93274" w:rsidRDefault="003438F8" w:rsidP="006729BA">
      <w:pPr>
        <w:pStyle w:val="Ttulo2"/>
        <w:numPr>
          <w:ilvl w:val="1"/>
          <w:numId w:val="6"/>
        </w:numPr>
        <w:spacing w:after="0" w:afterAutospacing="0"/>
      </w:pPr>
      <w:bookmarkStart w:id="4" w:name="_Toc241421659"/>
      <w:r>
        <w:rPr>
          <w:b w:val="0"/>
          <w:bCs w:val="0"/>
        </w:rPr>
        <w:t>Propósito</w:t>
      </w:r>
      <w:bookmarkEnd w:id="4"/>
    </w:p>
    <w:p w14:paraId="6A96BF25" w14:textId="45F722F8" w:rsidR="008A3104" w:rsidRPr="005404B0" w:rsidRDefault="00CF3556" w:rsidP="006729BA">
      <w:pPr>
        <w:spacing w:after="0"/>
        <w:rPr>
          <w:rFonts w:asciiTheme="minorHAnsi" w:hAnsiTheme="minorHAnsi" w:cstheme="minorHAnsi"/>
          <w:i/>
          <w:iCs/>
          <w:sz w:val="20"/>
          <w:szCs w:val="28"/>
        </w:rPr>
      </w:pPr>
      <w:r w:rsidRPr="005404B0">
        <w:rPr>
          <w:rFonts w:asciiTheme="minorHAnsi" w:hAnsiTheme="minorHAnsi" w:cstheme="minorHAnsi"/>
          <w:i/>
          <w:iCs/>
          <w:sz w:val="20"/>
          <w:szCs w:val="18"/>
        </w:rPr>
        <w:t>Para el ISSSTE y los derechohabientes que solicitan portabilidad de derechos pensionarios, que requieren tramitar la portabilidad hacia o desde el IMSS de forma confiable y auditable, el sistema de Portabilidad de Derechos Pensionarios entre ISSSTE e IMSS captura, valida, firma electrónicamente y da seguimiento a la solicitud, coordinando el intercambio con IMSS, ProceSAR, RENAPO y la CNSF. A diferencia de un proceso manual o disperso sin reglas de elegibilidad uniformes ni trazabilidad, el producto aplica un catálogo único de reglas de negocio y motivos de rechazo, genera documentos con validez legal y mantiene bitácora completa del trámite.</w:t>
      </w:r>
      <w:r w:rsidRPr="005404B0">
        <w:rPr>
          <w:rFonts w:asciiTheme="minorHAnsi" w:hAnsiTheme="minorHAnsi" w:cstheme="minorHAnsi"/>
          <w:i/>
          <w:iCs/>
          <w:sz w:val="20"/>
          <w:szCs w:val="18"/>
        </w:rPr>
        <w:br/>
      </w:r>
    </w:p>
    <w:p w14:paraId="6326DAE8" w14:textId="12EB958C" w:rsidR="005B01CE" w:rsidRDefault="005F642C" w:rsidP="006729BA">
      <w:pPr>
        <w:pStyle w:val="Ttulo2"/>
        <w:numPr>
          <w:ilvl w:val="1"/>
          <w:numId w:val="6"/>
        </w:numPr>
        <w:spacing w:after="0" w:afterAutospacing="0"/>
        <w:rPr>
          <w:b w:val="0"/>
          <w:bCs w:val="0"/>
          <w:lang w:val="es-MX"/>
        </w:rPr>
      </w:pPr>
      <w:bookmarkStart w:id="5" w:name="_Toc241421660"/>
      <w:r>
        <w:rPr>
          <w:b w:val="0"/>
          <w:bCs w:val="0"/>
        </w:rPr>
        <w:t xml:space="preserve">Lista de requisitos </w:t>
      </w:r>
      <w:r>
        <w:rPr>
          <w:b w:val="0"/>
          <w:bCs w:val="0"/>
          <w:lang w:val="es-MX"/>
        </w:rPr>
        <w:t>generales</w:t>
      </w:r>
      <w:bookmarkEnd w:id="5"/>
    </w:p>
    <w:p w14:paraId="69FD5E15" w14:textId="666000AC" w:rsidR="005B01CE" w:rsidRPr="005404B0" w:rsidRDefault="005B01CE" w:rsidP="006729BA">
      <w:pPr>
        <w:spacing w:after="0"/>
        <w:rPr>
          <w:rFonts w:asciiTheme="minorHAnsi" w:hAnsiTheme="minorHAnsi" w:cstheme="minorHAnsi"/>
          <w:i/>
          <w:iCs/>
          <w:sz w:val="20"/>
          <w:szCs w:val="18"/>
        </w:rPr>
      </w:pPr>
      <w:r w:rsidRPr="005404B0">
        <w:rPr>
          <w:rFonts w:asciiTheme="minorHAnsi" w:hAnsiTheme="minorHAnsi" w:cstheme="minorHAnsi"/>
          <w:i/>
          <w:iCs/>
          <w:sz w:val="20"/>
          <w:szCs w:val="18"/>
        </w:rPr>
        <w:t>Los requisitos generales identificados para el proyecto son los siguientes:</w:t>
      </w:r>
    </w:p>
    <w:tbl>
      <w:tblPr>
        <w:tblStyle w:val="Tablaconcuadrcula"/>
        <w:tblW w:w="8490" w:type="dxa"/>
        <w:tblLook w:val="04A0" w:firstRow="1" w:lastRow="0" w:firstColumn="1" w:lastColumn="0" w:noHBand="0" w:noVBand="1"/>
      </w:tblPr>
      <w:tblGrid>
        <w:gridCol w:w="630"/>
        <w:gridCol w:w="3455"/>
        <w:gridCol w:w="4405"/>
      </w:tblGrid>
      <w:tr w:rsidR="00D96792" w:rsidRPr="005404B0" w14:paraId="7A02D995" w14:textId="77777777" w:rsidTr="069806F4">
        <w:trPr>
          <w:trHeight w:val="346"/>
        </w:trPr>
        <w:tc>
          <w:tcPr>
            <w:tcW w:w="630" w:type="dxa"/>
            <w:shd w:val="clear" w:color="auto" w:fill="595959" w:themeFill="text1" w:themeFillTint="A6"/>
          </w:tcPr>
          <w:p w14:paraId="43D0F5A5" w14:textId="290C1408" w:rsidR="63D76B62" w:rsidRPr="005404B0" w:rsidRDefault="63D76B62" w:rsidP="069806F4">
            <w:pPr>
              <w:jc w:val="center"/>
              <w:rPr>
                <w:b/>
                <w:bCs/>
              </w:rPr>
            </w:pPr>
            <w:r w:rsidRPr="005404B0">
              <w:rPr>
                <w:b/>
                <w:bCs/>
              </w:rPr>
              <w:t>No.</w:t>
            </w:r>
          </w:p>
        </w:tc>
        <w:tc>
          <w:tcPr>
            <w:tcW w:w="3455" w:type="dxa"/>
            <w:shd w:val="clear" w:color="auto" w:fill="595959" w:themeFill="text1" w:themeFillTint="A6"/>
          </w:tcPr>
          <w:p w14:paraId="57EABD66" w14:textId="33AB2238" w:rsidR="00D96792" w:rsidRPr="005404B0" w:rsidRDefault="00D96792" w:rsidP="00724588">
            <w:pPr>
              <w:spacing w:after="0"/>
              <w:jc w:val="center"/>
              <w:rPr>
                <w:b/>
                <w:bCs/>
              </w:rPr>
            </w:pPr>
            <w:r w:rsidRPr="005404B0">
              <w:rPr>
                <w:b/>
                <w:bCs/>
              </w:rPr>
              <w:t>Requisito</w:t>
            </w:r>
          </w:p>
        </w:tc>
        <w:tc>
          <w:tcPr>
            <w:tcW w:w="4405" w:type="dxa"/>
            <w:shd w:val="clear" w:color="auto" w:fill="595959" w:themeFill="text1" w:themeFillTint="A6"/>
          </w:tcPr>
          <w:p w14:paraId="6370D0B0" w14:textId="4EC166C7" w:rsidR="00D96792" w:rsidRPr="005404B0" w:rsidRDefault="00D96792" w:rsidP="00724588">
            <w:pPr>
              <w:spacing w:after="0"/>
              <w:jc w:val="center"/>
              <w:rPr>
                <w:b/>
                <w:bCs/>
              </w:rPr>
            </w:pPr>
            <w:r w:rsidRPr="005404B0">
              <w:rPr>
                <w:b/>
                <w:bCs/>
              </w:rPr>
              <w:t>Descripción</w:t>
            </w:r>
          </w:p>
        </w:tc>
      </w:tr>
      <w:tr w:rsidR="00D96792" w:rsidRPr="005404B0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Pr="005404B0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3455" w:type="dxa"/>
          </w:tcPr>
          <w:p w14:paraId="3B28A4A4" w14:textId="772D592B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Captura y validación de identidad</w:t>
            </w:r>
          </w:p>
        </w:tc>
        <w:tc>
          <w:tcPr>
            <w:tcW w:w="4405" w:type="dxa"/>
          </w:tcPr>
          <w:p w14:paraId="2140ED6A" w14:textId="70ABB142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Captura y validación de identidad del derechohabiente (CURP contra RENAPO, datos de la BDUD).</w:t>
            </w:r>
          </w:p>
        </w:tc>
      </w:tr>
      <w:tr w:rsidR="00D96792" w:rsidRPr="005404B0" w14:paraId="43DDE227" w14:textId="77777777" w:rsidTr="069806F4">
        <w:trPr>
          <w:trHeight w:val="427"/>
        </w:trPr>
        <w:tc>
          <w:tcPr>
            <w:tcW w:w="630" w:type="dxa"/>
          </w:tcPr>
          <w:p w14:paraId="2B266ED0" w14:textId="77777777" w:rsidR="22F416C7" w:rsidRPr="005404B0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3455" w:type="dxa"/>
          </w:tcPr>
          <w:p w14:paraId="7C75F9C0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Elegibilidad uniforme en ambos sentidos</w:t>
            </w:r>
          </w:p>
        </w:tc>
        <w:tc>
          <w:tcPr>
            <w:tcW w:w="4405" w:type="dxa"/>
          </w:tcPr>
          <w:p w14:paraId="54FB32EF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Aplicación uniforme de reglas de elegibilidad, tanto en el proceso saliente (ISSSTE→IMSS) como en el entrante (IMSS→ISSSTE).</w:t>
            </w:r>
          </w:p>
        </w:tc>
      </w:tr>
      <w:tr w:rsidR="00D96792" w:rsidRPr="005404B0" w14:paraId="4C56C1E8" w14:textId="77777777" w:rsidTr="069806F4">
        <w:trPr>
          <w:trHeight w:val="427"/>
        </w:trPr>
        <w:tc>
          <w:tcPr>
            <w:tcW w:w="630" w:type="dxa"/>
          </w:tcPr>
          <w:p w14:paraId="3239B827" w14:textId="77777777" w:rsidR="22F416C7" w:rsidRPr="005404B0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3455" w:type="dxa"/>
          </w:tcPr>
          <w:p w14:paraId="6B5A7CAB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Firma electrónica y sello digital</w:t>
            </w:r>
          </w:p>
        </w:tc>
        <w:tc>
          <w:tcPr>
            <w:tcW w:w="4405" w:type="dxa"/>
          </w:tcPr>
          <w:p w14:paraId="096D976C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Firma electrónica y sello digital con validez legal para los documentos generados (Solicitud y Resolución de Transferencia de Derechos).</w:t>
            </w:r>
          </w:p>
        </w:tc>
      </w:tr>
      <w:tr w:rsidR="00D96792" w:rsidRPr="005404B0" w14:paraId="6E6886F2" w14:textId="77777777" w:rsidTr="069806F4">
        <w:trPr>
          <w:trHeight w:val="427"/>
        </w:trPr>
        <w:tc>
          <w:tcPr>
            <w:tcW w:w="630" w:type="dxa"/>
          </w:tcPr>
          <w:p w14:paraId="3759B98C" w14:textId="77777777" w:rsidR="22F416C7" w:rsidRPr="005404B0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3455" w:type="dxa"/>
          </w:tcPr>
          <w:p w14:paraId="083008A7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Intercambio con institutos externos</w:t>
            </w:r>
          </w:p>
        </w:tc>
        <w:tc>
          <w:tcPr>
            <w:tcW w:w="4405" w:type="dxa"/>
          </w:tcPr>
          <w:p w14:paraId="35C8AB83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Intercambio de información con IMSS, ProceSAR, RENAPO y CNSF mediante contratos de servicio documentados.</w:t>
            </w:r>
          </w:p>
        </w:tc>
      </w:tr>
      <w:tr w:rsidR="00D96792" w:rsidRPr="005404B0" w14:paraId="4FCEBC58" w14:textId="77777777" w:rsidTr="069806F4">
        <w:trPr>
          <w:trHeight w:val="427"/>
        </w:trPr>
        <w:tc>
          <w:tcPr>
            <w:tcW w:w="630" w:type="dxa"/>
          </w:tcPr>
          <w:p w14:paraId="3B0DE142" w14:textId="77777777" w:rsidR="22F416C7" w:rsidRPr="005404B0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3455" w:type="dxa"/>
          </w:tcPr>
          <w:p w14:paraId="1E8777D2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Dictamen de beneficio pensionario</w:t>
            </w:r>
          </w:p>
        </w:tc>
        <w:tc>
          <w:tcPr>
            <w:tcW w:w="4405" w:type="dxa"/>
          </w:tcPr>
          <w:p w14:paraId="4E0C7AC5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Cálculo del dictamen de beneficio pensionario combinando los tiempos cotizados de ambos institutos y la edad del derechohabiente.</w:t>
            </w:r>
          </w:p>
        </w:tc>
      </w:tr>
      <w:tr w:rsidR="00D96792" w:rsidRPr="005404B0" w14:paraId="5A2ED07A" w14:textId="77777777" w:rsidTr="069806F4">
        <w:trPr>
          <w:trHeight w:val="427"/>
        </w:trPr>
        <w:tc>
          <w:tcPr>
            <w:tcW w:w="630" w:type="dxa"/>
          </w:tcPr>
          <w:p w14:paraId="491C6192" w14:textId="77777777" w:rsidR="22F416C7" w:rsidRPr="005404B0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3455" w:type="dxa"/>
          </w:tcPr>
          <w:p w14:paraId="60D80391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Trazabilidad completa del trámite</w:t>
            </w:r>
          </w:p>
        </w:tc>
        <w:tc>
          <w:tcPr>
            <w:tcW w:w="4405" w:type="dxa"/>
          </w:tcPr>
          <w:p w14:paraId="5A0DB03C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Bitácora completa del trámite y catálogo oficial y versionado de motivos de rechazo.</w:t>
            </w:r>
          </w:p>
        </w:tc>
      </w:tr>
      <w:tr w:rsidR="00D96792" w:rsidRPr="005404B0" w14:paraId="2EDB2551" w14:textId="77777777" w:rsidTr="069806F4">
        <w:trPr>
          <w:trHeight w:val="427"/>
        </w:trPr>
        <w:tc>
          <w:tcPr>
            <w:tcW w:w="630" w:type="dxa"/>
          </w:tcPr>
          <w:p w14:paraId="5100BAA0" w14:textId="77777777" w:rsidR="22F416C7" w:rsidRPr="005404B0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lastRenderedPageBreak/>
              <w:t>7</w:t>
            </w:r>
          </w:p>
        </w:tc>
        <w:tc>
          <w:tcPr>
            <w:tcW w:w="3455" w:type="dxa"/>
          </w:tcPr>
          <w:p w14:paraId="240471F4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Habilitación de la re-portabilidad</w:t>
            </w:r>
          </w:p>
        </w:tc>
        <w:tc>
          <w:tcPr>
            <w:tcW w:w="4405" w:type="dxa"/>
          </w:tcPr>
          <w:p w14:paraId="599471B5" w14:textId="77777777" w:rsidR="00D96792" w:rsidRPr="005404B0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Permitir que un derechohabiente que ya concluyó un trámite de portabilidad pueda realizar uno nuevo, sin que los periodos ya marcados (clave 410) constituyan un impedimento.</w:t>
            </w:r>
          </w:p>
        </w:tc>
      </w:tr>
    </w:tbl>
    <w:p w14:paraId="18D58174" w14:textId="77777777" w:rsidR="00D45D73" w:rsidRPr="00D45D73" w:rsidRDefault="00D45D73" w:rsidP="006729BA">
      <w:pPr>
        <w:spacing w:after="0"/>
      </w:pPr>
    </w:p>
    <w:p w14:paraId="333B6B83" w14:textId="75BDA640" w:rsidR="004F2071" w:rsidRDefault="00BF138F" w:rsidP="006729BA">
      <w:pPr>
        <w:pStyle w:val="Ttulo1"/>
        <w:numPr>
          <w:ilvl w:val="0"/>
          <w:numId w:val="6"/>
        </w:numPr>
        <w:spacing w:before="0"/>
      </w:pPr>
      <w:bookmarkStart w:id="6" w:name="_Toc241421661"/>
      <w:r>
        <w:t>Alcance del proyecto</w:t>
      </w:r>
      <w:bookmarkEnd w:id="6"/>
    </w:p>
    <w:p w14:paraId="6024ADEA" w14:textId="36C0E3E7" w:rsidR="001763BE" w:rsidRPr="005404B0" w:rsidRDefault="009D75C7" w:rsidP="006729BA">
      <w:pPr>
        <w:spacing w:after="0"/>
        <w:rPr>
          <w:rFonts w:asciiTheme="minorHAnsi" w:hAnsiTheme="minorHAnsi" w:cstheme="minorHAnsi"/>
          <w:i/>
          <w:iCs/>
          <w:sz w:val="20"/>
          <w:szCs w:val="20"/>
        </w:rPr>
      </w:pPr>
      <w:r w:rsidRPr="005404B0">
        <w:rPr>
          <w:rFonts w:asciiTheme="minorHAnsi" w:hAnsiTheme="minorHAnsi" w:cstheme="minorHAnsi"/>
          <w:i/>
          <w:iCs/>
          <w:sz w:val="20"/>
          <w:szCs w:val="20"/>
        </w:rPr>
        <w:t>Incluye: el proceso saliente (ISSSTE inicia y da seguimiento a una solicitud de portabilidad hacia IMSS, coordinándose con ProceSAR); el proceso entrante (IMSS inicia una solicitud de portabilidad hacia ISSSTE); la interoperabilidad con RENAPO, el servicio de firma electrónica, ProceSAR (saldos preliminares) y la CNSF; y la re-portabilidad, entendida como la posibilidad de que un derechohabiente que ya concluyó un trámite de portabilidad realice uno nuevo. No incluye: procesos de portabilidad con institutos de seguridad social distintos de IMSS; el alcance de este proyecto se limita al intercambio ISSSTE-IMSS.</w:t>
      </w:r>
    </w:p>
    <w:p w14:paraId="6720043E" w14:textId="488C66EA" w:rsidR="004F2071" w:rsidRDefault="003C398F" w:rsidP="006729BA">
      <w:pPr>
        <w:pStyle w:val="Ttulo1"/>
        <w:numPr>
          <w:ilvl w:val="0"/>
          <w:numId w:val="6"/>
        </w:numPr>
      </w:pPr>
      <w:bookmarkStart w:id="7" w:name="_Toc241421662"/>
      <w:r>
        <w:t>Expectativas del producto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3"/>
        <w:gridCol w:w="7891"/>
      </w:tblGrid>
      <w:tr w:rsidR="00931957" w:rsidRPr="005404B0" w14:paraId="77929FBF" w14:textId="77777777" w:rsidTr="003C1469">
        <w:tc>
          <w:tcPr>
            <w:tcW w:w="603" w:type="dxa"/>
            <w:shd w:val="clear" w:color="auto" w:fill="595959" w:themeFill="text1" w:themeFillTint="A6"/>
          </w:tcPr>
          <w:p w14:paraId="36A8367A" w14:textId="7629DBB6" w:rsidR="00931957" w:rsidRPr="005404B0" w:rsidRDefault="00931957" w:rsidP="005661DE">
            <w:pPr>
              <w:spacing w:after="0"/>
              <w:jc w:val="center"/>
              <w:rPr>
                <w:b/>
                <w:bCs/>
              </w:rPr>
            </w:pPr>
            <w:r w:rsidRPr="005404B0">
              <w:rPr>
                <w:b/>
                <w:bCs/>
              </w:rPr>
              <w:t>No.</w:t>
            </w:r>
          </w:p>
        </w:tc>
        <w:tc>
          <w:tcPr>
            <w:tcW w:w="7891" w:type="dxa"/>
            <w:shd w:val="clear" w:color="auto" w:fill="595959" w:themeFill="text1" w:themeFillTint="A6"/>
          </w:tcPr>
          <w:p w14:paraId="6E3EBAD6" w14:textId="795CC89A" w:rsidR="00931957" w:rsidRPr="005404B0" w:rsidRDefault="00931957" w:rsidP="005661DE">
            <w:pPr>
              <w:spacing w:after="0"/>
              <w:jc w:val="center"/>
              <w:rPr>
                <w:b/>
                <w:bCs/>
              </w:rPr>
            </w:pPr>
            <w:r w:rsidRPr="005404B0">
              <w:rPr>
                <w:b/>
                <w:bCs/>
              </w:rPr>
              <w:t xml:space="preserve">Descripción </w:t>
            </w:r>
          </w:p>
        </w:tc>
      </w:tr>
      <w:tr w:rsidR="00931957" w:rsidRPr="005404B0" w14:paraId="2A535AF5" w14:textId="77777777" w:rsidTr="00C173E0">
        <w:tc>
          <w:tcPr>
            <w:tcW w:w="603" w:type="dxa"/>
            <w:vAlign w:val="center"/>
          </w:tcPr>
          <w:p w14:paraId="11A8F209" w14:textId="202B6E3E" w:rsidR="00931957" w:rsidRPr="005404B0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891" w:type="dxa"/>
          </w:tcPr>
          <w:p w14:paraId="1959EFDB" w14:textId="3A045019" w:rsidR="00931957" w:rsidRPr="005404B0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Contar con un proceso único y auditable de solicitud de portabilidad, en ambos sentidos (ISSSTE↔IMSS).</w:t>
            </w:r>
          </w:p>
        </w:tc>
      </w:tr>
      <w:tr w:rsidR="00931957" w:rsidRPr="005404B0" w14:paraId="351B8FB4" w14:textId="77777777" w:rsidTr="00C173E0">
        <w:tc>
          <w:tcPr>
            <w:tcW w:w="603" w:type="dxa"/>
            <w:vAlign w:val="center"/>
          </w:tcPr>
          <w:p w14:paraId="283351DE" w14:textId="77777777" w:rsidR="00931957" w:rsidRPr="005404B0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891" w:type="dxa"/>
          </w:tcPr>
          <w:p w14:paraId="53D88963" w14:textId="77777777" w:rsidR="00931957" w:rsidRPr="005404B0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Reducir el riesgo de errores de elegibilidad mediante la aplicación sistemática de un catálogo único de reglas de negocio.</w:t>
            </w:r>
          </w:p>
        </w:tc>
      </w:tr>
      <w:tr w:rsidR="00931957" w:rsidRPr="005404B0" w14:paraId="60C5EC6A" w14:textId="77777777" w:rsidTr="00C173E0">
        <w:tc>
          <w:tcPr>
            <w:tcW w:w="603" w:type="dxa"/>
            <w:vAlign w:val="center"/>
          </w:tcPr>
          <w:p w14:paraId="7D64C614" w14:textId="77777777" w:rsidR="00931957" w:rsidRPr="005404B0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891" w:type="dxa"/>
          </w:tcPr>
          <w:p w14:paraId="1E0FD75E" w14:textId="77777777" w:rsidR="00931957" w:rsidRPr="005404B0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Entregar al derechohabiente documentos verificables (Solicitud y Resolución de Transferencia de Derechos) de su trámite.</w:t>
            </w:r>
          </w:p>
        </w:tc>
      </w:tr>
      <w:tr w:rsidR="00931957" w:rsidRPr="005404B0" w14:paraId="1B8847D1" w14:textId="77777777" w:rsidTr="00C173E0">
        <w:tc>
          <w:tcPr>
            <w:tcW w:w="603" w:type="dxa"/>
            <w:vAlign w:val="center"/>
          </w:tcPr>
          <w:p w14:paraId="240B9259" w14:textId="77777777" w:rsidR="00931957" w:rsidRPr="005404B0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891" w:type="dxa"/>
          </w:tcPr>
          <w:p w14:paraId="6AFA3320" w14:textId="77777777" w:rsidR="00931957" w:rsidRPr="005404B0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5404B0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Permitir que un derechohabiente que ya concluyó un trámite de portabilidad pueda volver a portar sus derechos cuando su situación laboral lo requiera (re-portabilidad).</w:t>
            </w:r>
          </w:p>
        </w:tc>
      </w:tr>
    </w:tbl>
    <w:p w14:paraId="40793BC8" w14:textId="77777777" w:rsidR="00C90C79" w:rsidRPr="00C90C79" w:rsidRDefault="00C90C79" w:rsidP="00C90C79">
      <w:pPr>
        <w:spacing w:after="0"/>
      </w:pPr>
    </w:p>
    <w:p w14:paraId="0F021DA8" w14:textId="7E8B2125" w:rsidR="00BE67AA" w:rsidRDefault="001763BE" w:rsidP="006729BA">
      <w:pPr>
        <w:pStyle w:val="Ttulo1"/>
        <w:numPr>
          <w:ilvl w:val="0"/>
          <w:numId w:val="6"/>
        </w:numPr>
        <w:spacing w:before="0"/>
      </w:pPr>
      <w:bookmarkStart w:id="8" w:name="_Toc241421663"/>
      <w:r>
        <w:t>Objetivos del proyecto</w:t>
      </w:r>
      <w:bookmarkEnd w:id="8"/>
      <w:r>
        <w:t xml:space="preserve"> </w:t>
      </w:r>
    </w:p>
    <w:p w14:paraId="1C1DA830" w14:textId="257CC4D3" w:rsidR="00E03BBF" w:rsidRPr="005404B0" w:rsidRDefault="00AE67FD" w:rsidP="009C249D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5404B0">
        <w:rPr>
          <w:rFonts w:asciiTheme="minorHAnsi" w:hAnsiTheme="minorHAnsi" w:cstheme="minorHAnsi"/>
          <w:i/>
          <w:iCs/>
          <w:sz w:val="20"/>
          <w:szCs w:val="20"/>
        </w:rPr>
        <w:t>Contar con un proceso único y auditable de solicitud de portabilidad, en ambos sentidos (ISSSTE↔IMSS). Reducir el riesgo de errores de elegibilidad mediante la aplicación sistemática de un catálogo único de reglas de negocio. Dar validez legal al trámite mediante firma electrónica y sello digital institucional. Entregar al derechohabiente documentos verificables (Solicitud y Resolución) de su trámite. Habilitar la re-portabilidad para los derechohabientes que ya concluyeron un trámite previo.</w:t>
      </w:r>
    </w:p>
    <w:p w14:paraId="75F32DE6" w14:textId="393429FB" w:rsidR="00DC1070" w:rsidRPr="00DC1070" w:rsidRDefault="00DC1070" w:rsidP="00DC1070">
      <w:pPr>
        <w:spacing w:after="160" w:line="259" w:lineRule="auto"/>
      </w:pPr>
    </w:p>
    <w:p w14:paraId="2F6F8BA4" w14:textId="77777777" w:rsidR="005404B0" w:rsidRDefault="005404B0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6761FA52" w14:textId="13D6B878" w:rsidR="00965D2C" w:rsidRPr="00103324" w:rsidRDefault="00103324" w:rsidP="001763BE">
      <w:pPr>
        <w:pStyle w:val="Ttulo1"/>
        <w:ind w:left="360"/>
        <w:rPr>
          <w:sz w:val="28"/>
          <w:szCs w:val="28"/>
        </w:rPr>
      </w:pPr>
      <w:bookmarkStart w:id="9" w:name="_Toc241421664"/>
      <w:r>
        <w:rPr>
          <w:sz w:val="28"/>
          <w:szCs w:val="28"/>
        </w:rPr>
        <w:lastRenderedPageBreak/>
        <w:t>Información del documento</w:t>
      </w:r>
      <w:bookmarkEnd w:id="9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45838DFE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FA08A6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BECC662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27/07/2026</w:t>
            </w:r>
          </w:p>
        </w:tc>
        <w:tc>
          <w:tcPr>
            <w:tcW w:w="1556" w:type="dxa"/>
          </w:tcPr>
          <w:p w14:paraId="54AF16B3" w14:textId="2CFF010E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5C06C3BE" w14:textId="58106D90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Versión inicial — entrega formal a ISSSTE.</w:t>
            </w:r>
          </w:p>
        </w:tc>
        <w:tc>
          <w:tcPr>
            <w:tcW w:w="2127" w:type="dxa"/>
          </w:tcPr>
          <w:p w14:paraId="0A902D63" w14:textId="5BA0F234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Carlos Quintero (Four Js)</w:t>
            </w:r>
          </w:p>
        </w:tc>
      </w:tr>
      <w:tr w:rsidR="00103324" w:rsidRPr="001C7A50" w14:paraId="04C3E807" w14:textId="77777777" w:rsidTr="00D94821">
        <w:trPr>
          <w:cantSplit/>
        </w:trPr>
        <w:tc>
          <w:tcPr>
            <w:tcW w:w="1705" w:type="dxa"/>
          </w:tcPr>
          <w:p w14:paraId="5637D3B3" w14:textId="77777777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27/07/2026</w:t>
            </w:r>
          </w:p>
        </w:tc>
        <w:tc>
          <w:tcPr>
            <w:tcW w:w="1556" w:type="dxa"/>
          </w:tcPr>
          <w:p w14:paraId="36C14B66" w14:textId="77777777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2.0</w:t>
            </w:r>
          </w:p>
        </w:tc>
        <w:tc>
          <w:tcPr>
            <w:tcW w:w="4252" w:type="dxa"/>
          </w:tcPr>
          <w:p w14:paraId="30766BEF" w14:textId="77777777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Sustituye a la versión 1.0; incorpora la habilitación de la re-portabilidad en el proceso entrante (WS1, WS3, WS6), conservando el resto del contenido de la versión anterior.</w:t>
            </w:r>
          </w:p>
        </w:tc>
        <w:tc>
          <w:tcPr>
            <w:tcW w:w="2127" w:type="dxa"/>
          </w:tcPr>
          <w:p w14:paraId="4A178E89" w14:textId="77777777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Carlos Quintero (Four Js)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0B8F4" w14:textId="77777777" w:rsidR="00772633" w:rsidRDefault="00772633" w:rsidP="007148B8">
      <w:pPr>
        <w:spacing w:after="0" w:line="240" w:lineRule="auto"/>
      </w:pPr>
      <w:r>
        <w:separator/>
      </w:r>
    </w:p>
  </w:endnote>
  <w:endnote w:type="continuationSeparator" w:id="0">
    <w:p w14:paraId="486DFF28" w14:textId="77777777" w:rsidR="00772633" w:rsidRDefault="00772633" w:rsidP="007148B8">
      <w:pPr>
        <w:spacing w:after="0" w:line="240" w:lineRule="auto"/>
      </w:pPr>
      <w:r>
        <w:continuationSeparator/>
      </w:r>
    </w:p>
  </w:endnote>
  <w:endnote w:type="continuationNotice" w:id="1">
    <w:p w14:paraId="1272B3E0" w14:textId="77777777" w:rsidR="00772633" w:rsidRDefault="007726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440CA" w14:textId="77777777" w:rsidR="00772633" w:rsidRDefault="00772633" w:rsidP="007148B8">
      <w:pPr>
        <w:spacing w:after="0" w:line="240" w:lineRule="auto"/>
      </w:pPr>
      <w:r>
        <w:separator/>
      </w:r>
    </w:p>
  </w:footnote>
  <w:footnote w:type="continuationSeparator" w:id="0">
    <w:p w14:paraId="1EE227EB" w14:textId="77777777" w:rsidR="00772633" w:rsidRDefault="00772633" w:rsidP="007148B8">
      <w:pPr>
        <w:spacing w:after="0" w:line="240" w:lineRule="auto"/>
      </w:pPr>
      <w:r>
        <w:continuationSeparator/>
      </w:r>
    </w:p>
  </w:footnote>
  <w:footnote w:type="continuationNotice" w:id="1">
    <w:p w14:paraId="681FF254" w14:textId="77777777" w:rsidR="00772633" w:rsidRDefault="007726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3569" w14:textId="6CA7E9B0" w:rsidR="007148B8" w:rsidRDefault="005404B0">
    <w:pPr>
      <w:pStyle w:val="Encabezado"/>
    </w:pPr>
    <w:r>
      <w:rPr>
        <w:noProof/>
      </w:rPr>
      <w:drawing>
        <wp:inline distT="0" distB="0" distL="0" distR="0" wp14:anchorId="00BCFD5A" wp14:editId="31E67B00">
          <wp:extent cx="1429200" cy="442800"/>
          <wp:effectExtent l="0" t="0" r="0" b="0"/>
          <wp:docPr id="14307688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768827" name="Imagen 14307688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0741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15F45"/>
    <w:multiLevelType w:val="hybridMultilevel"/>
    <w:tmpl w:val="5A4A34B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91A05"/>
    <w:multiLevelType w:val="multilevel"/>
    <w:tmpl w:val="68DC382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4525F"/>
    <w:multiLevelType w:val="hybridMultilevel"/>
    <w:tmpl w:val="AE64D45E"/>
    <w:lvl w:ilvl="0" w:tplc="34668B9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94168"/>
    <w:multiLevelType w:val="hybridMultilevel"/>
    <w:tmpl w:val="EEEC806C"/>
    <w:lvl w:ilvl="0" w:tplc="34668B9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096785318">
    <w:abstractNumId w:val="10"/>
  </w:num>
  <w:num w:numId="2" w16cid:durableId="435641029">
    <w:abstractNumId w:val="8"/>
  </w:num>
  <w:num w:numId="3" w16cid:durableId="1265459339">
    <w:abstractNumId w:val="1"/>
  </w:num>
  <w:num w:numId="4" w16cid:durableId="1817648723">
    <w:abstractNumId w:val="4"/>
  </w:num>
  <w:num w:numId="5" w16cid:durableId="1450976289">
    <w:abstractNumId w:val="6"/>
  </w:num>
  <w:num w:numId="6" w16cid:durableId="1144346444">
    <w:abstractNumId w:val="3"/>
  </w:num>
  <w:num w:numId="7" w16cid:durableId="676348886">
    <w:abstractNumId w:val="11"/>
  </w:num>
  <w:num w:numId="8" w16cid:durableId="182985100">
    <w:abstractNumId w:val="2"/>
  </w:num>
  <w:num w:numId="9" w16cid:durableId="166285878">
    <w:abstractNumId w:val="5"/>
  </w:num>
  <w:num w:numId="10" w16cid:durableId="237906929">
    <w:abstractNumId w:val="7"/>
  </w:num>
  <w:num w:numId="11" w16cid:durableId="1091006891">
    <w:abstractNumId w:val="9"/>
  </w:num>
  <w:num w:numId="12" w16cid:durableId="151337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3CC8"/>
    <w:rsid w:val="00041E51"/>
    <w:rsid w:val="0005758F"/>
    <w:rsid w:val="00060063"/>
    <w:rsid w:val="000713A0"/>
    <w:rsid w:val="00084537"/>
    <w:rsid w:val="000A321C"/>
    <w:rsid w:val="000A67BD"/>
    <w:rsid w:val="000B1E39"/>
    <w:rsid w:val="000C00F4"/>
    <w:rsid w:val="000D193E"/>
    <w:rsid w:val="000F4BF5"/>
    <w:rsid w:val="00103324"/>
    <w:rsid w:val="00104662"/>
    <w:rsid w:val="0011418B"/>
    <w:rsid w:val="00120A3C"/>
    <w:rsid w:val="00134CE4"/>
    <w:rsid w:val="001406D6"/>
    <w:rsid w:val="00156364"/>
    <w:rsid w:val="001725E1"/>
    <w:rsid w:val="00172D07"/>
    <w:rsid w:val="001763BE"/>
    <w:rsid w:val="001906C1"/>
    <w:rsid w:val="001950EB"/>
    <w:rsid w:val="00195699"/>
    <w:rsid w:val="001B038A"/>
    <w:rsid w:val="001B311D"/>
    <w:rsid w:val="001D0DC8"/>
    <w:rsid w:val="001D0ECF"/>
    <w:rsid w:val="001D3D40"/>
    <w:rsid w:val="001E13F2"/>
    <w:rsid w:val="001E2D78"/>
    <w:rsid w:val="001F28ED"/>
    <w:rsid w:val="001F38A6"/>
    <w:rsid w:val="001F79C8"/>
    <w:rsid w:val="002034F3"/>
    <w:rsid w:val="002172B1"/>
    <w:rsid w:val="002207DA"/>
    <w:rsid w:val="0022489F"/>
    <w:rsid w:val="0022647F"/>
    <w:rsid w:val="00226F9D"/>
    <w:rsid w:val="0023278A"/>
    <w:rsid w:val="00233043"/>
    <w:rsid w:val="00240C28"/>
    <w:rsid w:val="002477ED"/>
    <w:rsid w:val="0025286C"/>
    <w:rsid w:val="00253C36"/>
    <w:rsid w:val="002625F6"/>
    <w:rsid w:val="002637D1"/>
    <w:rsid w:val="00285552"/>
    <w:rsid w:val="002A2C1F"/>
    <w:rsid w:val="002A7131"/>
    <w:rsid w:val="002B6D80"/>
    <w:rsid w:val="002C64E0"/>
    <w:rsid w:val="002D6805"/>
    <w:rsid w:val="002D76A7"/>
    <w:rsid w:val="002E69CA"/>
    <w:rsid w:val="002F4534"/>
    <w:rsid w:val="002F694F"/>
    <w:rsid w:val="00315887"/>
    <w:rsid w:val="00336938"/>
    <w:rsid w:val="003438F8"/>
    <w:rsid w:val="00345142"/>
    <w:rsid w:val="00355AA2"/>
    <w:rsid w:val="00360A74"/>
    <w:rsid w:val="003658C8"/>
    <w:rsid w:val="0037387E"/>
    <w:rsid w:val="00391A18"/>
    <w:rsid w:val="003A3BFF"/>
    <w:rsid w:val="003A584E"/>
    <w:rsid w:val="003A653E"/>
    <w:rsid w:val="003B161F"/>
    <w:rsid w:val="003C1469"/>
    <w:rsid w:val="003C398F"/>
    <w:rsid w:val="003E0256"/>
    <w:rsid w:val="003E7D7C"/>
    <w:rsid w:val="003F13BC"/>
    <w:rsid w:val="003F44CE"/>
    <w:rsid w:val="003F5D9C"/>
    <w:rsid w:val="00412B81"/>
    <w:rsid w:val="00430DF9"/>
    <w:rsid w:val="0043229C"/>
    <w:rsid w:val="00436E69"/>
    <w:rsid w:val="00444393"/>
    <w:rsid w:val="00444A37"/>
    <w:rsid w:val="00470D1D"/>
    <w:rsid w:val="00470E1A"/>
    <w:rsid w:val="00472401"/>
    <w:rsid w:val="004809EC"/>
    <w:rsid w:val="0048372B"/>
    <w:rsid w:val="00491CC7"/>
    <w:rsid w:val="00491D80"/>
    <w:rsid w:val="004B14A7"/>
    <w:rsid w:val="004C1982"/>
    <w:rsid w:val="004C1D48"/>
    <w:rsid w:val="004D2B10"/>
    <w:rsid w:val="004D3F69"/>
    <w:rsid w:val="004E3C19"/>
    <w:rsid w:val="004F2071"/>
    <w:rsid w:val="004F5E02"/>
    <w:rsid w:val="00503708"/>
    <w:rsid w:val="00503C51"/>
    <w:rsid w:val="00505C8E"/>
    <w:rsid w:val="00535B02"/>
    <w:rsid w:val="00536C13"/>
    <w:rsid w:val="005404B0"/>
    <w:rsid w:val="005522F1"/>
    <w:rsid w:val="005562E7"/>
    <w:rsid w:val="0056403A"/>
    <w:rsid w:val="00565D74"/>
    <w:rsid w:val="005661DE"/>
    <w:rsid w:val="00572980"/>
    <w:rsid w:val="005948E0"/>
    <w:rsid w:val="005A29DD"/>
    <w:rsid w:val="005B01CE"/>
    <w:rsid w:val="005C3E16"/>
    <w:rsid w:val="005C7862"/>
    <w:rsid w:val="005D2507"/>
    <w:rsid w:val="005E0313"/>
    <w:rsid w:val="005F642C"/>
    <w:rsid w:val="00617898"/>
    <w:rsid w:val="00634325"/>
    <w:rsid w:val="0065098D"/>
    <w:rsid w:val="00652E05"/>
    <w:rsid w:val="00656780"/>
    <w:rsid w:val="00657950"/>
    <w:rsid w:val="006617FB"/>
    <w:rsid w:val="00671CE3"/>
    <w:rsid w:val="006729BA"/>
    <w:rsid w:val="006759B3"/>
    <w:rsid w:val="006767DF"/>
    <w:rsid w:val="00687462"/>
    <w:rsid w:val="0069544B"/>
    <w:rsid w:val="00697CDD"/>
    <w:rsid w:val="006A19CF"/>
    <w:rsid w:val="006C148C"/>
    <w:rsid w:val="006D2439"/>
    <w:rsid w:val="006F14A8"/>
    <w:rsid w:val="006F32B0"/>
    <w:rsid w:val="0070514C"/>
    <w:rsid w:val="0070565F"/>
    <w:rsid w:val="00712A68"/>
    <w:rsid w:val="007148B8"/>
    <w:rsid w:val="00716A14"/>
    <w:rsid w:val="007228B0"/>
    <w:rsid w:val="00724588"/>
    <w:rsid w:val="007278E8"/>
    <w:rsid w:val="00731E07"/>
    <w:rsid w:val="00732223"/>
    <w:rsid w:val="00732340"/>
    <w:rsid w:val="00733007"/>
    <w:rsid w:val="00742DB9"/>
    <w:rsid w:val="007545BB"/>
    <w:rsid w:val="00754C46"/>
    <w:rsid w:val="00757D00"/>
    <w:rsid w:val="00765FB1"/>
    <w:rsid w:val="00772633"/>
    <w:rsid w:val="00775D44"/>
    <w:rsid w:val="00781515"/>
    <w:rsid w:val="007A7922"/>
    <w:rsid w:val="007B07A7"/>
    <w:rsid w:val="007B6F81"/>
    <w:rsid w:val="007B7CE8"/>
    <w:rsid w:val="007C1C3D"/>
    <w:rsid w:val="007C4252"/>
    <w:rsid w:val="007C721B"/>
    <w:rsid w:val="007D1F5A"/>
    <w:rsid w:val="007D4CDA"/>
    <w:rsid w:val="007D7917"/>
    <w:rsid w:val="007E09D2"/>
    <w:rsid w:val="007E526B"/>
    <w:rsid w:val="008002B1"/>
    <w:rsid w:val="008032BE"/>
    <w:rsid w:val="00803F7A"/>
    <w:rsid w:val="0081219A"/>
    <w:rsid w:val="0081635E"/>
    <w:rsid w:val="00820C7E"/>
    <w:rsid w:val="008255B0"/>
    <w:rsid w:val="00834091"/>
    <w:rsid w:val="00840F6C"/>
    <w:rsid w:val="00854FEB"/>
    <w:rsid w:val="00857128"/>
    <w:rsid w:val="00863D4E"/>
    <w:rsid w:val="0089015C"/>
    <w:rsid w:val="008922BD"/>
    <w:rsid w:val="008A3104"/>
    <w:rsid w:val="008A7FC2"/>
    <w:rsid w:val="008B5475"/>
    <w:rsid w:val="008B5F40"/>
    <w:rsid w:val="008D13A6"/>
    <w:rsid w:val="008D1576"/>
    <w:rsid w:val="008D3BBD"/>
    <w:rsid w:val="008F1387"/>
    <w:rsid w:val="0090286C"/>
    <w:rsid w:val="0090333A"/>
    <w:rsid w:val="0091016C"/>
    <w:rsid w:val="00926543"/>
    <w:rsid w:val="00926D04"/>
    <w:rsid w:val="00931957"/>
    <w:rsid w:val="009474AD"/>
    <w:rsid w:val="00960CE5"/>
    <w:rsid w:val="00965D2C"/>
    <w:rsid w:val="00974D32"/>
    <w:rsid w:val="0098091A"/>
    <w:rsid w:val="00983095"/>
    <w:rsid w:val="009B0C38"/>
    <w:rsid w:val="009C0842"/>
    <w:rsid w:val="009C249D"/>
    <w:rsid w:val="009D6DEA"/>
    <w:rsid w:val="009D75C7"/>
    <w:rsid w:val="009E5BEF"/>
    <w:rsid w:val="009E769B"/>
    <w:rsid w:val="009E7A57"/>
    <w:rsid w:val="009F6D48"/>
    <w:rsid w:val="00A16FA9"/>
    <w:rsid w:val="00A25375"/>
    <w:rsid w:val="00A36AFC"/>
    <w:rsid w:val="00A44B22"/>
    <w:rsid w:val="00A44F24"/>
    <w:rsid w:val="00A56052"/>
    <w:rsid w:val="00A6021B"/>
    <w:rsid w:val="00A74ABB"/>
    <w:rsid w:val="00A76D59"/>
    <w:rsid w:val="00A86589"/>
    <w:rsid w:val="00A91FF0"/>
    <w:rsid w:val="00A9201B"/>
    <w:rsid w:val="00A92779"/>
    <w:rsid w:val="00A94A41"/>
    <w:rsid w:val="00A9653B"/>
    <w:rsid w:val="00A976DE"/>
    <w:rsid w:val="00AA056B"/>
    <w:rsid w:val="00AA3076"/>
    <w:rsid w:val="00AB2EDD"/>
    <w:rsid w:val="00AC01F1"/>
    <w:rsid w:val="00AC0374"/>
    <w:rsid w:val="00AD7064"/>
    <w:rsid w:val="00AE1793"/>
    <w:rsid w:val="00AE677D"/>
    <w:rsid w:val="00AE67FD"/>
    <w:rsid w:val="00AF2016"/>
    <w:rsid w:val="00AF4EAD"/>
    <w:rsid w:val="00B35AC0"/>
    <w:rsid w:val="00B363CC"/>
    <w:rsid w:val="00B37E87"/>
    <w:rsid w:val="00B41EB9"/>
    <w:rsid w:val="00B52FDA"/>
    <w:rsid w:val="00B53C68"/>
    <w:rsid w:val="00B549F4"/>
    <w:rsid w:val="00B91287"/>
    <w:rsid w:val="00B92F3B"/>
    <w:rsid w:val="00BA5895"/>
    <w:rsid w:val="00BB1E61"/>
    <w:rsid w:val="00BB5D91"/>
    <w:rsid w:val="00BB6DDB"/>
    <w:rsid w:val="00BC066B"/>
    <w:rsid w:val="00BC13C4"/>
    <w:rsid w:val="00BE67AA"/>
    <w:rsid w:val="00BF138F"/>
    <w:rsid w:val="00BF35C6"/>
    <w:rsid w:val="00BF3B8F"/>
    <w:rsid w:val="00C00D57"/>
    <w:rsid w:val="00C13CCB"/>
    <w:rsid w:val="00C173E0"/>
    <w:rsid w:val="00C3144F"/>
    <w:rsid w:val="00C50857"/>
    <w:rsid w:val="00C557FB"/>
    <w:rsid w:val="00C632B2"/>
    <w:rsid w:val="00C76960"/>
    <w:rsid w:val="00C8516E"/>
    <w:rsid w:val="00C90C79"/>
    <w:rsid w:val="00CA5AA8"/>
    <w:rsid w:val="00CB1BE8"/>
    <w:rsid w:val="00CC73F7"/>
    <w:rsid w:val="00CD2B2B"/>
    <w:rsid w:val="00CF3556"/>
    <w:rsid w:val="00D13216"/>
    <w:rsid w:val="00D17E51"/>
    <w:rsid w:val="00D207F9"/>
    <w:rsid w:val="00D22456"/>
    <w:rsid w:val="00D4353B"/>
    <w:rsid w:val="00D45D73"/>
    <w:rsid w:val="00D51A89"/>
    <w:rsid w:val="00D601B1"/>
    <w:rsid w:val="00D65C33"/>
    <w:rsid w:val="00D759DA"/>
    <w:rsid w:val="00D775F3"/>
    <w:rsid w:val="00D77C3D"/>
    <w:rsid w:val="00D81237"/>
    <w:rsid w:val="00D930D5"/>
    <w:rsid w:val="00D93274"/>
    <w:rsid w:val="00D94821"/>
    <w:rsid w:val="00D96792"/>
    <w:rsid w:val="00DB0B80"/>
    <w:rsid w:val="00DB5C59"/>
    <w:rsid w:val="00DB71F9"/>
    <w:rsid w:val="00DB7685"/>
    <w:rsid w:val="00DB7EB1"/>
    <w:rsid w:val="00DC1062"/>
    <w:rsid w:val="00DC1070"/>
    <w:rsid w:val="00DC1CDC"/>
    <w:rsid w:val="00DC26A4"/>
    <w:rsid w:val="00DC46E8"/>
    <w:rsid w:val="00DD5DB7"/>
    <w:rsid w:val="00DE4A1C"/>
    <w:rsid w:val="00DF794F"/>
    <w:rsid w:val="00E02567"/>
    <w:rsid w:val="00E03BBF"/>
    <w:rsid w:val="00E13F24"/>
    <w:rsid w:val="00E21D5B"/>
    <w:rsid w:val="00E322CA"/>
    <w:rsid w:val="00E429C1"/>
    <w:rsid w:val="00E46DDA"/>
    <w:rsid w:val="00E550C2"/>
    <w:rsid w:val="00E706B2"/>
    <w:rsid w:val="00E72D12"/>
    <w:rsid w:val="00E74C5D"/>
    <w:rsid w:val="00E83DFA"/>
    <w:rsid w:val="00E87C7E"/>
    <w:rsid w:val="00EA4735"/>
    <w:rsid w:val="00EB1657"/>
    <w:rsid w:val="00EC3C5E"/>
    <w:rsid w:val="00EF03A6"/>
    <w:rsid w:val="00EF2948"/>
    <w:rsid w:val="00EF5271"/>
    <w:rsid w:val="00EF6E67"/>
    <w:rsid w:val="00EF7385"/>
    <w:rsid w:val="00F212AC"/>
    <w:rsid w:val="00F402FD"/>
    <w:rsid w:val="00F42350"/>
    <w:rsid w:val="00F60FF5"/>
    <w:rsid w:val="00F66E82"/>
    <w:rsid w:val="00F71AE2"/>
    <w:rsid w:val="00F838E9"/>
    <w:rsid w:val="00F963B3"/>
    <w:rsid w:val="00FA00F6"/>
    <w:rsid w:val="00FA08A6"/>
    <w:rsid w:val="00FA4948"/>
    <w:rsid w:val="00FA4DCC"/>
    <w:rsid w:val="00FA79C6"/>
    <w:rsid w:val="00FB4123"/>
    <w:rsid w:val="00FC0305"/>
    <w:rsid w:val="00FC3886"/>
    <w:rsid w:val="00FE4683"/>
    <w:rsid w:val="00FF2082"/>
    <w:rsid w:val="00FF52C8"/>
    <w:rsid w:val="00FF73BE"/>
    <w:rsid w:val="018BE618"/>
    <w:rsid w:val="02C3237D"/>
    <w:rsid w:val="069806F4"/>
    <w:rsid w:val="06BE2CA3"/>
    <w:rsid w:val="0E486630"/>
    <w:rsid w:val="1C2386BE"/>
    <w:rsid w:val="22F416C7"/>
    <w:rsid w:val="35594750"/>
    <w:rsid w:val="459BAAB8"/>
    <w:rsid w:val="50DF0394"/>
    <w:rsid w:val="5A003D79"/>
    <w:rsid w:val="63D76B62"/>
    <w:rsid w:val="647E77FD"/>
    <w:rsid w:val="6A01E414"/>
    <w:rsid w:val="7561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628409F0-9558-4B3F-8FC3-97EB15E3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9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1570">
          <w:marLeft w:val="2045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EB9F10-7F05-4083-AAC1-A1453A0A5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911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58</cp:revision>
  <cp:lastPrinted>2024-07-11T23:02:00Z</cp:lastPrinted>
  <dcterms:created xsi:type="dcterms:W3CDTF">2023-10-27T21:52:00Z</dcterms:created>
  <dcterms:modified xsi:type="dcterms:W3CDTF">2026-09-27T23:14:00Z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