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 xml:space="preserve">FJL-F03-TD</w:t>
      </w:r>
    </w:p>
    <w:p>
      <w:pPr>
        <w:pStyle w:val="Title"/>
        <w:spacing w:after="200"/>
        <w:jc w:val="center"/>
      </w:pPr>
      <w:r>
        <w:t xml:space="preserve">Diagnóstico Conceptual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Portabilidad de Derechos Pensionarios entre ISSSTE e IMSS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Entregable para Instituto de Seguridad y Servicios Sociales de los Trabajadores del Estado (ISSSTE) — Versión 1.0 (Entrega Final)</w:t>
      </w:r>
    </w:p>
    <w:p>
      <w:r>
        <w:br w:type="page"/>
      </w:r>
    </w:p>
    <w:p>
      <w:pPr>
        <w:pStyle w:val="Heading1"/>
        <w:spacing w:after="160" w:before="320"/>
      </w:pPr>
      <w: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2600"/>
        <w:gridCol w:w="1800"/>
        <w:gridCol w:w="2560"/>
      </w:tblGrid>
      <w:tr>
        <w:trPr>
          <w:tblHeader/>
        </w:trPr>
        <w:tc>
          <w:tcPr>
            <w:tcW w:type="dxa" w:w="1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2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27/07/2026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Carlos Quintero (Four Js)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Entrega Final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Versión inicial — entrega formal a ISSSTE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Propósito</w:t>
      </w:r>
    </w:p>
    <w:p>
      <w:pPr>
        <w:spacing w:after="140"/>
      </w:pPr>
      <w:r>
        <w:t xml:space="preserve">Este documento presenta el modelo conceptual de datos identificado para el sistema, describiendo las entidades principales, sus atributos relevantes y las relaciones entre ellas, como base para el diseño físico de la base de datos.</w:t>
      </w:r>
    </w:p>
    <w:p>
      <w:pPr>
        <w:pStyle w:val="Heading1"/>
        <w:spacing w:after="160" w:before="320"/>
      </w:pPr>
      <w:r>
        <w:t xml:space="preserve">2. Modelo conceptual de entidades</w:t>
      </w:r>
    </w:p>
    <w:p>
      <w:pPr>
        <w:spacing w:after="140"/>
      </w:pPr>
      <w:r>
        <w:t xml:space="preserve">Las entidades se agrupan en tres bloques: (a) datos maestros del derechohabiente, (b) ciclo de vida de la solicitud de portabilidad, y (c) catálogos de apoyo.</w:t>
      </w:r>
    </w:p>
    <w:p>
      <w:pPr>
        <w:spacing w:after="60"/>
        <w:jc w:val="center"/>
      </w:pPr>
      <w:r>
        <w:drawing>
          <wp:inline distT="0" distB="0" distL="0" distR="0">
            <wp:extent cx="59055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Diagrama Entidad-Relación conceptual de las tablas identificadas</w:t>
      </w:r>
    </w:p>
    <w:p>
      <w:pPr>
        <w:pStyle w:val="Heading1"/>
        <w:spacing w:after="160" w:before="320"/>
      </w:pPr>
      <w:r>
        <w:t xml:space="preserve">3. Diccionario de datos (nivel entidad)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Entidad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maestro del derechohabiente (num_issste, curp, nombre, fecha de nacimiento, fecha de baja, estatus t_directo).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CAT_REGIMEN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de regímenes de pensión (Ordinario, Décimo Transitorio, Inactivo).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ELECCION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histórico de elección/asignación de régimen pensionario por derechohabiente.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CEI_SOLICITUD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principal de cada solicitud de portabilidad (folio, CURP, NSS, correo, teléfono, tipo de solicitud, canal, régimen, estatus).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CEI_TD_SOLICITUD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Historial de cambios de estatus de una solicitud a lo largo del trámite.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CEI_CAT_MOTIVORECHAZO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Catálogo oficial de motivos de rechazo/observación (claves 101-134 y 201-225), con descripción y observación al derechohabiente.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CEI_TD_WS1_BASICA (y _OTRA)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la petición/respuesta del servicio de Consulta Básica (WS1) por folio.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CEI_TD_WS3_ROBUSTA (y _OTRA)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la petición/respuesta del servicio de Consulta Robusta (WS3) por folio.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CEI_TD_WS3_ROBUSTA_PERIODOS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Detalle de cada periodo cotizado recibido en la Consulta Robusta (uno o varios registros por folio).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CEI_TD_WS5_PROCESARRECHAZO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de rechazos reportados por ProceSAR para un folio.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CEI_TD_WS6_PROCEDENCIA_OTRA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Registro del resultado final (procedente/rechazada) notificado o recibido vía WS6.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BIT_CUENTA_IND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Bitácora de movimientos y marcado de periodos sobre la cuenta individual del derechohabiente.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CEI_REPDINPORT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Almacenamiento temporal (encriptado) del certificado, llave y contraseña usados para firmar una solicitud.</w:t>
            </w:r>
          </w:p>
        </w:tc>
      </w:tr>
    </w:tbl>
    <w:p>
      <w:pPr>
        <w:pStyle w:val="Heading1"/>
        <w:spacing w:after="160" w:before="320"/>
      </w:pPr>
      <w:r>
        <w:t xml:space="preserve">4. Relaciones principales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 DIRECTO (derechohabiente) puede tener muchas CEI_SOLICITUD a lo largo del tiempo.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CEI_SOLICITUD tiene un historial de estatus en CEI_TD_SOLICITUD y, cuando aplica, un motivo tomado de CEI_CAT_MOTIVORECHAZO.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CEI_SOLICITUD se relaciona 1:1 con el detalle de la Consulta Básica (CEI_TD_WS1_BASICA) y la Consulta Robusta (CEI_TD_WS3_ROBUSTA), esta última con 1:N periodos (CEI_TD_WS3_ROBUSTA_PERIODOS).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CEI_SOLICITUD puede generar 0 o 1 registro de rechazo de ProceSAR (CEI_TD_WS5_PROCESARRECHAZO) y exactamente 1 registro de conclusión (CEI_TD_WS6_PROCEDENCIA_OTRA).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marcado de periodos sobre la cuenta individual del derechohabiente se registra en BIT_CUENTA_IND.</w:t>
      </w:r>
    </w:p>
    <w:p>
      <w:pPr>
        <w:pStyle w:val="Heading1"/>
        <w:spacing w:after="160" w:before="320"/>
      </w:pPr>
      <w:r>
        <w:t xml:space="preserve">5. Glosario de conceptos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Concepto</w:t>
            </w:r>
          </w:p>
        </w:tc>
        <w:tc>
          <w:tcPr>
            <w:tcW w:type="dxa" w:w="67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Definición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Folio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Identificador único de una solicitud de portabilidad, generado al momento del registro.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Periodo cotizado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Intervalo de tiempo en que el derechohabiente cotizó ante un instituto, con su dependencia, sueldo y tipo de movimiento.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Régimen pensionario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Clasificación del derechohabiente (Ordinario, Décimo Transitorio, Inactivo) que condiciona las reglas de elegibilidad aplicables.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Dictamen de beneficio pensionario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Resolución sobre el derecho a pensión, combinando tiempo cotizado en ambos institutos y edad del derechohabiente.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Marca / impedimento</w:t>
            </w:r>
          </w:p>
        </w:tc>
        <w:tc>
          <w:tcPr>
            <w:tcW w:type="dxa" w:w="6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Estado registrado en la cuenta individual que condiciona o impide continuar un trámite.</w:t>
            </w:r>
          </w:p>
        </w:tc>
      </w:tr>
    </w:tbl>
    <w:p>
      <w:pPr>
        <w:pStyle w:val="Heading1"/>
        <w:spacing w:after="160" w:before="320"/>
      </w:pPr>
      <w:r>
        <w:t xml:space="preserve">6. Supuestos</w:t>
      </w:r>
    </w:p>
    <w:p>
      <w:pPr>
        <w:shd w:fill="E2EFDA" w:val="clear"/>
        <w:spacing w:after="160"/>
      </w:pPr>
      <w:r>
        <w:rPr>
          <w:b/>
          <w:bCs/>
          <w:color w:val="2E7D32"/>
        </w:rPr>
        <w:t xml:space="preserve">Supuesto: </w:t>
      </w:r>
      <w:r>
        <w:t xml:space="preserve">Los nombres de tablas y campos se identificaron a partir del análisis del código fuente 4GL; se recomienda validarlos contra el diccionario de datos oficial de la BDUD antes de utilizarlos como base de un diseño físico definitivo.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FJL-F03-TD · Diagnóstico Conceptual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C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5051f3e72cc1ef8da3c6a23e71ae9c3a8c6d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FJL-F03-TD · Diagnóstico Conceptual</dc:title>
  <dc:subject>Documentación oficial del proyecto</dc:subject>
  <dc:creator>Carlos Quintero (carlos.quintero@4js.com)</dc:creator>
  <dc:description>Portabilidad de Derechos Pensionarios entre ISSSTE e IMSS</dc:description>
  <cp:lastModifiedBy>Carlos Quintero (carlos.quintero@4js.com)</cp:lastModifiedBy>
  <cp:revision>1</cp:revision>
  <dcterms:created xsi:type="dcterms:W3CDTF">2026-07-27T18:15:40.691Z</dcterms:created>
  <dcterms:modified xsi:type="dcterms:W3CDTF">2026-07-27T18:15:40.691Z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