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 xml:space="preserve">FJL-F06-TD</w:t>
      </w:r>
    </w:p>
    <w:p>
      <w:pPr>
        <w:pStyle w:val="Title"/>
        <w:spacing w:after="200"/>
        <w:jc w:val="center"/>
      </w:pPr>
      <w:r>
        <w:t xml:space="preserve">Arquitectura Tecnológica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Portabilidad de Derechos Pensionarios entre ISSSTE e IMSS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Entregable para Instituto de Seguridad y Servicios Sociales de los Trabajadores del Estado (ISSSTE) — Versión 1.0 (Entrega Final)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600"/>
        <w:gridCol w:w="1800"/>
        <w:gridCol w:w="256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2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27/07/2026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Carlos Quintero (Four Js)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Entrega Final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Versión inicial — entrega formal a ISSSTE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Propósito</w:t>
      </w:r>
    </w:p>
    <w:p>
      <w:pPr>
        <w:spacing w:after="140"/>
      </w:pPr>
      <w:r>
        <w:t xml:space="preserve">Este documento describe la arquitectura tecnológica del sistema: sus componentes, capas y las interfaces con sistemas externos.</w:t>
      </w:r>
    </w:p>
    <w:p>
      <w:pPr>
        <w:pStyle w:val="Heading1"/>
        <w:spacing w:after="160" w:before="320"/>
      </w:pPr>
      <w:r>
        <w:t xml:space="preserve">2. Diagrama de arquitectura</w:t>
      </w:r>
    </w:p>
    <w:p>
      <w:pPr>
        <w:spacing w:after="60"/>
        <w:jc w:val="center"/>
      </w:pPr>
      <w:r>
        <w:drawing>
          <wp:inline distT="0" distB="0" distL="0" distR="0">
            <wp:extent cx="5715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Arquitectura tecnológica del sistema</w:t>
      </w:r>
    </w:p>
    <w:p>
      <w:pPr>
        <w:pStyle w:val="Heading1"/>
        <w:spacing w:after="160" w:before="320"/>
      </w:pPr>
      <w:r>
        <w:t xml:space="preserve">3.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67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Portales de acceso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SINAVID-OV y SIPE-AV; envían CURP, tipo de sistema y usuario, todos encriptados.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Módulo de Transferencia de Derechos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Lógica de negocio en BDL/4GL sobre Genero Application Server (GAS): captura, validaciones, orquestación de servicios, firma electrónica y generación de reportes.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Base de Datos Única de Derechohabientes (BDUD)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Informix 12.10, instancia dsipe@aguila_sipe_tcp.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Almacenamiento temporal de firma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Certificado, llave y contraseña encriptados durante la generación y firma del reporte.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Servicios externos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IMSS (SOAP), ProceSAR (REST/SOAP), RENAPO (SOAP gob.mx), servicio de firma (ISSSTE/SAT) y CNSF (SAOR).</w:t>
            </w:r>
          </w:p>
        </w:tc>
      </w:tr>
    </w:tbl>
    <w:p>
      <w:pPr>
        <w:pStyle w:val="Heading1"/>
        <w:spacing w:after="160" w:before="320"/>
      </w:pPr>
      <w:r>
        <w:t xml:space="preserve">4. Interfaces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Servicio externo</w:t>
            </w:r>
          </w:p>
        </w:tc>
        <w:tc>
          <w:tcPr>
            <w:tcW w:type="dxa" w:w="1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Protocolo</w:t>
            </w:r>
          </w:p>
        </w:tc>
        <w:tc>
          <w:tcPr>
            <w:tcW w:type="dxa" w:w="51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Observación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IMSS — WS1/WS3/WS6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SOAP 1.2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Namespace semanascotizadas.cit.imss.gob.mx; endpoints documentados en ambiente de desarrollo (api.dev.issste.gob.mx).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ProceSAR — WS2/WS4/WS5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REST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Dominio wsprocesar.com.mx; incluye el servicio de saldos preliminares.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RENAPO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SOAP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Servicios oficiales webs.curp.gob.mx (consulta simple) y websdes.curp.gob.mx (consulta detallada).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Servicio de firma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REST (wsfirma)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Servicio propio de ISSSTE (api2.issste.gob.mx/wsfirma en producción) que utiliza las credenciales del SAT.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CNSF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SOAP (ISucWebSWIS)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Operación WS_SAOR_ISSSTE; gestiona la oferta de renta vitalicia.</w:t>
            </w:r>
          </w:p>
        </w:tc>
      </w:tr>
    </w:tbl>
    <w:p>
      <w:pPr>
        <w:pStyle w:val="Heading1"/>
        <w:spacing w:after="160" w:before="320"/>
      </w:pPr>
      <w:r>
        <w:t xml:space="preserve">5. Seguridad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Todo dato de identidad, certificado, llave privada y contraseña se almacena y transmite encriptado.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Resolución de Transferencia de Derechos incluye un sello digital encriptado con certificado propio del Instituto.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acceso al módulo está restringido a invocaciones desde los portales institucionales autorizados.</w:t>
      </w:r>
    </w:p>
    <w:p>
      <w:pPr>
        <w:pStyle w:val="Heading1"/>
        <w:spacing w:after="160" w:before="320"/>
      </w:pPr>
      <w:r>
        <w:t xml:space="preserve">6. Supuestos</w:t>
      </w:r>
    </w:p>
    <w:p>
      <w:pPr>
        <w:shd w:fill="E2EFDA" w:val="clear"/>
        <w:spacing w:after="160"/>
      </w:pPr>
      <w:r>
        <w:rPr>
          <w:b/>
          <w:bCs/>
          <w:color w:val="2E7D32"/>
        </w:rPr>
        <w:t xml:space="preserve">Supuesto: </w:t>
      </w:r>
      <w:r>
        <w:t xml:space="preserve">Los endpoints documentados corresponden a un ambiente de desarrollo/pruebas; se deberán sustituir por los de producción antes de la puesta en operación.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FJL-F06-TD · Arquitectura Tecnológica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C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17383796500dd8baa73c9ecbaefca6b09e1f72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FJL-F06-TD · Arquitectura Tecnológica</dc:title>
  <dc:subject>Documentación oficial del proyecto</dc:subject>
  <dc:creator>Carlos Quintero (carlos.quintero@4js.com)</dc:creator>
  <dc:description>Portabilidad de Derechos Pensionarios entre ISSSTE e IMSS</dc:description>
  <cp:lastModifiedBy>Carlos Quintero (carlos.quintero@4js.com)</cp:lastModifiedBy>
  <cp:revision>1</cp:revision>
  <dcterms:created xsi:type="dcterms:W3CDTF">2026-07-27T18:15:41.062Z</dcterms:created>
  <dcterms:modified xsi:type="dcterms:W3CDTF">2026-07-27T18:15:41.062Z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