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FJL-F07-TD</w:t>
      </w:r>
    </w:p>
    <w:p>
      <w:pPr>
        <w:pStyle w:val="Title"/>
        <w:spacing w:after="200"/>
        <w:jc w:val="center"/>
      </w:pPr>
      <w:r>
        <w:t xml:space="preserve">Diseño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presenta el diseño de módulos, pantallas, datos y contratos de servicio del sistema.</w:t>
      </w:r>
    </w:p>
    <w:p>
      <w:pPr>
        <w:pStyle w:val="Heading1"/>
        <w:spacing w:after="160" w:before="320"/>
      </w:pPr>
      <w:r>
        <w:t xml:space="preserve">2. Diseño de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mSolicitudPortabilidad.4gl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Orquestador del proceso saliente; consume los servicios de IMSS y ProceSAR, invoca el dictamen y la firma.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lSolicitudPortabilidad.4gl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Librería de validaciones, folios, catálogos y utilidades compartidas.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mWS1ConsultaBasicaISSSTE.4gl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Consulta Básica (proceso entrante).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mWS3ConsultaRobustaISSSTE.4gl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Consulta Robusta con periodos (proceso entrante).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mWS6AvisoEstatusTransferenciaISSSTE.4gl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Aviso de Estatus de Transferencia (proceso entrante).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mWs7DictamenBeneficioPensionario.4gl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de Dictamen de Beneficio Pensionario; integra consulta de saldos y CNSF.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archivos_CNSFws7.4gl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Generación de prospectos de beneficiarios y cálculo de suficiencia de saldo.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lPeriodos.4gl / lPeriodosWS3.4gl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validación de periodos: sueldo, traslapes, marcado de periodos procesados.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lReporteSolicitud.4gl / mGeneraReporte.4gl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Generación y firma de los reportes de Solicitud y Resolución.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mClienteCURP.4gl / mClienteCURPDetalle.4gl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 de consulta de CURP ante RENAPO (simple y detallada).</w:t>
            </w:r>
          </w:p>
        </w:tc>
      </w:tr>
    </w:tbl>
    <w:p>
      <w:pPr>
        <w:pStyle w:val="Heading1"/>
        <w:spacing w:after="160" w:before="320"/>
      </w:pPr>
      <w:r>
        <w:t xml:space="preserve">3. Diseño de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6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fSolicitudPortabilidad / _gdc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 de la solicitud: CURP, datos recuperados, NSS/correo/teléfono, sección de firma electrónica.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faDescargaSolicitudes / _gdc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Listado de solicitudes previas, con descarga de Solicitud y Resolución.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fDescargarSolicitud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Descarga puntual de un documento.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fMensajeER / _gdc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inconsistencia de registro (CURP duplicada o registro no válido en DIRECTO).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fMensajenoSAT / _gdc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falla en la firma electrónica.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fAyuda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Pantalla de ayuda al usuario.</w:t>
            </w:r>
          </w:p>
        </w:tc>
      </w:tr>
    </w:tbl>
    <w:p>
      <w:pPr>
        <w:pStyle w:val="Heading1"/>
        <w:spacing w:after="160" w:before="320"/>
      </w:pPr>
      <w:r>
        <w:t xml:space="preserve">4. Diseño de datos</w:t>
      </w:r>
    </w:p>
    <w:p>
      <w:pPr>
        <w:spacing w:after="140"/>
      </w:pPr>
      <w:r>
        <w:t xml:space="preserve">Ver el modelo conceptual completo en FJL-F03-TD-Diagnóstico Conceptual. A continuación, el mismo diagrama como referencia rápida:</w:t>
      </w:r>
    </w:p>
    <w:p>
      <w:pPr>
        <w:spacing w:after="60"/>
        <w:jc w:val="center"/>
      </w:pPr>
      <w:r>
        <w:drawing>
          <wp:inline distT="0" distB="0" distL="0" distR="0">
            <wp:extent cx="5524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Diagrama Entidad-Relación (referencia)</w:t>
      </w:r>
    </w:p>
    <w:p>
      <w:pPr>
        <w:pStyle w:val="Heading1"/>
        <w:spacing w:after="160" w:before="320"/>
      </w:pPr>
      <w:r>
        <w:t xml:space="preserve">5. Contratos de servicio</w:t>
      </w:r>
    </w:p>
    <w:p>
      <w:pPr>
        <w:pStyle w:val="Heading2"/>
        <w:spacing w:after="120" w:before="240"/>
      </w:pPr>
      <w:r>
        <w:t xml:space="preserve">5.1 Servicios del proceso saliente</w:t>
      </w:r>
    </w:p>
    <w:p>
      <w:pPr>
        <w:pStyle w:val="Heading3"/>
        <w:spacing w:after="100" w:before="200"/>
      </w:pPr>
      <w:r>
        <w:t xml:space="preserve">IMSS-WS1-EstatusAsegurado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receptor del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01=IMSS, 02=ISSSTE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IMSS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(18)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inicio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y hora (19)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Hora de la CDMX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Correo electrónico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(255)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01=Aceptado, 02=Rechazo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(3)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código resultado=02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/ Primer apellido / Segundo apellido / Nombre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 (según campo)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Sólo si código resultado=01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registrado en la entidad que transfiere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de baja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(10)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Sólo si código resultado=01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Observaciones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(255)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PSAR-WS2-Consulta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receptor del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01=IMSS, 02=ISSSTE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IMSS / CURP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Requerido sólo si Tipo Consulta=01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 trámite de entidad receptora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Requerido sólo si Tipo Consulta=02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Primer apellido / Nombre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Segundo apellido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inicio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y hora (19)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Hora de la CDMX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Correo electrónico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(255)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01=Aceptado, 02=Rechazo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(3)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código resultado=02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 PROCESAR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Conforme a regla de negocio de ProceSAR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del registro del estatus en BD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y hora (19)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de la petición o del estatus 01 previo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Estatus en BD de dictaminación de portabilidad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Catálogo de estatus a reportar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Derecho otorgado IMSS / ISSSTE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(130)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hay más de un derecho, se informa el último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del otorgamiento del derecho IMSS / ISSSTE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(10)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Corresponde a la FIP</w:t>
            </w:r>
          </w:p>
        </w:tc>
      </w:tr>
    </w:tbl>
    <w:p>
      <w:pPr>
        <w:pStyle w:val="Heading3"/>
        <w:spacing w:after="100" w:before="200"/>
      </w:pPr>
      <w:r>
        <w:t xml:space="preserve">IMSS-WS3-ConsultaPeriodos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receptor del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01=IMSS, 02=ISSSTE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IMSS / CURP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inicio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(10)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Correo electrónico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(255)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 trámite de entidad receptora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Indicador marca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0=Sin marca, 1=Marcar</w:t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 / 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 / 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01=Aceptado, 02=Rechazo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/ Apellidos / Nombre / NSS / Fecha de baja / Observaciones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 (según campo)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Sólo si código resultado=01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de envío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y hora (19)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Hora de la CDMX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Periodos portados / Eventos deducción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(4)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Número de arreglos por periodo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Días cotizados / descontados / reintegrados / total de días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incluye descuentos y reintegros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Arreglo por periodo: fecha inicio/término, dependencia o patrón, pagaduría, RP/ramo-pagaduría, entidad federativa, sueldo registrado, tipo de movimiento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/ Alfanumérico / 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repite por cada periodo cotizado</w:t>
            </w:r>
          </w:p>
        </w:tc>
      </w:tr>
    </w:tbl>
    <w:p>
      <w:pPr>
        <w:pStyle w:val="Heading3"/>
        <w:spacing w:after="100" w:before="200"/>
      </w:pPr>
      <w:r>
        <w:t xml:space="preserve">PSAR-WS4-Insercion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receptor del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01=IMSS, 02=ISSSTE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IMSS / CURP / Folio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de baja IMSS / ISSSTE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 (10)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envía si está dado de baja en el instituto correspondiente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Días cotizados / descontados / reintegrados / total de días (IMSS e ISSSTE)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de semanas/años reconocidos IMSS/ISSSTE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 en semanas, ISSSTE en años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Observaciones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(255)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 / 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 / 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01=Aceptado, 02=Rechazo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 PROCESAR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Conforme a regla de negocio de ProceSAR</w:t>
            </w:r>
          </w:p>
        </w:tc>
      </w:tr>
    </w:tbl>
    <w:p>
      <w:pPr>
        <w:pStyle w:val="Heading3"/>
        <w:spacing w:after="100" w:before="200"/>
      </w:pPr>
      <w:r>
        <w:t xml:space="preserve">PSAR-WS5-Cancelacion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receptor del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01=IMSS, 02=ISSSTE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IMSS / CURP / Folio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Estatus a reportar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Catálogo de estatus a reportar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(3)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Sólo si el estatus reportado es de rechazo</w:t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 / 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 / 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01=Aceptado, 02=Rechazo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 PROCESAR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(50)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IMSS-WS6-ConclusionPortabilidad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Instituto receptor del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01=IMSS, 02=ISSSTE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 IMSS / CURP / Folio trámite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Resultado de integración a portabilidad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0=No procedió, 1=Sí procedió</w:t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resultado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01=Aceptado (el instituto que transfiere reversa y marca los periodos), 02=Rechazo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Motivo de rechazo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(3)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código resultado=02</w:t>
            </w:r>
          </w:p>
        </w:tc>
      </w:tr>
    </w:tbl>
    <w:p>
      <w:pPr>
        <w:pStyle w:val="Heading2"/>
        <w:spacing w:after="120" w:before="240"/>
      </w:pPr>
      <w:r>
        <w:t xml:space="preserve">5.2 Servicios del proceso entrante</w:t>
      </w:r>
    </w:p>
    <w:p>
      <w:pPr>
        <w:spacing w:after="140"/>
      </w:pPr>
      <w:r>
        <w:t xml:space="preserve">ISSSTE-WS1-ConsultaBasica e ISSSTE-WS3-ConsultaRobusta comparten estructura de campos con sus equivalentes del proceso saliente, invirtiendo receptor/transferente.</w:t>
      </w:r>
    </w:p>
    <w:p>
      <w:pPr>
        <w:pStyle w:val="Heading2"/>
        <w:spacing w:after="120" w:before="240"/>
      </w:pPr>
      <w:r>
        <w:t xml:space="preserve">5.3 ISSSTE-WS7-DictamenBeneficioPensionario</w:t>
      </w:r>
    </w:p>
    <w:p>
      <w:pPr>
        <w:spacing w:after="140"/>
      </w:pPr>
      <w:r>
        <w:t xml:space="preserve">Datos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NSS_IMSS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(18)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TIEMPO_COTIZADO_IMSS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TIEMPO_COTIZADO_ISSSTE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SALARIO_PROM_HL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(12,2)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Salario promedio de la Historia Laboral</w:t>
            </w:r>
          </w:p>
        </w:tc>
      </w:tr>
    </w:tbl>
    <w:p>
      <w:pPr>
        <w:spacing w:after="140"/>
      </w:pPr>
      <w:r>
        <w:t xml:space="preserve">Datos de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900"/>
        <w:gridCol w:w="39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 / Longitud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Oblig.</w:t>
            </w:r>
          </w:p>
        </w:tc>
        <w:tc>
          <w:tcPr>
            <w:tcW w:type="dxa" w:w="3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NSS_IMSS / CURP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CVE_BENEFICIO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 (2)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99=Error, 0=Sin derecho, 1=Retiro anticipado, 2=Cesantía en edad avanzada, 3=Vejez, 14=Retiro de saldo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DESC_BENEFICIO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(30)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Descripción del valor de CVE_BENEFICIO (o del error, si CVE_BENEFICIO=99)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DERECHO_PENSION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Alfanumérico (1)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S/N; "S" únicamente si CVE_BENEFICIO es 1, 2 o 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FJL-F07-TD ·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5051f3e72cc1ef8da3c6a23e71ae9c3a8c6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FJL-F07-TD · Diseño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2026-07-27T18:15:41.116Z</dcterms:created>
  <dcterms:modified xsi:type="dcterms:W3CDTF">2026-07-27T18:15:41.116Z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