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FJL-F09-TD</w:t>
      </w:r>
    </w:p>
    <w:p>
      <w:pPr>
        <w:pStyle w:val="Title"/>
        <w:spacing w:after="200"/>
        <w:jc w:val="center"/>
      </w:pPr>
      <w:r>
        <w:t xml:space="preserve">Manual Técnico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manual está dirigido al personal técnico responsable de mantener, soportar y dar seguimiento operativo al sistema.</w:t>
      </w:r>
    </w:p>
    <w:p>
      <w:pPr>
        <w:pStyle w:val="Heading1"/>
        <w:spacing w:after="160" w:before="320"/>
      </w:pPr>
      <w:r>
        <w:t xml:space="preserve">2. Plataforma tecnológica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Lenguaje/entorno: BDL/4GL sobre Genero Application Server (GAS).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de datos: Informix 12.10, instancia dsipe@aguila_sipe_tcp (BDUD).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Generación de reportes: Genero Report Writer (.4rp).</w:t>
      </w:r>
    </w:p>
    <w:p>
      <w:pPr>
        <w:pStyle w:val="Heading1"/>
        <w:spacing w:after="160" w:before="320"/>
      </w:pPr>
      <w:r>
        <w:t xml:space="preserve">3. Configuración de endpoints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Servicio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Endpoint de desarrollo</w:t>
            </w:r>
          </w:p>
        </w:tc>
        <w:tc>
          <w:tcPr>
            <w:tcW w:type="dxa" w:w="33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Endpoint de producción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IMSS WS1/WS3/WS6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api.dev.issste.gob.mx/semanascotizadas-rest/...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confirmar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ProceSAR WS2/WS4/WS5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wsprocesar.com.mx/retiros/v1/...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confirmar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RENAPO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webs.curp.gob.mx / websdes.curp.gob.mx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Mismo (servicio oficial gob.mx)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Firma (wsfirma)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api.dev.issste.gob.mx/wsfirma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api2.issste.gob.mx/wsfirma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Dictamen WS7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localhost:6394 (pruebas)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issstenet.issste.gob.mx/gasapp/ws/r/wsportabilidad/...</w:t>
            </w:r>
          </w:p>
        </w:tc>
      </w:tr>
    </w:tbl>
    <w:p>
      <w:pPr>
        <w:pStyle w:val="Heading1"/>
        <w:spacing w:after="160" w:before="320"/>
      </w:pPr>
      <w:r>
        <w:t xml:space="preserve">4. Manejo de fallas de comunicación</w:t>
      </w:r>
    </w:p>
    <w:p>
      <w:pPr>
        <w:spacing w:after="140"/>
      </w:pPr>
      <w:r>
        <w:t xml:space="preserve">El sistema cataloga de forma explícita cada falla de comunicación con servicios externos, para que el soporte técnico pueda diagnosticarlas con precisión: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960"/>
      </w:tblGrid>
      <w:tr>
        <w:trPr>
          <w:tblHeader/>
        </w:trPr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5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Motivo</w:t>
            </w:r>
          </w:p>
        </w:tc>
        <w:tc>
          <w:tcPr>
            <w:tcW w:type="dxa" w:w="2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Servicio afectado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proceso de dictaminación (WS7).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notificación de procedencia (WS6).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notificación de conclusión (WS4).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notificación de rechazo (WS5).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al consultar RENAPO.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consulta básica (WS1).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al realizar la inserción en PROCESAR (WS2).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consulta robusta (WS3).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de saldos preliminares (WS-SaldosPreliminares).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con CNSF.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t xml:space="preserve">5. Recomendaciones de soporte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Ante fallas de comunicación repetidas con un servicio externo, verificar primero la disponibilidad de red hacia el dominio correspondiente antes de escalar como incidencia funcional.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bitácora de cuenta individual (BIT_CUENTA_IND) y el historial de estatus (CEI_TD_SOLICITUD) son la primera fuente de diagnóstico ante un reclamo de un folio específico.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credenciales de firma (certificado/llave/contraseña) nunca deben exponerse en logs de depuración.</w:t>
      </w:r>
    </w:p>
    <w:p>
      <w:pPr>
        <w:pStyle w:val="Heading1"/>
        <w:spacing w:after="160" w:before="320"/>
      </w:pPr>
      <w:r>
        <w:t xml:space="preserve">6. Supuestos</w:t>
      </w:r>
    </w:p>
    <w:p>
      <w:pPr>
        <w:shd w:fill="E2EFDA" w:val="clear"/>
        <w:spacing w:after="160"/>
      </w:pPr>
      <w:r>
        <w:rPr>
          <w:b/>
          <w:bCs/>
          <w:color w:val="2E7D32"/>
        </w:rPr>
        <w:t xml:space="preserve">Supuesto: </w:t>
      </w:r>
      <w:r>
        <w:t xml:space="preserve">Los endpoints de producción marcados como "por confirmar" deberán completarse antes de la operación real, con apoyo del área de infraestructura de ISSSTE.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FJL-F09-TD · 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FJL-F09-TD · Manual Técnico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2026-07-27T18:15:41.240Z</dcterms:created>
  <dcterms:modified xsi:type="dcterms:W3CDTF">2026-07-27T18:15:41.240Z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