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FJL-F13-TD</w:t>
      </w:r>
    </w:p>
    <w:p>
      <w:pPr>
        <w:pStyle w:val="Title"/>
        <w:spacing w:after="200"/>
        <w:jc w:val="center"/>
      </w:pPr>
      <w:r>
        <w:t xml:space="preserve">Escenario de Pruebas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Propósito</w:t>
      </w:r>
    </w:p>
    <w:p>
      <w:pPr>
        <w:spacing w:after="140"/>
      </w:pPr>
      <w:r>
        <w:t xml:space="preserve">Este documento define escenarios de prueba derivados de los requerimientos funcionales y las reglas de negocio, como base para la verificación del sistema.</w:t>
      </w:r>
    </w:p>
    <w:p>
      <w:pPr>
        <w:pStyle w:val="Heading1"/>
        <w:spacing w:after="160" w:before="320"/>
      </w:pPr>
      <w:r>
        <w:t xml:space="preserve">2. Casos de prueba — captura y validación de identidad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260"/>
        <w:gridCol w:w="400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Requerimiento</w:t>
            </w:r>
          </w:p>
        </w:tc>
        <w:tc>
          <w:tcPr>
            <w:tcW w:type="dxa" w:w="32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Entrada</w:t>
            </w:r>
          </w:p>
        </w:tc>
        <w:tc>
          <w:tcPr>
            <w:tcW w:type="dxa" w:w="4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esperado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CP-01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RF-01/02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Invocación del módulo fuera de SINAVID-OV/SIPE-AV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Mensaje: "Servicio disponible únicamente desde el portal SINAVID-OV o SIPE-AV"; no continúa.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CP-02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RF-03/RF-04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válida y existente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recuperan automáticamente nombre, Número ISSSTE, fecha de nacimiento, antigüedad, régimen y situación de afiliación.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CP-03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RF-04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no localizada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Mensaje: "La CURP ingresada NO fue localizada, por favor verifique los datos".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CP-04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RF-05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Derechohabiente con situación "Finado"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permite continuar; se genera documento de rechazo automático.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CP-05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RF-06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con 10 dígitos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completa con un cero a la izquierda hasta 11 dígitos.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CP-06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RF-07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con solicitud ya existente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 de solicitud existente; se muestra el listado para descarga; no se permite capturar una nueva.</w:t>
            </w:r>
          </w:p>
        </w:tc>
      </w:tr>
    </w:tbl>
    <w:p>
      <w:pPr>
        <w:pStyle w:val="Heading1"/>
        <w:spacing w:after="160" w:before="320"/>
      </w:pPr>
      <w:r>
        <w:t xml:space="preserve">3. Casos de prueba — firma electrónica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260"/>
        <w:gridCol w:w="400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Requerimiento</w:t>
            </w:r>
          </w:p>
        </w:tc>
        <w:tc>
          <w:tcPr>
            <w:tcW w:type="dxa" w:w="32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Entrada</w:t>
            </w:r>
          </w:p>
        </w:tc>
        <w:tc>
          <w:tcPr>
            <w:tcW w:type="dxa" w:w="4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esperado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CP-07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RF-09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Envío sin seleccionar certificado o llave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Mensaje: "Seleccione los archivos de la e-firma".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CP-08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RF-09/RF-10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Certificado y llave válidos con contraseña correcta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firma la solicitud; se genera el folio; mensaje "Proceso de Transferencia de Derechos Iniciado".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CP-09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RF-19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del servicio de firma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conserva un PDF de respaldo sin firma (ver FJL-F09).</w:t>
            </w:r>
          </w:p>
        </w:tc>
      </w:tr>
    </w:tbl>
    <w:p>
      <w:pPr>
        <w:pStyle w:val="Heading1"/>
        <w:spacing w:after="160" w:before="320"/>
      </w:pPr>
      <w:r>
        <w:t xml:space="preserve">4. Casos de prueba — reglas de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260"/>
        <w:gridCol w:w="400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Regla</w:t>
            </w:r>
          </w:p>
        </w:tc>
        <w:tc>
          <w:tcPr>
            <w:tcW w:type="dxa" w:w="32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Entrada</w:t>
            </w:r>
          </w:p>
        </w:tc>
        <w:tc>
          <w:tcPr>
            <w:tcW w:type="dxa" w:w="4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esperado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CP-10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RN-01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Derechohabiente con estatus indeterminado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Rechazo; no continúa el trámite.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CP-11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RN-07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con marca 200/300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Rechazo por marca de impedimento.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CP-12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RN-09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Sueldo por debajo del mínimo en un periodo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periodo se marca como inconsistente.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CP-13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RN-13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Tiempo cotizado combinado suficiente y edad ≥ 65 años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Dictamen determina beneficio de Vejez (CVE_BENEFICIO=3).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CP-14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RN-13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Edad &lt; 60 años, tiempo cotizado insuficiente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Dictamen determina Negativa de Pensión (CVE_BENEFICIO=0).</w:t>
            </w:r>
          </w:p>
        </w:tc>
      </w:tr>
    </w:tbl>
    <w:p>
      <w:pPr>
        <w:pStyle w:val="Heading1"/>
        <w:spacing w:after="160" w:before="320"/>
      </w:pPr>
      <w:r>
        <w:t xml:space="preserve">5. Casos de prueba — interoperabilidad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1"/>
        <w:gridCol w:w="2153"/>
        <w:gridCol w:w="2506"/>
        <w:gridCol w:w="3820"/>
      </w:tblGrid>
      <w:tr>
        <w:trPr>
          <w:tblHeader/>
        </w:trPr>
        <w:tc>
          <w:tcPr>
            <w:tcW w:type="dxa" w:w="881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153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Servicio</w:t>
            </w:r>
          </w:p>
        </w:tc>
        <w:tc>
          <w:tcPr>
            <w:tcW w:type="dxa" w:w="2506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Entrada</w:t>
            </w:r>
          </w:p>
        </w:tc>
        <w:tc>
          <w:tcPr>
            <w:tcW w:type="dxa" w:w="382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 esperado</w:t>
            </w:r>
          </w:p>
        </w:tc>
      </w:tr>
      <w:tr>
        <w:tc>
          <w:tcPr>
            <w:tcW w:type="dxa" w:w="8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CP-15</w:t>
            </w:r>
          </w:p>
        </w:tc>
        <w:tc>
          <w:tcPr>
            <w:tcW w:type="dxa" w:w="21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IMSS-WS1-EstatusAsegurado</w:t>
            </w:r>
          </w:p>
        </w:tc>
        <w:tc>
          <w:tcPr>
            <w:tcW w:type="dxa" w:w="250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NSS/CURP inexistente en IMSS</w:t>
            </w:r>
          </w:p>
        </w:tc>
        <w:tc>
          <w:tcPr>
            <w:tcW w:type="dxa" w:w="38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resultado=02, con motivo de rechazo.</w:t>
            </w:r>
          </w:p>
        </w:tc>
      </w:tr>
      <w:tr>
        <w:tc>
          <w:tcPr>
            <w:tcW w:type="dxa" w:w="8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CP-16</w:t>
            </w:r>
          </w:p>
        </w:tc>
        <w:tc>
          <w:tcPr>
            <w:tcW w:type="dxa" w:w="21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PSAR-WS5-Cancelacion</w:t>
            </w:r>
          </w:p>
        </w:tc>
        <w:tc>
          <w:tcPr>
            <w:tcW w:type="dxa" w:w="250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Dictamen determina cancelación</w:t>
            </w:r>
          </w:p>
        </w:tc>
        <w:tc>
          <w:tcPr>
            <w:tcW w:type="dxa" w:w="38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invoca WS5 y también IMSS-WS6-ConclusionPortabilidad reportando cancelación.</w:t>
            </w:r>
          </w:p>
        </w:tc>
      </w:tr>
      <w:tr>
        <w:tc>
          <w:tcPr>
            <w:tcW w:type="dxa" w:w="88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CP-17</w:t>
            </w:r>
          </w:p>
        </w:tc>
        <w:tc>
          <w:tcPr>
            <w:tcW w:type="dxa" w:w="21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ISSSTE-WS6-AvisoEstatusTransferencia</w:t>
            </w:r>
          </w:p>
        </w:tc>
        <w:tc>
          <w:tcPr>
            <w:tcW w:type="dxa" w:w="250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IMSS notifica procedencia</w:t>
            </w:r>
          </w:p>
        </w:tc>
        <w:tc>
          <w:tcPr>
            <w:tcW w:type="dxa" w:w="38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marcan los periodos correspondientes en BDUD.</w:t>
            </w:r>
          </w:p>
        </w:tc>
      </w:tr>
    </w:tbl>
    <w:p>
      <w:pPr>
        <w:pStyle w:val="Heading1"/>
        <w:spacing w:after="160" w:before="320"/>
      </w:pPr>
      <w:r>
        <w:t xml:space="preserve">6. Supuestos</w:t>
      </w:r>
    </w:p>
    <w:p>
      <w:pPr>
        <w:shd w:fill="E2EFDA" w:val="clear"/>
        <w:spacing w:after="160"/>
      </w:pPr>
      <w:r>
        <w:rPr>
          <w:b/>
          <w:bCs/>
          <w:color w:val="2E7D32"/>
        </w:rPr>
        <w:t xml:space="preserve">Supuesto: </w:t>
      </w:r>
      <w:r>
        <w:t xml:space="preserve">Los escenarios de prueba deberán completarse con datos de prueba reales/anonimizados proporcionados por ISSSTE antes de su ejecución formal.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FJL-F13-TD · Escenario de Pruebas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FJL-F13-TD · Escenario de Pruebas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2026-07-27T18:15:41.352Z</dcterms:created>
  <dcterms:modified xsi:type="dcterms:W3CDTF">2026-07-27T18:15:41.352Z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