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9D6F" w14:textId="77777777" w:rsidR="00823089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FJL-F01-TD</w:t>
      </w:r>
    </w:p>
    <w:p w14:paraId="2C2D774E" w14:textId="04446DCE" w:rsidR="00823089" w:rsidRDefault="00000000">
      <w:pPr>
        <w:pStyle w:val="Ttulo"/>
        <w:spacing w:after="200"/>
        <w:jc w:val="center"/>
      </w:pPr>
      <w:r>
        <w:t>Visión</w:t>
      </w:r>
    </w:p>
    <w:p w14:paraId="6746A5DA" w14:textId="77777777" w:rsidR="00823089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1C559715" w14:textId="77777777" w:rsidR="00823089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1A91AFE9" w14:textId="77777777" w:rsidR="00823089" w:rsidRDefault="00000000">
      <w:r>
        <w:br w:type="page"/>
      </w:r>
    </w:p>
    <w:p w14:paraId="621648B9" w14:textId="77777777" w:rsidR="00823089" w:rsidRDefault="00000000">
      <w:pPr>
        <w:pStyle w:val="Ttulo1"/>
        <w:spacing w:before="320" w:after="160"/>
      </w:pPr>
      <w:bookmarkStart w:id="0" w:name="_Toc240956410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299"/>
        <w:gridCol w:w="2365"/>
        <w:gridCol w:w="1587"/>
        <w:gridCol w:w="3211"/>
      </w:tblGrid>
      <w:tr w:rsidR="00823089" w14:paraId="738A7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0BB33" w14:textId="77777777" w:rsidR="00823089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A4CC6" w14:textId="77777777" w:rsidR="00823089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01914" w14:textId="77777777" w:rsidR="00823089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EE33D" w14:textId="77777777" w:rsidR="00823089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863B" w14:textId="77777777" w:rsidR="00823089" w:rsidRDefault="00000000">
            <w:r>
              <w:rPr>
                <w:b/>
                <w:bCs/>
              </w:rPr>
              <w:t>Descripción</w:t>
            </w:r>
          </w:p>
        </w:tc>
      </w:tr>
      <w:tr w:rsidR="00823089" w14:paraId="222AFA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48CBB" w14:textId="77777777" w:rsidR="00823089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79350" w14:textId="77777777" w:rsidR="00823089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B3270" w14:textId="77777777" w:rsidR="00823089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ACC61" w14:textId="77777777" w:rsidR="00823089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F68F9" w14:textId="77777777" w:rsidR="00823089" w:rsidRDefault="00000000">
            <w:r>
              <w:t>Versión inicial — entrega formal a ISSSTE</w:t>
            </w:r>
          </w:p>
        </w:tc>
      </w:tr>
      <w:tr w:rsidR="00823089" w14:paraId="58CC81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911D4" w14:textId="77777777" w:rsidR="00823089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DEB2C" w14:textId="77777777" w:rsidR="00823089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3EC2D" w14:textId="77777777" w:rsidR="00823089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83120" w14:textId="77777777" w:rsidR="00823089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143A2" w14:textId="77777777" w:rsidR="00823089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3899C1B8" w14:textId="77777777" w:rsidR="00823089" w:rsidRDefault="00000000">
      <w:r>
        <w:br w:type="page"/>
      </w:r>
    </w:p>
    <w:p w14:paraId="7DA98110" w14:textId="77777777" w:rsidR="00823089" w:rsidRDefault="00000000">
      <w:pPr>
        <w:pStyle w:val="Ttulo1"/>
        <w:spacing w:before="320" w:after="160"/>
      </w:pPr>
      <w:bookmarkStart w:id="1" w:name="_Toc240956411"/>
      <w:r>
        <w:lastRenderedPageBreak/>
        <w:t>Tabla de contenido</w:t>
      </w:r>
      <w:bookmarkEnd w:id="1"/>
    </w:p>
    <w:sdt>
      <w:sdtPr>
        <w:alias w:val="Tabla de contenido"/>
        <w:id w:val="1447424251"/>
      </w:sdtPr>
      <w:sdtContent>
        <w:p w14:paraId="6AC93F1E" w14:textId="77777777" w:rsidR="008D7F0D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56410" w:history="1">
            <w:r w:rsidR="008D7F0D" w:rsidRPr="00E248F1">
              <w:rPr>
                <w:rStyle w:val="Hipervnculo"/>
                <w:noProof/>
              </w:rPr>
              <w:t>Control de versiones</w:t>
            </w:r>
            <w:r w:rsidR="008D7F0D">
              <w:rPr>
                <w:noProof/>
              </w:rPr>
              <w:tab/>
            </w:r>
            <w:r w:rsidR="008D7F0D">
              <w:rPr>
                <w:noProof/>
              </w:rPr>
              <w:fldChar w:fldCharType="begin"/>
            </w:r>
            <w:r w:rsidR="008D7F0D">
              <w:rPr>
                <w:noProof/>
              </w:rPr>
              <w:instrText xml:space="preserve"> PAGEREF _Toc240956410 \h </w:instrText>
            </w:r>
            <w:r w:rsidR="008D7F0D">
              <w:rPr>
                <w:noProof/>
              </w:rPr>
            </w:r>
            <w:r w:rsidR="008D7F0D">
              <w:rPr>
                <w:noProof/>
              </w:rPr>
              <w:fldChar w:fldCharType="separate"/>
            </w:r>
            <w:r w:rsidR="008D7F0D">
              <w:rPr>
                <w:noProof/>
              </w:rPr>
              <w:t>2</w:t>
            </w:r>
            <w:r w:rsidR="008D7F0D">
              <w:rPr>
                <w:noProof/>
              </w:rPr>
              <w:fldChar w:fldCharType="end"/>
            </w:r>
          </w:hyperlink>
        </w:p>
        <w:p w14:paraId="458748ED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1" w:history="1">
            <w:r w:rsidRPr="00E248F1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057CA5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2" w:history="1">
            <w:r w:rsidRPr="00E248F1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8BA9E5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3" w:history="1">
            <w:r w:rsidRPr="00E248F1">
              <w:rPr>
                <w:rStyle w:val="Hipervnculo"/>
                <w:noProof/>
              </w:rPr>
              <w:t>2. Descripción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019C05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4" w:history="1">
            <w:r w:rsidRPr="00E248F1">
              <w:rPr>
                <w:rStyle w:val="Hipervnculo"/>
                <w:noProof/>
              </w:rPr>
              <w:t>3. Sentencia de posición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CB3FE2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5" w:history="1">
            <w:r w:rsidRPr="00E248F1">
              <w:rPr>
                <w:rStyle w:val="Hipervnculo"/>
                <w:noProof/>
              </w:rPr>
              <w:t>4. Perfiles de usuario /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5EB9A9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6" w:history="1">
            <w:r w:rsidRPr="00E248F1">
              <w:rPr>
                <w:rStyle w:val="Hipervnculo"/>
                <w:noProof/>
              </w:rPr>
              <w:t>5. Necesidades y características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056C46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7" w:history="1">
            <w:r w:rsidRPr="00E248F1">
              <w:rPr>
                <w:rStyle w:val="Hipervnculo"/>
                <w:noProof/>
              </w:rPr>
              <w:t>6.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79824" w14:textId="77777777" w:rsidR="008D7F0D" w:rsidRDefault="008D7F0D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0956418" w:history="1">
            <w:r w:rsidRPr="00E248F1">
              <w:rPr>
                <w:rStyle w:val="Hipervnculo"/>
                <w:noProof/>
              </w:rPr>
              <w:t>7. Rango de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_Toc240956418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346754" w14:textId="77777777" w:rsidR="00823089" w:rsidRDefault="00000000">
          <w:r>
            <w:fldChar w:fldCharType="end"/>
          </w:r>
        </w:p>
      </w:sdtContent>
    </w:sdt>
    <w:p w14:paraId="196D01F2" w14:textId="77777777" w:rsidR="00823089" w:rsidRDefault="00000000">
      <w:r>
        <w:br w:type="page"/>
      </w:r>
    </w:p>
    <w:p w14:paraId="05F06148" w14:textId="77777777" w:rsidR="00823089" w:rsidRDefault="00000000">
      <w:pPr>
        <w:pStyle w:val="Ttulo1"/>
        <w:spacing w:before="320" w:after="160"/>
      </w:pPr>
      <w:bookmarkStart w:id="2" w:name="_Toc240956412"/>
      <w:r>
        <w:lastRenderedPageBreak/>
        <w:t>1. Propósito</w:t>
      </w:r>
      <w:bookmarkEnd w:id="2"/>
    </w:p>
    <w:p w14:paraId="71D0BBC1" w14:textId="77777777" w:rsidR="00823089" w:rsidRDefault="00000000">
      <w:pPr>
        <w:spacing w:after="140"/>
      </w:pPr>
      <w:r>
        <w:t>Este documento define la visión del proyecto "Portabilidad de Derechos Pensionarios entre ISSSTE e IMSS": el problema de negocio que atiende, el posicionamiento del producto, los perfiles de usuario involucrados y las características de más alto nivel del sistema. Sirve como referencia común para alinear expectativas entre el ISSSTE y el equipo de desarrollo a lo largo del proyecto.</w:t>
      </w:r>
    </w:p>
    <w:p w14:paraId="6FBFC895" w14:textId="77777777" w:rsidR="00823089" w:rsidRDefault="00000000">
      <w:pPr>
        <w:pStyle w:val="Ttulo1"/>
        <w:spacing w:before="320" w:after="160"/>
      </w:pPr>
      <w:bookmarkStart w:id="3" w:name="_Toc240956413"/>
      <w:r>
        <w:t>2. Descripción del problema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23089" w14:paraId="2DC9C3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EE481" w14:textId="77777777" w:rsidR="00823089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103C0" w14:textId="77777777" w:rsidR="00823089" w:rsidRDefault="00000000">
            <w:r>
              <w:rPr>
                <w:b/>
                <w:bCs/>
              </w:rPr>
              <w:t>Descripción</w:t>
            </w:r>
          </w:p>
        </w:tc>
      </w:tr>
      <w:tr w:rsidR="00823089" w14:paraId="1199B6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45AAC" w14:textId="77777777" w:rsidR="00823089" w:rsidRDefault="00000000">
            <w:r>
              <w:t>El problema de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74BF5" w14:textId="77777777" w:rsidR="00823089" w:rsidRDefault="00000000">
            <w:r>
              <w:t>no contar con un mecanismo sistematizado, auditable y con validez legal para tramitar la portabilidad de derechos pensionarios de un derechohabiente entre ISSSTE e IMSS, incluyendo los casos en que un mismo derechohabiente requiere portar sus derechos más de una vez a lo largo de su vida laboral.</w:t>
            </w:r>
          </w:p>
        </w:tc>
      </w:tr>
      <w:tr w:rsidR="00823089" w14:paraId="7A0667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74E56" w14:textId="77777777" w:rsidR="00823089" w:rsidRDefault="00000000">
            <w:r>
              <w:t>Afecta 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0DFD" w14:textId="77777777" w:rsidR="00823089" w:rsidRDefault="00000000">
            <w:r>
              <w:t>los derechohabientes que cambian de instituto de seguridad social —en ocasiones más de una vez—, al personal de ventanilla que atiende el trámite, y a ambos institutos como responsables de determinar la elegibilidad y el beneficio pensionario correspondiente.</w:t>
            </w:r>
          </w:p>
        </w:tc>
      </w:tr>
      <w:tr w:rsidR="00823089" w14:paraId="62E000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DE8CC" w14:textId="77777777" w:rsidR="00823089" w:rsidRDefault="00000000">
            <w:r>
              <w:t>El impacto de ello es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8B54C" w14:textId="77777777" w:rsidR="00823089" w:rsidRDefault="00000000">
            <w:r>
              <w:t>trámites lentos, propensos a error humano, sin trazabilidad uniforme, sin una aplicación consistente de las reglas de elegibilidad entre ambos sentidos del proceso, y sin posibilidad de atender a un derechohabiente que ya había portado sus derechos previamente.</w:t>
            </w:r>
          </w:p>
        </w:tc>
      </w:tr>
      <w:tr w:rsidR="00823089" w14:paraId="3FC52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4AFB3" w14:textId="77777777" w:rsidR="00823089" w:rsidRDefault="00000000">
            <w:r>
              <w:t>Una solución exitosa sería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53AFE" w14:textId="77777777" w:rsidR="00823089" w:rsidRDefault="00000000">
            <w:r>
              <w:t>un sistema que capture, valide, firme electrónicamente, intercambie información entre institutos y resuelva el trámite de portabilidad de forma consistente, auditable y trazable en ambos sentidos, permitiendo además que un derechohabiente pueda volver a portar sus derechos cuando su situación laboral lo requiera.</w:t>
            </w:r>
          </w:p>
        </w:tc>
      </w:tr>
    </w:tbl>
    <w:p w14:paraId="08ABB55D" w14:textId="77777777" w:rsidR="00823089" w:rsidRDefault="00000000">
      <w:pPr>
        <w:spacing w:after="140"/>
      </w:pPr>
      <w:r>
        <w:t>El área usuaria identificó, a partir de casuísticas presentadas por derechohabientes que ya habían concluido un trámite de portabilidad y requerían realizar uno nuevo, la necesidad de habilitar la re-portabilidad como parte del alcance del proyecto.</w:t>
      </w:r>
    </w:p>
    <w:p w14:paraId="3E596DA1" w14:textId="77777777" w:rsidR="00823089" w:rsidRDefault="00000000">
      <w:pPr>
        <w:pStyle w:val="Ttulo1"/>
        <w:spacing w:before="320" w:after="160"/>
      </w:pPr>
      <w:bookmarkStart w:id="4" w:name="_Toc240956414"/>
      <w:r>
        <w:t>3. Sentencia de posición del producto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23089" w14:paraId="47BCB2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F7FDA" w14:textId="77777777" w:rsidR="00823089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69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70D0" w14:textId="77777777" w:rsidR="00823089" w:rsidRDefault="00000000">
            <w:r>
              <w:rPr>
                <w:b/>
                <w:bCs/>
              </w:rPr>
              <w:t>Descripción</w:t>
            </w:r>
          </w:p>
        </w:tc>
      </w:tr>
      <w:tr w:rsidR="00823089" w14:paraId="77F51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F4786" w14:textId="77777777" w:rsidR="00823089" w:rsidRDefault="00000000">
            <w:r>
              <w:t>Para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7A656" w14:textId="77777777" w:rsidR="00823089" w:rsidRDefault="00000000">
            <w:r>
              <w:t>el ISSSTE y los derechohabientes que solicitan portabilidad de derechos pensionarios</w:t>
            </w:r>
          </w:p>
        </w:tc>
      </w:tr>
      <w:tr w:rsidR="00823089" w14:paraId="21C2C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834B" w14:textId="77777777" w:rsidR="00823089" w:rsidRDefault="00000000">
            <w:r>
              <w:t>Quien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8F5D" w14:textId="77777777" w:rsidR="00823089" w:rsidRDefault="00000000">
            <w:r>
              <w:t>requiere tramitar la portabilidad hacia o desde el IMSS de forma confiable y auditable</w:t>
            </w:r>
          </w:p>
        </w:tc>
      </w:tr>
      <w:tr w:rsidR="00823089" w14:paraId="2D365B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9E2FA" w14:textId="77777777" w:rsidR="00823089" w:rsidRDefault="00000000">
            <w:r>
              <w:t>El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55EE5" w14:textId="77777777" w:rsidR="00823089" w:rsidRDefault="00000000">
            <w:r>
              <w:t>Portabilidad de Derechos Pensionarios entre ISSSTE e IMSS</w:t>
            </w:r>
          </w:p>
        </w:tc>
      </w:tr>
      <w:tr w:rsidR="00823089" w14:paraId="18464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C1FBC" w14:textId="77777777" w:rsidR="00823089" w:rsidRDefault="00000000">
            <w:r>
              <w:lastRenderedPageBreak/>
              <w:t>Que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A2910" w14:textId="77777777" w:rsidR="00823089" w:rsidRDefault="00000000">
            <w:r>
              <w:t>captura, valida, firma electrónicamente y da seguimiento a la solicitud, coordinando el intercambio con IMSS, ProceSAR, RENAPO y la CNSF</w:t>
            </w:r>
          </w:p>
        </w:tc>
      </w:tr>
      <w:tr w:rsidR="00823089" w14:paraId="66DBDB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AC74D" w14:textId="77777777" w:rsidR="00823089" w:rsidRDefault="00000000">
            <w:r>
              <w:t>A diferencia de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CAA3E" w14:textId="77777777" w:rsidR="00823089" w:rsidRDefault="00000000">
            <w:r>
              <w:t>un proceso manual o disperso sin reglas de elegibilidad uniformes ni trazabilidad</w:t>
            </w:r>
          </w:p>
        </w:tc>
      </w:tr>
      <w:tr w:rsidR="00823089" w14:paraId="706165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222DC" w14:textId="77777777" w:rsidR="00823089" w:rsidRDefault="00000000">
            <w:r>
              <w:t>Nuestro producto</w:t>
            </w:r>
          </w:p>
        </w:tc>
        <w:tc>
          <w:tcPr>
            <w:tcW w:w="6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094C" w14:textId="77777777" w:rsidR="00823089" w:rsidRDefault="00000000">
            <w:r>
              <w:t>aplica un catálogo único de reglas de negocio y motivos de rechazo, genera documentos con validez legal y mantiene bitácora completa del trámite</w:t>
            </w:r>
          </w:p>
        </w:tc>
      </w:tr>
    </w:tbl>
    <w:p w14:paraId="636C9A46" w14:textId="77777777" w:rsidR="00823089" w:rsidRDefault="00000000">
      <w:pPr>
        <w:pStyle w:val="Ttulo1"/>
        <w:spacing w:before="320" w:after="160"/>
      </w:pPr>
      <w:bookmarkStart w:id="5" w:name="_Toc240956415"/>
      <w:r>
        <w:t>4. Perfiles de usuario / interesados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23089" w14:paraId="2CA7DD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75136" w14:textId="77777777" w:rsidR="00823089" w:rsidRDefault="00000000">
            <w:r>
              <w:rPr>
                <w:b/>
                <w:bCs/>
              </w:rPr>
              <w:t>Perfil</w:t>
            </w:r>
          </w:p>
        </w:tc>
        <w:tc>
          <w:tcPr>
            <w:tcW w:w="67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36008" w14:textId="77777777" w:rsidR="00823089" w:rsidRDefault="00000000">
            <w:r>
              <w:rPr>
                <w:b/>
                <w:bCs/>
              </w:rPr>
              <w:t>Rol en el proyecto</w:t>
            </w:r>
          </w:p>
        </w:tc>
      </w:tr>
      <w:tr w:rsidR="00823089" w14:paraId="5B0729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7C771" w14:textId="77777777" w:rsidR="00823089" w:rsidRDefault="00000000">
            <w:r>
              <w:t>Derechohabiente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1024" w14:textId="77777777" w:rsidR="00823089" w:rsidRDefault="00000000">
            <w:r>
              <w:t>Titular de derechos pensionarios que solicita, o de quien se solicita, la portabilidad.</w:t>
            </w:r>
          </w:p>
        </w:tc>
      </w:tr>
      <w:tr w:rsidR="00823089" w14:paraId="174637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1D05B" w14:textId="77777777" w:rsidR="00823089" w:rsidRDefault="00000000">
            <w:r>
              <w:t>Usuario de ventanilla ISSSTE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14EA" w14:textId="77777777" w:rsidR="00823089" w:rsidRDefault="00000000">
            <w:r>
              <w:t>Captura y da seguimiento a la solicitud desde SINAVID-OV o SIPE-AV.</w:t>
            </w:r>
          </w:p>
        </w:tc>
      </w:tr>
      <w:tr w:rsidR="00823089" w14:paraId="5FFC65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BDC2" w14:textId="77777777" w:rsidR="00823089" w:rsidRDefault="00000000">
            <w:r>
              <w:t>IMSS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7B1CA" w14:textId="77777777" w:rsidR="00823089" w:rsidRDefault="00000000">
            <w:r>
              <w:t>Instituto contraparte; expone y consume servicios equivalentes a los de ISSSTE.</w:t>
            </w:r>
          </w:p>
        </w:tc>
      </w:tr>
      <w:tr w:rsidR="00823089" w14:paraId="0D04C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CA4CB" w14:textId="77777777" w:rsidR="00823089" w:rsidRDefault="00000000">
            <w:r>
              <w:t>ProceSAR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AE521" w14:textId="77777777" w:rsidR="00823089" w:rsidRDefault="00000000">
            <w:r>
              <w:t>Concesionaria de la Base de Datos Nacional del SAR; gestiona el trámite del lado de las cuentas individuales/AFORE.</w:t>
            </w:r>
          </w:p>
        </w:tc>
      </w:tr>
      <w:tr w:rsidR="00823089" w14:paraId="24892B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5B4AF" w14:textId="77777777" w:rsidR="00823089" w:rsidRDefault="00000000">
            <w:r>
              <w:t>CNSF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154A5" w14:textId="77777777" w:rsidR="00823089" w:rsidRDefault="00000000">
            <w:r>
              <w:t>Comisión Nacional de Seguros y Fianzas, órgano desconcentrado de la SHCP; su servicio se consume para completar la determinación del beneficio pensionario.</w:t>
            </w:r>
          </w:p>
        </w:tc>
      </w:tr>
      <w:tr w:rsidR="00823089" w14:paraId="777C17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AA3D5" w14:textId="77777777" w:rsidR="00823089" w:rsidRDefault="00000000">
            <w:r>
              <w:t>Área de Pensiones ISSSTE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C0296" w14:textId="77777777" w:rsidR="00823089" w:rsidRDefault="00000000">
            <w:r>
              <w:t>Valida el derecho y calcula el dictamen de beneficio pensionario.</w:t>
            </w:r>
          </w:p>
        </w:tc>
      </w:tr>
      <w:tr w:rsidR="00823089" w14:paraId="4FB88C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59F" w14:textId="77777777" w:rsidR="00823089" w:rsidRDefault="00000000">
            <w:r>
              <w:t>Área de Afiliación y Vigencia ISSSTE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669E1" w14:textId="77777777" w:rsidR="00823089" w:rsidRDefault="00000000">
            <w:r>
              <w:t>Origina las consultas de beneficio de pensión y opera el módulo de captura.</w:t>
            </w:r>
          </w:p>
        </w:tc>
      </w:tr>
    </w:tbl>
    <w:p w14:paraId="75F765DB" w14:textId="77777777" w:rsidR="00823089" w:rsidRDefault="00000000">
      <w:pPr>
        <w:pStyle w:val="Ttulo1"/>
        <w:spacing w:before="320" w:after="160"/>
      </w:pPr>
      <w:bookmarkStart w:id="6" w:name="_Toc240956416"/>
      <w:r>
        <w:t>5. Necesidades y características de alto nivel</w:t>
      </w:r>
      <w:bookmarkEnd w:id="6"/>
    </w:p>
    <w:p w14:paraId="2F0B884F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Captura y validación de identidad del derechohabiente (CURP contra RENAPO, datos de la BDUD).</w:t>
      </w:r>
    </w:p>
    <w:p w14:paraId="6878FB04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Aplicación uniforme de reglas de elegibilidad en ambos sentidos del proceso.</w:t>
      </w:r>
    </w:p>
    <w:p w14:paraId="0442AAC3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Firma electrónica y sello digital con validez legal para los documentos generados.</w:t>
      </w:r>
    </w:p>
    <w:p w14:paraId="0C9DBA4F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Intercambio de información con IMSS, ProceSAR, RENAPO y CNSF mediante contratos de servicio documentados.</w:t>
      </w:r>
    </w:p>
    <w:p w14:paraId="1A011668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Cálculo del dictamen de beneficio pensionario combinando tiempos cotizados de ambos institutos.</w:t>
      </w:r>
    </w:p>
    <w:p w14:paraId="36C565FA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Trazabilidad completa del trámite, con bitácora y catálogo oficial de motivos de rechazo.</w:t>
      </w:r>
    </w:p>
    <w:p w14:paraId="4DE60BA0" w14:textId="77777777" w:rsidR="00823089" w:rsidRDefault="00000000">
      <w:pPr>
        <w:pStyle w:val="Ttulo1"/>
        <w:spacing w:before="320" w:after="160"/>
      </w:pPr>
      <w:bookmarkStart w:id="7" w:name="_Toc240956417"/>
      <w:r>
        <w:lastRenderedPageBreak/>
        <w:t>6. Restricciones</w:t>
      </w:r>
      <w:bookmarkEnd w:id="7"/>
    </w:p>
    <w:p w14:paraId="0D58D0DF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El acceso al módulo solo puede realizarse desde los portales institucionales SINAVID-OV o SIPE-AV.</w:t>
      </w:r>
    </w:p>
    <w:p w14:paraId="2351A307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La comunicación con institutos externos depende de la disponibilidad y estabilidad de sus servicios (IMSS, ProceSAR, RENAPO, CNSF, firma).</w:t>
      </w:r>
    </w:p>
    <w:p w14:paraId="0DE7F6DF" w14:textId="77777777" w:rsidR="00823089" w:rsidRDefault="00000000">
      <w:pPr>
        <w:pStyle w:val="Prrafodelista"/>
        <w:numPr>
          <w:ilvl w:val="0"/>
          <w:numId w:val="1"/>
        </w:numPr>
        <w:spacing w:after="60"/>
      </w:pPr>
      <w:r>
        <w:t>El alcance de este proyecto se limita al intercambio ISSSTE-IMSS.</w:t>
      </w:r>
    </w:p>
    <w:p w14:paraId="16F68CC0" w14:textId="77777777" w:rsidR="00823089" w:rsidRDefault="00000000">
      <w:pPr>
        <w:pStyle w:val="Ttulo1"/>
        <w:spacing w:before="320" w:after="160"/>
      </w:pPr>
      <w:bookmarkStart w:id="8" w:name="_Toc240956418"/>
      <w:r>
        <w:t>7. Rango de calidad</w:t>
      </w:r>
      <w:bookmarkEnd w:id="8"/>
    </w:p>
    <w:p w14:paraId="0B825D06" w14:textId="77777777" w:rsidR="00823089" w:rsidRDefault="00000000">
      <w:pPr>
        <w:spacing w:after="140"/>
      </w:pPr>
      <w:r>
        <w:t>Los requerimientos no funcionales (seguridad, interoperabilidad, trazabilidad, integridad documental, disponibilidad ante fallas de comunicación, cumplimiento normativo y usabilidad) se detallan en el documento FJL-F05-TD-Requerimientos Especiales y Casos de Uso.</w:t>
      </w:r>
    </w:p>
    <w:sectPr w:rsidR="00823089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E4EFE" w14:textId="77777777" w:rsidR="008B1191" w:rsidRDefault="008B1191">
      <w:r>
        <w:separator/>
      </w:r>
    </w:p>
  </w:endnote>
  <w:endnote w:type="continuationSeparator" w:id="0">
    <w:p w14:paraId="22422DC9" w14:textId="77777777" w:rsidR="008B1191" w:rsidRDefault="008B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56448" w14:textId="77777777" w:rsidR="00823089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8D7F0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8D7F0D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A0433" w14:textId="77777777" w:rsidR="008B1191" w:rsidRDefault="008B1191">
      <w:r>
        <w:separator/>
      </w:r>
    </w:p>
  </w:footnote>
  <w:footnote w:type="continuationSeparator" w:id="0">
    <w:p w14:paraId="00F65EA5" w14:textId="77777777" w:rsidR="008B1191" w:rsidRDefault="008B1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7644" w14:textId="77777777" w:rsidR="00823089" w:rsidRDefault="00000000">
    <w:pPr>
      <w:jc w:val="right"/>
    </w:pPr>
    <w:r>
      <w:rPr>
        <w:color w:val="808080"/>
        <w:sz w:val="16"/>
        <w:szCs w:val="16"/>
      </w:rPr>
      <w:t>FJL-F01-TD · Visión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682"/>
    <w:multiLevelType w:val="hybridMultilevel"/>
    <w:tmpl w:val="EDBAA28E"/>
    <w:lvl w:ilvl="0" w:tplc="CC1CF20A">
      <w:start w:val="1"/>
      <w:numFmt w:val="bullet"/>
      <w:lvlText w:val="●"/>
      <w:lvlJc w:val="left"/>
      <w:pPr>
        <w:ind w:left="720" w:hanging="360"/>
      </w:pPr>
    </w:lvl>
    <w:lvl w:ilvl="1" w:tplc="082CE846">
      <w:start w:val="1"/>
      <w:numFmt w:val="bullet"/>
      <w:lvlText w:val="○"/>
      <w:lvlJc w:val="left"/>
      <w:pPr>
        <w:ind w:left="1440" w:hanging="360"/>
      </w:pPr>
    </w:lvl>
    <w:lvl w:ilvl="2" w:tplc="521ED500">
      <w:start w:val="1"/>
      <w:numFmt w:val="bullet"/>
      <w:lvlText w:val="■"/>
      <w:lvlJc w:val="left"/>
      <w:pPr>
        <w:ind w:left="2160" w:hanging="360"/>
      </w:pPr>
    </w:lvl>
    <w:lvl w:ilvl="3" w:tplc="FE70BA4C">
      <w:start w:val="1"/>
      <w:numFmt w:val="bullet"/>
      <w:lvlText w:val="●"/>
      <w:lvlJc w:val="left"/>
      <w:pPr>
        <w:ind w:left="2880" w:hanging="360"/>
      </w:pPr>
    </w:lvl>
    <w:lvl w:ilvl="4" w:tplc="6D40C1E2">
      <w:start w:val="1"/>
      <w:numFmt w:val="bullet"/>
      <w:lvlText w:val="○"/>
      <w:lvlJc w:val="left"/>
      <w:pPr>
        <w:ind w:left="3600" w:hanging="360"/>
      </w:pPr>
    </w:lvl>
    <w:lvl w:ilvl="5" w:tplc="9ED4C1D2">
      <w:start w:val="1"/>
      <w:numFmt w:val="bullet"/>
      <w:lvlText w:val="■"/>
      <w:lvlJc w:val="left"/>
      <w:pPr>
        <w:ind w:left="4320" w:hanging="360"/>
      </w:pPr>
    </w:lvl>
    <w:lvl w:ilvl="6" w:tplc="2CE82A1A">
      <w:start w:val="1"/>
      <w:numFmt w:val="bullet"/>
      <w:lvlText w:val="●"/>
      <w:lvlJc w:val="left"/>
      <w:pPr>
        <w:ind w:left="5040" w:hanging="360"/>
      </w:pPr>
    </w:lvl>
    <w:lvl w:ilvl="7" w:tplc="768A28C6">
      <w:start w:val="1"/>
      <w:numFmt w:val="bullet"/>
      <w:lvlText w:val="●"/>
      <w:lvlJc w:val="left"/>
      <w:pPr>
        <w:ind w:left="5760" w:hanging="360"/>
      </w:pPr>
    </w:lvl>
    <w:lvl w:ilvl="8" w:tplc="84A8C6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C86722"/>
    <w:multiLevelType w:val="hybridMultilevel"/>
    <w:tmpl w:val="936878DE"/>
    <w:lvl w:ilvl="0" w:tplc="730E6164">
      <w:start w:val="1"/>
      <w:numFmt w:val="bullet"/>
      <w:lvlText w:val="•"/>
      <w:lvlJc w:val="left"/>
    </w:lvl>
    <w:lvl w:ilvl="1" w:tplc="CBA0310A">
      <w:numFmt w:val="decimal"/>
      <w:lvlText w:val=""/>
      <w:lvlJc w:val="left"/>
    </w:lvl>
    <w:lvl w:ilvl="2" w:tplc="D2408D74">
      <w:numFmt w:val="decimal"/>
      <w:lvlText w:val=""/>
      <w:lvlJc w:val="left"/>
    </w:lvl>
    <w:lvl w:ilvl="3" w:tplc="1658859A">
      <w:numFmt w:val="decimal"/>
      <w:lvlText w:val=""/>
      <w:lvlJc w:val="left"/>
    </w:lvl>
    <w:lvl w:ilvl="4" w:tplc="FF26F576">
      <w:numFmt w:val="decimal"/>
      <w:lvlText w:val=""/>
      <w:lvlJc w:val="left"/>
    </w:lvl>
    <w:lvl w:ilvl="5" w:tplc="658879DE">
      <w:numFmt w:val="decimal"/>
      <w:lvlText w:val=""/>
      <w:lvlJc w:val="left"/>
    </w:lvl>
    <w:lvl w:ilvl="6" w:tplc="A58A3A12">
      <w:numFmt w:val="decimal"/>
      <w:lvlText w:val=""/>
      <w:lvlJc w:val="left"/>
    </w:lvl>
    <w:lvl w:ilvl="7" w:tplc="0D303590">
      <w:numFmt w:val="decimal"/>
      <w:lvlText w:val=""/>
      <w:lvlJc w:val="left"/>
    </w:lvl>
    <w:lvl w:ilvl="8" w:tplc="451A727C">
      <w:numFmt w:val="decimal"/>
      <w:lvlText w:val=""/>
      <w:lvlJc w:val="left"/>
    </w:lvl>
  </w:abstractNum>
  <w:num w:numId="1" w16cid:durableId="723678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089"/>
    <w:rsid w:val="00705407"/>
    <w:rsid w:val="00823089"/>
    <w:rsid w:val="008B1191"/>
    <w:rsid w:val="008D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83E8"/>
  <w15:docId w15:val="{B3F29B7C-0E13-485E-A4D6-9B9FDCA2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8D7F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Props1.xml><?xml version="1.0" encoding="utf-8"?>
<ds:datastoreItem xmlns:ds="http://schemas.openxmlformats.org/officeDocument/2006/customXml" ds:itemID="{E8C86CDF-91F9-4780-A3AA-4F23B87978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7B1765-5DFC-4553-B7F5-F801C6D30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62588E-55F0-4078-B097-55F3F52D4214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944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FJL-F01-TD · Visión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2</cp:revision>
  <dcterms:created xsi:type="dcterms:W3CDTF">2026-07-29T18:20:00Z</dcterms:created>
  <dcterms:modified xsi:type="dcterms:W3CDTF">2026-09-22T13:59:00Z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