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FJL-F01-TD</w:t>
      </w:r>
    </w:p>
    <w:p>
      <w:pPr>
        <w:pStyle w:val="Title"/>
        <w:spacing w:after="200"/>
        <w:jc w:val="center"/>
      </w:pPr>
      <w:r>
        <w:t xml:space="preserve">Visión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 — Fase 2: Re-portabilidad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Final, Fase 2)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documento define la visión de la segunda fase del proyecto "Portabilidad de Derechos Pensionarios entre ISSSTE e IMSS", correspondiente a la habilitación de la re-portabilidad: la posibilidad de que un mismo derechohabiente realice más de un trámite de portabilidad de derechos a lo largo del tiempo.</w:t>
      </w:r>
    </w:p>
    <w:p>
      <w:pPr>
        <w:pStyle w:val="Heading1"/>
        <w:spacing w:after="160" w:before="320"/>
      </w:pPr>
      <w:r>
        <w:t xml:space="preserve">2. Descripción del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dxa" w:w="6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problema de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restringir a un único trámite de portabilidad por derechohabiente, cancelando el trámite anterior cada vez que se intentaba iniciar uno nuevo.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Afecta 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derechohabientes que, por su historial laboral, requieren portar sus derechos más de una vez a lo largo de su vida productiva.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impacto de ello es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pérdida de trazabilidad del trámite anterior al cancelarlo, y bloqueo del trámite en los procesos de consulta y aviso de estatus.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Una solución exitosa sería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permitir que los periodos ya marcados por una portabilidad previa puedan volver a consultarse y marcarse en un nuevo trámite, sin cancelar ni alterar el trámite anterior.</w:t>
            </w:r>
          </w:p>
        </w:tc>
      </w:tr>
    </w:tbl>
    <w:p>
      <w:pPr>
        <w:pStyle w:val="Heading1"/>
        <w:spacing w:after="160" w:before="320"/>
      </w:pPr>
      <w:r>
        <w:t xml:space="preserve">3. Objetivos de la fase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Permitir que un derechohabiente con un trámite de portabilidad concluido pueda iniciar un nuevo trámite sin que el anterior se cancele o se modifique.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Mantener la trazabilidad completa de cada trámite, incluyendo los casos de rechazo inmediato.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Conservar sin cambios las reglas de elegibilidad que no están relacionadas con la re-portabilidad.</w:t>
      </w:r>
    </w:p>
    <w:p>
      <w:pPr>
        <w:pStyle w:val="Heading1"/>
        <w:spacing w:after="160" w:before="320"/>
      </w:pPr>
      <w:r>
        <w:t xml:space="preserve">4. Alcance</w:t>
      </w:r>
    </w:p>
    <w:p>
      <w:pPr>
        <w:spacing w:after="140"/>
      </w:pPr>
      <w:r>
        <w:t xml:space="preserve">El alcance de esta fase se limita a los tres servicios que ISSSTE expone para el proceso entrante (IMSS inicia la portabilidad): Consulta Básica, Consulta Robusta y Aviso de Estatus de Transferencia. No se modifican los servicios del proceso saliente, ni la arquitectura tecnológica, ni las interfaces externas documentadas en la Fase 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FJL-F01-TD · Visión · Fase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FJL-F01-TD · Visión · Fase 2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2026-07-28T01:29:02.195Z</dcterms:created>
  <dcterms:modified xsi:type="dcterms:W3CDTF">2026-07-28T01:29:02.214Z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