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FJL-F01-TD</w:t>
      </w:r>
    </w:p>
    <w:p>
      <w:pPr>
        <w:pStyle w:val="Title"/>
        <w:spacing w:after="200"/>
        <w:jc w:val="center"/>
      </w:pPr>
      <w:r>
        <w:t xml:space="preserve">Visión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define la visión del proyecto "Portabilidad de Derechos Pensionarios entre ISSSTE e IMSS": el problema de negocio que atiende, el posicionamiento del producto, los perfiles de usuario involucrados y las características de más alto nivel del sistema. Sirve como referencia común para alinear expectativas entre el ISSSTE y el equipo de desarrollo a lo largo del proyecto.</w:t>
      </w:r>
    </w:p>
    <w:p>
      <w:pPr>
        <w:pStyle w:val="Heading1"/>
        <w:spacing w:after="160" w:before="320"/>
      </w:pPr>
      <w:r>
        <w:t xml:space="preserve">2. Descripción del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6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problema de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contar con un mecanismo sistematizado, auditable y con validez legal para tramitar la portabilidad de derechos pensionarios de un derechohabiente entre ISSSTE e IMSS.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Afecta 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los derechohabientes que cambian de instituto de seguridad social, al personal de ventanilla que atiende el trámite, y a ambos institutos como responsables de determinar la elegibilidad y el beneficio pensionario correspondiente.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impacto de ello 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trámites lentos, propensos a error humano, sin trazabilidad uniforme y sin una aplicación consistente de las reglas de elegibilidad entre ambos sentidos del proceso.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Una solución exitosa sería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 sistema que capture, valide, firme electrónicamente, intercambie información entre institutos y resuelva el trámite de portabilidad de forma consistente, auditable y trazable en ambos sentidos.</w:t>
            </w:r>
          </w:p>
        </w:tc>
      </w:tr>
    </w:tbl>
    <w:p>
      <w:pPr>
        <w:pStyle w:val="Heading1"/>
        <w:spacing w:after="160" w:before="320"/>
      </w:pPr>
      <w:r>
        <w:t xml:space="preserve">3. Sentencia de posición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6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ISSSTE y los derechohabientes que solicitan portabilidad de derechos pensionarios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Quien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requiere tramitar la portabilidad hacia o desde el IMSS de forma confiable y auditable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Portabilidad de Derechos Pensionarios entre ISSSTE e IMSS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captura, valida, firma electrónicamente y da seguimiento a la solicitud, coordinando el intercambio con IMSS, ProceSAR, RENAPO y la CNSF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diferencia de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 proceso manual o disperso sin reglas de elegibilidad uniformes ni trazabilidad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Nuestro producto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aplica un catálogo único de reglas de negocio y motivos de rechazo, genera documentos con validez legal y mantiene bitácora completa del trámite</w:t>
            </w:r>
          </w:p>
        </w:tc>
      </w:tr>
    </w:tbl>
    <w:p>
      <w:pPr>
        <w:pStyle w:val="Heading1"/>
        <w:spacing w:after="160" w:before="320"/>
      </w:pPr>
      <w:r>
        <w:t xml:space="preserve">4. Perfiles de usuario / interesados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dxa" w:w="67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 en el proyecto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Derechohabiente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Titular de derechos pensionarios que solicita, o de quien se solicita, la portabilidad.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Usuario de ventanilla ISSSTE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Captura y da seguimiento a la solicitud desde SINAVID-OV o SIPE-AV.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Instituto contraparte; expone y consume servicios equivalentes a los de ISSSTE.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ProceSAR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Concesionaria de la Base de Datos Nacional del SAR; gestiona el trámite del lado de las cuentas individuales/AFORE.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CNSF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Comisión Nacional de Seguros y Fianzas, órgano desconcentrado de la SHCP; su servicio se consume para completar la determinación del beneficio pensionario.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Área de Pensiones ISSSTE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 el derecho y calcula el dictamen de beneficio pensionario.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Área de Afiliación y Vigencia ISSSTE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Origina las consultas de beneficio de pensión y opera el módulo de captura.</w:t>
            </w:r>
          </w:p>
        </w:tc>
      </w:tr>
    </w:tbl>
    <w:p>
      <w:pPr>
        <w:pStyle w:val="Heading1"/>
        <w:spacing w:after="160" w:before="320"/>
      </w:pPr>
      <w:r>
        <w:t xml:space="preserve">5. Necesidades y características de alto nivel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Captura y validación de identidad del derechohabiente (CURP contra RENAPO, datos de la BDUD).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Aplicación uniforme de reglas de elegibilidad en ambos sentidos del proceso.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Firma electrónica y sello digital con validez legal para los documentos generados.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Intercambio de información con IMSS, ProceSAR, RENAPO y CNSF mediante contratos de servicio documentados.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Cálculo del dictamen de beneficio pensionario combinando tiempos cotizados de ambos institutos.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Trazabilidad completa del trámite, con bitácora y catálogo oficial de motivos de rechazo.</w:t>
      </w:r>
    </w:p>
    <w:p>
      <w:pPr>
        <w:pStyle w:val="Heading1"/>
        <w:spacing w:after="160" w:before="320"/>
      </w:pPr>
      <w:r>
        <w:t xml:space="preserve">6. Restricciones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acceso al módulo solo puede realizarse desde los portales institucionales SINAVID-OV o SIPE-AV.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comunicación con institutos externos depende de la disponibilidad y estabilidad de sus servicios (IMSS, ProceSAR, RENAPO, CNSF, firma).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alcance de este proyecto se limita al intercambio ISSSTE-IMSS.</w:t>
      </w:r>
    </w:p>
    <w:p>
      <w:pPr>
        <w:pStyle w:val="Heading1"/>
        <w:spacing w:after="160" w:before="320"/>
      </w:pPr>
      <w:r>
        <w:t xml:space="preserve">7. Rango de calidad</w:t>
      </w:r>
    </w:p>
    <w:p>
      <w:pPr>
        <w:spacing w:after="140"/>
      </w:pPr>
      <w:r>
        <w:t xml:space="preserve">Los requerimientos no funcionales (seguridad, interoperabilidad, trazabilidad, integridad documental, disponibilidad ante fallas de comunicación, cumplimiento normativo y usabilidad) se detallan en el documento FJL-F05-TD-Requerimientos Especiales y Casos de Uso.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FJL-F01-TD · Visión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FJL-F01-TD · Visión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2026-07-28T00:58:38.669Z</dcterms:created>
  <dcterms:modified xsi:type="dcterms:W3CDTF">2026-07-28T00:58:38.670Z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