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FJL-F03-TD</w:t>
      </w:r>
    </w:p>
    <w:p>
      <w:pPr>
        <w:pStyle w:val="Title"/>
        <w:spacing w:after="200"/>
        <w:jc w:val="center"/>
      </w:pPr>
      <w:r>
        <w:t xml:space="preserve">Diagnóstico Conceptual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complementa el Diagnóstico Conceptual de la Fase 1 con la semántica confirmada del valor 410 en la columna uso_pen de la tabla cuenta_ind.</w:t>
      </w:r>
    </w:p>
    <w:p>
      <w:pPr>
        <w:pStyle w:val="Heading1"/>
        <w:spacing w:after="160" w:before="320"/>
      </w:pPr>
      <w:r>
        <w:t xml:space="preserve">2. Precisión del modelo conceptual</w:t>
      </w:r>
    </w:p>
    <w:p>
      <w:pPr>
        <w:spacing w:after="140"/>
      </w:pPr>
      <w:r>
        <w:t xml:space="preserve">No se incorporan nuevas entidades ni tablas en esta fase. Se confirma que el valor 410 en cuenta_ind.uso_pen corresponde a la marca de portabilidad/re-portabilidad: identifica un periodo de cotización que ya fue reportado y marcado como parte de un trámite de portabilidad, y que puede volver a consultarse y marcarse en un trámite posterior.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valores entre 400 y 430 (distintos de 410) siguen representando marcas de impedimento bloqueantes, sin cambios respecto de la Fase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resto del modelo de datos documentado en la Fase 1 (FJL-F03) no sufre modificaciones en esta fase.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FJL-F03-TD · Diagnóstico Conceptual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FJL-F03-TD · Diagnóstico Conceptual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2026-07-28T01:29:02.930Z</dcterms:created>
  <dcterms:modified xsi:type="dcterms:W3CDTF">2026-07-28T01:29:02.930Z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