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08080"/>
          <w:sz w:val="20"/>
          <w:szCs w:val="20"/>
        </w:rPr>
        <w:t xml:space="preserve">FJL-F05-TD</w:t>
      </w:r>
    </w:p>
    <w:p>
      <w:pPr>
        <w:pStyle w:val="Title"/>
        <w:spacing w:after="200"/>
        <w:jc w:val="center"/>
      </w:pPr>
      <w:r>
        <w:t xml:space="preserve">Requerimientos Especiales y Casos de Uso</w:t>
      </w:r>
    </w:p>
    <w:p>
      <w:pPr>
        <w:spacing w:after="100"/>
        <w:jc w:val="center"/>
      </w:pPr>
      <w:r>
        <w:rPr>
          <w:b/>
          <w:bCs/>
          <w:sz w:val="26"/>
          <w:szCs w:val="26"/>
        </w:rPr>
        <w:t xml:space="preserve">Portabilidad de Derechos Pensionarios entre ISSSTE e IMSS</w:t>
      </w:r>
    </w:p>
    <w:p>
      <w:pPr>
        <w:spacing w:after="400"/>
        <w:jc w:val="center"/>
      </w:pPr>
      <w:r>
        <w:rPr>
          <w:i/>
          <w:iCs/>
          <w:color w:val="595959"/>
          <w:sz w:val="20"/>
          <w:szCs w:val="20"/>
        </w:rPr>
        <w:t xml:space="preserve">Entregable para Instituto de Seguridad y Servicios Sociales de los Trabajadores del Estado (ISSSTE) — Versión 1.0 (Entrega Final)</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Requerimientos especiales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shd w:fill="DCE6F1" w:val="clear"/>
            <w:tcMar>
              <w:top w:type="dxa" w:w="80"/>
              <w:left w:type="dxa" w:w="100"/>
              <w:bottom w:type="dxa" w:w="80"/>
              <w:right w:type="dxa" w:w="100"/>
            </w:tcMar>
          </w:tcPr>
          <w:p>
            <w:r>
              <w:rPr>
                <w:b/>
                <w:bCs/>
              </w:rPr>
              <w:t xml:space="preserve">ID</w:t>
            </w:r>
          </w:p>
        </w:tc>
        <w:tc>
          <w:tcPr>
            <w:tcW w:type="dxa" w:w="2200"/>
            <w:shd w:fill="DCE6F1" w:val="clear"/>
            <w:tcMar>
              <w:top w:type="dxa" w:w="80"/>
              <w:left w:type="dxa" w:w="100"/>
              <w:bottom w:type="dxa" w:w="80"/>
              <w:right w:type="dxa" w:w="100"/>
            </w:tcMar>
          </w:tcPr>
          <w:p>
            <w:r>
              <w:rPr>
                <w:b/>
                <w:bCs/>
              </w:rPr>
              <w:t xml:space="preserve">Categoría</w:t>
            </w:r>
          </w:p>
        </w:tc>
        <w:tc>
          <w:tcPr>
            <w:tcW w:type="dxa" w:w="6260"/>
            <w:shd w:fill="DCE6F1" w:val="clear"/>
            <w:tcMar>
              <w:top w:type="dxa" w:w="80"/>
              <w:left w:type="dxa" w:w="100"/>
              <w:bottom w:type="dxa" w:w="80"/>
              <w:right w:type="dxa" w:w="100"/>
            </w:tcMar>
          </w:tcPr>
          <w:p>
            <w:r>
              <w:rPr>
                <w:b/>
                <w:bCs/>
              </w:rPr>
              <w:t xml:space="preserve">Descripción</w:t>
            </w:r>
          </w:p>
        </w:tc>
      </w:tr>
      <w:tr>
        <w:tc>
          <w:tcPr>
            <w:tcW w:type="dxa" w:w="900"/>
            <w:tcMar>
              <w:top w:type="dxa" w:w="80"/>
              <w:left w:type="dxa" w:w="100"/>
              <w:bottom w:type="dxa" w:w="80"/>
              <w:right w:type="dxa" w:w="100"/>
            </w:tcMar>
          </w:tcPr>
          <w:p>
            <w:r>
              <w:rPr>
                <w:b w:val="false"/>
                <w:bCs w:val="false"/>
              </w:rPr>
              <w:t xml:space="preserve">RNF-01</w:t>
            </w:r>
          </w:p>
        </w:tc>
        <w:tc>
          <w:tcPr>
            <w:tcW w:type="dxa" w:w="2200"/>
            <w:tcMar>
              <w:top w:type="dxa" w:w="80"/>
              <w:left w:type="dxa" w:w="100"/>
              <w:bottom w:type="dxa" w:w="80"/>
              <w:right w:type="dxa" w:w="100"/>
            </w:tcMar>
          </w:tcPr>
          <w:p>
            <w:r>
              <w:rPr>
                <w:b w:val="false"/>
                <w:bCs w:val="false"/>
              </w:rPr>
              <w:t xml:space="preserve">Seguridad</w:t>
            </w:r>
          </w:p>
        </w:tc>
        <w:tc>
          <w:tcPr>
            <w:tcW w:type="dxa" w:w="6260"/>
            <w:tcMar>
              <w:top w:type="dxa" w:w="80"/>
              <w:left w:type="dxa" w:w="100"/>
              <w:bottom w:type="dxa" w:w="80"/>
              <w:right w:type="dxa" w:w="100"/>
            </w:tcMar>
          </w:tcPr>
          <w:p>
            <w:r>
              <w:rPr>
                <w:b w:val="false"/>
                <w:bCs w:val="false"/>
              </w:rPr>
              <w:t xml:space="preserve">Todo dato de identidad, certificado, llave privada y contraseña de firma deberá almacenarse y transmitirse encriptado; ninguna credencial deberá difundirse ni ser manipulada directamente por un usuario.</w:t>
            </w:r>
          </w:p>
        </w:tc>
      </w:tr>
      <w:tr>
        <w:tc>
          <w:tcPr>
            <w:tcW w:type="dxa" w:w="900"/>
            <w:tcMar>
              <w:top w:type="dxa" w:w="80"/>
              <w:left w:type="dxa" w:w="100"/>
              <w:bottom w:type="dxa" w:w="80"/>
              <w:right w:type="dxa" w:w="100"/>
            </w:tcMar>
          </w:tcPr>
          <w:p>
            <w:r>
              <w:rPr>
                <w:b w:val="false"/>
                <w:bCs w:val="false"/>
              </w:rPr>
              <w:t xml:space="preserve">RNF-02</w:t>
            </w:r>
          </w:p>
        </w:tc>
        <w:tc>
          <w:tcPr>
            <w:tcW w:type="dxa" w:w="2200"/>
            <w:tcMar>
              <w:top w:type="dxa" w:w="80"/>
              <w:left w:type="dxa" w:w="100"/>
              <w:bottom w:type="dxa" w:w="80"/>
              <w:right w:type="dxa" w:w="100"/>
            </w:tcMar>
          </w:tcPr>
          <w:p>
            <w:r>
              <w:rPr>
                <w:b w:val="false"/>
                <w:bCs w:val="false"/>
              </w:rPr>
              <w:t xml:space="preserve">Interoperabilidad</w:t>
            </w:r>
          </w:p>
        </w:tc>
        <w:tc>
          <w:tcPr>
            <w:tcW w:type="dxa" w:w="6260"/>
            <w:tcMar>
              <w:top w:type="dxa" w:w="80"/>
              <w:left w:type="dxa" w:w="100"/>
              <w:bottom w:type="dxa" w:w="80"/>
              <w:right w:type="dxa" w:w="100"/>
            </w:tcMar>
          </w:tcPr>
          <w:p>
            <w:r>
              <w:rPr>
                <w:b w:val="false"/>
                <w:bCs w:val="false"/>
              </w:rPr>
              <w:t xml:space="preserve">La comunicación con IMSS, ProceSAR, RENAPO y los servicios de firma/CNSF deberá realizarse mediante contratos de servicio formalmente documentados (WSDL/REST) y versionados.</w:t>
            </w:r>
          </w:p>
        </w:tc>
      </w:tr>
      <w:tr>
        <w:tc>
          <w:tcPr>
            <w:tcW w:type="dxa" w:w="900"/>
            <w:tcMar>
              <w:top w:type="dxa" w:w="80"/>
              <w:left w:type="dxa" w:w="100"/>
              <w:bottom w:type="dxa" w:w="80"/>
              <w:right w:type="dxa" w:w="100"/>
            </w:tcMar>
          </w:tcPr>
          <w:p>
            <w:r>
              <w:rPr>
                <w:b w:val="false"/>
                <w:bCs w:val="false"/>
              </w:rPr>
              <w:t xml:space="preserve">RNF-03</w:t>
            </w:r>
          </w:p>
        </w:tc>
        <w:tc>
          <w:tcPr>
            <w:tcW w:type="dxa" w:w="2200"/>
            <w:tcMar>
              <w:top w:type="dxa" w:w="80"/>
              <w:left w:type="dxa" w:w="100"/>
              <w:bottom w:type="dxa" w:w="80"/>
              <w:right w:type="dxa" w:w="100"/>
            </w:tcMar>
          </w:tcPr>
          <w:p>
            <w:r>
              <w:rPr>
                <w:b w:val="false"/>
                <w:bCs w:val="false"/>
              </w:rPr>
              <w:t xml:space="preserve">Trazabilidad y auditoría</w:t>
            </w:r>
          </w:p>
        </w:tc>
        <w:tc>
          <w:tcPr>
            <w:tcW w:type="dxa" w:w="6260"/>
            <w:tcMar>
              <w:top w:type="dxa" w:w="80"/>
              <w:left w:type="dxa" w:w="100"/>
              <w:bottom w:type="dxa" w:w="80"/>
              <w:right w:type="dxa" w:w="100"/>
            </w:tcMar>
          </w:tcPr>
          <w:p>
            <w:r>
              <w:rPr>
                <w:b w:val="false"/>
                <w:bCs w:val="false"/>
              </w:rPr>
              <w:t xml:space="preserve">Todo cambio de estatus de una solicitud y todo marcado de periodos en la cuenta individual deberá quedar bitacorizado con folio, fecha/hora y origen de la operación.</w:t>
            </w:r>
          </w:p>
        </w:tc>
      </w:tr>
      <w:tr>
        <w:tc>
          <w:tcPr>
            <w:tcW w:type="dxa" w:w="900"/>
            <w:tcMar>
              <w:top w:type="dxa" w:w="80"/>
              <w:left w:type="dxa" w:w="100"/>
              <w:bottom w:type="dxa" w:w="80"/>
              <w:right w:type="dxa" w:w="100"/>
            </w:tcMar>
          </w:tcPr>
          <w:p>
            <w:r>
              <w:rPr>
                <w:b w:val="false"/>
                <w:bCs w:val="false"/>
              </w:rPr>
              <w:t xml:space="preserve">RNF-04</w:t>
            </w:r>
          </w:p>
        </w:tc>
        <w:tc>
          <w:tcPr>
            <w:tcW w:type="dxa" w:w="2200"/>
            <w:tcMar>
              <w:top w:type="dxa" w:w="80"/>
              <w:left w:type="dxa" w:w="100"/>
              <w:bottom w:type="dxa" w:w="80"/>
              <w:right w:type="dxa" w:w="100"/>
            </w:tcMar>
          </w:tcPr>
          <w:p>
            <w:r>
              <w:rPr>
                <w:b w:val="false"/>
                <w:bCs w:val="false"/>
              </w:rPr>
              <w:t xml:space="preserve">Integridad documental</w:t>
            </w:r>
          </w:p>
        </w:tc>
        <w:tc>
          <w:tcPr>
            <w:tcW w:type="dxa" w:w="6260"/>
            <w:tcMar>
              <w:top w:type="dxa" w:w="80"/>
              <w:left w:type="dxa" w:w="100"/>
              <w:bottom w:type="dxa" w:w="80"/>
              <w:right w:type="dxa" w:w="100"/>
            </w:tcMar>
          </w:tcPr>
          <w:p>
            <w:r>
              <w:rPr>
                <w:b w:val="false"/>
                <w:bCs w:val="false"/>
              </w:rPr>
              <w:t xml:space="preserve">La Resolución de Transferencia de Derechos deberá incluir un sello digital encriptado, generado con un certificado propio del Instituto, que garantice su integridad.</w:t>
            </w:r>
          </w:p>
        </w:tc>
      </w:tr>
      <w:tr>
        <w:tc>
          <w:tcPr>
            <w:tcW w:type="dxa" w:w="900"/>
            <w:tcMar>
              <w:top w:type="dxa" w:w="80"/>
              <w:left w:type="dxa" w:w="100"/>
              <w:bottom w:type="dxa" w:w="80"/>
              <w:right w:type="dxa" w:w="100"/>
            </w:tcMar>
          </w:tcPr>
          <w:p>
            <w:r>
              <w:rPr>
                <w:b w:val="false"/>
                <w:bCs w:val="false"/>
              </w:rPr>
              <w:t xml:space="preserve">RNF-05</w:t>
            </w:r>
          </w:p>
        </w:tc>
        <w:tc>
          <w:tcPr>
            <w:tcW w:type="dxa" w:w="2200"/>
            <w:tcMar>
              <w:top w:type="dxa" w:w="80"/>
              <w:left w:type="dxa" w:w="100"/>
              <w:bottom w:type="dxa" w:w="80"/>
              <w:right w:type="dxa" w:w="100"/>
            </w:tcMar>
          </w:tcPr>
          <w:p>
            <w:r>
              <w:rPr>
                <w:b w:val="false"/>
                <w:bCs w:val="false"/>
              </w:rPr>
              <w:t xml:space="preserve">Disponibilidad ante fallas de comunicación</w:t>
            </w:r>
          </w:p>
        </w:tc>
        <w:tc>
          <w:tcPr>
            <w:tcW w:type="dxa" w:w="6260"/>
            <w:tcMar>
              <w:top w:type="dxa" w:w="80"/>
              <w:left w:type="dxa" w:w="100"/>
              <w:bottom w:type="dxa" w:w="80"/>
              <w:right w:type="dxa" w:w="100"/>
            </w:tcMar>
          </w:tcPr>
          <w:p>
            <w:r>
              <w:rPr>
                <w:b w:val="false"/>
                <w:bCs w:val="false"/>
              </w:rPr>
              <w:t xml:space="preserve">El sistema deberá manejar de forma explícita y catalogada cada falla de comunicación con los servicios externos (RENAPO, IMSS, ProceSAR, CNSF, firma), informando al usuario sin perder la información ya capturada. Cuando el trámite se origina en ISSSTE, al ser un proceso secuencial no existe un tiempo de espera (SLA) entre estatus: cualquier falla o ausencia de respuesta de un servicio externo se interpreta como rechazo, con su motivo correspondiente.</w:t>
            </w:r>
          </w:p>
        </w:tc>
      </w:tr>
      <w:tr>
        <w:tc>
          <w:tcPr>
            <w:tcW w:type="dxa" w:w="900"/>
            <w:tcMar>
              <w:top w:type="dxa" w:w="80"/>
              <w:left w:type="dxa" w:w="100"/>
              <w:bottom w:type="dxa" w:w="80"/>
              <w:right w:type="dxa" w:w="100"/>
            </w:tcMar>
          </w:tcPr>
          <w:p>
            <w:r>
              <w:rPr>
                <w:b w:val="false"/>
                <w:bCs w:val="false"/>
              </w:rPr>
              <w:t xml:space="preserve">RNF-06</w:t>
            </w:r>
          </w:p>
        </w:tc>
        <w:tc>
          <w:tcPr>
            <w:tcW w:type="dxa" w:w="2200"/>
            <w:tcMar>
              <w:top w:type="dxa" w:w="80"/>
              <w:left w:type="dxa" w:w="100"/>
              <w:bottom w:type="dxa" w:w="80"/>
              <w:right w:type="dxa" w:w="100"/>
            </w:tcMar>
          </w:tcPr>
          <w:p>
            <w:r>
              <w:rPr>
                <w:b w:val="false"/>
                <w:bCs w:val="false"/>
              </w:rPr>
              <w:t xml:space="preserve">Cumplimiento normativo</w:t>
            </w:r>
          </w:p>
        </w:tc>
        <w:tc>
          <w:tcPr>
            <w:tcW w:type="dxa" w:w="6260"/>
            <w:tcMar>
              <w:top w:type="dxa" w:w="80"/>
              <w:left w:type="dxa" w:w="100"/>
              <w:bottom w:type="dxa" w:w="80"/>
              <w:right w:type="dxa" w:w="100"/>
            </w:tcMar>
          </w:tcPr>
          <w:p>
            <w:r>
              <w:rPr>
                <w:b w:val="false"/>
                <w:bCs w:val="false"/>
              </w:rPr>
              <w:t xml:space="preserve">El cálculo de tiempo cotizado, régimen y elegibilidad de pensión deberá alinearse a la normativa vigente en materia de portabilidad de derechos entre ISSSTE e IMSS.</w:t>
            </w:r>
          </w:p>
        </w:tc>
      </w:tr>
      <w:tr>
        <w:tc>
          <w:tcPr>
            <w:tcW w:type="dxa" w:w="900"/>
            <w:tcMar>
              <w:top w:type="dxa" w:w="80"/>
              <w:left w:type="dxa" w:w="100"/>
              <w:bottom w:type="dxa" w:w="80"/>
              <w:right w:type="dxa" w:w="100"/>
            </w:tcMar>
          </w:tcPr>
          <w:p>
            <w:r>
              <w:rPr>
                <w:b w:val="false"/>
                <w:bCs w:val="false"/>
              </w:rPr>
              <w:t xml:space="preserve">RNF-07</w:t>
            </w:r>
          </w:p>
        </w:tc>
        <w:tc>
          <w:tcPr>
            <w:tcW w:type="dxa" w:w="2200"/>
            <w:tcMar>
              <w:top w:type="dxa" w:w="80"/>
              <w:left w:type="dxa" w:w="100"/>
              <w:bottom w:type="dxa" w:w="80"/>
              <w:right w:type="dxa" w:w="100"/>
            </w:tcMar>
          </w:tcPr>
          <w:p>
            <w:r>
              <w:rPr>
                <w:b w:val="false"/>
                <w:bCs w:val="false"/>
              </w:rPr>
              <w:t xml:space="preserve">Usabilidad</w:t>
            </w:r>
          </w:p>
        </w:tc>
        <w:tc>
          <w:tcPr>
            <w:tcW w:type="dxa" w:w="6260"/>
            <w:tcMar>
              <w:top w:type="dxa" w:w="80"/>
              <w:left w:type="dxa" w:w="100"/>
              <w:bottom w:type="dxa" w:w="80"/>
              <w:right w:type="dxa" w:w="100"/>
            </w:tcMar>
          </w:tcPr>
          <w:p>
            <w:r>
              <w:rPr>
                <w:b w:val="false"/>
                <w:bCs w:val="false"/>
              </w:rPr>
              <w:t xml:space="preserve">La interfaz de captura deberá presentar de forma guiada los datos recuperados automáticamente, minimizando la captura manual y el riesgo de error humano.</w:t>
            </w:r>
          </w:p>
        </w:tc>
      </w:tr>
    </w:tbl>
    <w:p>
      <w:pPr>
        <w:pStyle w:val="Heading1"/>
        <w:spacing w:after="160" w:before="320"/>
      </w:pPr>
      <w:r>
        <w:t xml:space="preserve">2. Diagrama de casos de uso</w:t>
      </w:r>
    </w:p>
    <w:p>
      <w:pPr>
        <w:spacing w:after="60"/>
        <w:jc w:val="center"/>
      </w:pPr>
      <w:r>
        <w:drawing>
          <wp:inline distT="0" distB="0" distL="0" distR="0">
            <wp:extent cx="5715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i/>
          <w:iCs/>
          <w:color w:val="595959"/>
          <w:sz w:val="18"/>
          <w:szCs w:val="18"/>
        </w:rPr>
        <w:t xml:space="preserve">Diagrama de casos de uso del sistema</w:t>
      </w:r>
    </w:p>
    <w:p>
      <w:pPr>
        <w:pStyle w:val="Heading1"/>
        <w:spacing w:after="160" w:before="320"/>
      </w:pPr>
      <w:r>
        <w:t xml:space="preserve">3. Catálogo de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460"/>
      </w:tblGrid>
      <w:tr>
        <w:trPr>
          <w:tblHeader/>
        </w:trPr>
        <w:tc>
          <w:tcPr>
            <w:tcW w:type="dxa" w:w="900"/>
            <w:shd w:fill="DCE6F1" w:val="clear"/>
            <w:tcMar>
              <w:top w:type="dxa" w:w="80"/>
              <w:left w:type="dxa" w:w="100"/>
              <w:bottom w:type="dxa" w:w="80"/>
              <w:right w:type="dxa" w:w="100"/>
            </w:tcMar>
          </w:tcPr>
          <w:p>
            <w:r>
              <w:rPr>
                <w:b/>
                <w:bCs/>
              </w:rPr>
              <w:t xml:space="preserve">ID</w:t>
            </w:r>
          </w:p>
        </w:tc>
        <w:tc>
          <w:tcPr>
            <w:tcW w:type="dxa" w:w="6000"/>
            <w:shd w:fill="DCE6F1" w:val="clear"/>
            <w:tcMar>
              <w:top w:type="dxa" w:w="80"/>
              <w:left w:type="dxa" w:w="100"/>
              <w:bottom w:type="dxa" w:w="80"/>
              <w:right w:type="dxa" w:w="100"/>
            </w:tcMar>
          </w:tcPr>
          <w:p>
            <w:r>
              <w:rPr>
                <w:b/>
                <w:bCs/>
              </w:rPr>
              <w:t xml:space="preserve">Nombre</w:t>
            </w:r>
          </w:p>
        </w:tc>
        <w:tc>
          <w:tcPr>
            <w:tcW w:type="dxa" w:w="2460"/>
            <w:shd w:fill="DCE6F1" w:val="clear"/>
            <w:tcMar>
              <w:top w:type="dxa" w:w="80"/>
              <w:left w:type="dxa" w:w="100"/>
              <w:bottom w:type="dxa" w:w="80"/>
              <w:right w:type="dxa" w:w="100"/>
            </w:tcMar>
          </w:tcPr>
          <w:p>
            <w:r>
              <w:rPr>
                <w:b/>
                <w:bCs/>
              </w:rPr>
              <w:t xml:space="preserve">Actor principal</w:t>
            </w:r>
          </w:p>
        </w:tc>
      </w:tr>
      <w:tr>
        <w:tc>
          <w:tcPr>
            <w:tcW w:type="dxa" w:w="900"/>
            <w:tcMar>
              <w:top w:type="dxa" w:w="80"/>
              <w:left w:type="dxa" w:w="100"/>
              <w:bottom w:type="dxa" w:w="80"/>
              <w:right w:type="dxa" w:w="100"/>
            </w:tcMar>
          </w:tcPr>
          <w:p>
            <w:r>
              <w:rPr>
                <w:b w:val="false"/>
                <w:bCs w:val="false"/>
              </w:rPr>
              <w:t xml:space="preserve">UC-01</w:t>
            </w:r>
          </w:p>
        </w:tc>
        <w:tc>
          <w:tcPr>
            <w:tcW w:type="dxa" w:w="6000"/>
            <w:tcMar>
              <w:top w:type="dxa" w:w="80"/>
              <w:left w:type="dxa" w:w="100"/>
              <w:bottom w:type="dxa" w:w="80"/>
              <w:right w:type="dxa" w:w="100"/>
            </w:tcMar>
          </w:tcPr>
          <w:p>
            <w:r>
              <w:rPr>
                <w:b w:val="false"/>
                <w:bCs w:val="false"/>
              </w:rPr>
              <w:t xml:space="preserve">Registrar solicitud de portabilidad (proceso saliente)</w:t>
            </w:r>
          </w:p>
        </w:tc>
        <w:tc>
          <w:tcPr>
            <w:tcW w:type="dxa" w:w="2460"/>
            <w:tcMar>
              <w:top w:type="dxa" w:w="80"/>
              <w:left w:type="dxa" w:w="100"/>
              <w:bottom w:type="dxa" w:w="80"/>
              <w:right w:type="dxa" w:w="100"/>
            </w:tcMar>
          </w:tcPr>
          <w:p>
            <w:r>
              <w:rPr>
                <w:b w:val="false"/>
                <w:bCs w:val="false"/>
              </w:rPr>
              <w:t xml:space="preserve">Usuario de ventanilla ISSSTE</w:t>
            </w:r>
          </w:p>
        </w:tc>
      </w:tr>
      <w:tr>
        <w:tc>
          <w:tcPr>
            <w:tcW w:type="dxa" w:w="900"/>
            <w:tcMar>
              <w:top w:type="dxa" w:w="80"/>
              <w:left w:type="dxa" w:w="100"/>
              <w:bottom w:type="dxa" w:w="80"/>
              <w:right w:type="dxa" w:w="100"/>
            </w:tcMar>
          </w:tcPr>
          <w:p>
            <w:r>
              <w:rPr>
                <w:b w:val="false"/>
                <w:bCs w:val="false"/>
              </w:rPr>
              <w:t xml:space="preserve">UC-02</w:t>
            </w:r>
          </w:p>
        </w:tc>
        <w:tc>
          <w:tcPr>
            <w:tcW w:type="dxa" w:w="6000"/>
            <w:tcMar>
              <w:top w:type="dxa" w:w="80"/>
              <w:left w:type="dxa" w:w="100"/>
              <w:bottom w:type="dxa" w:w="80"/>
              <w:right w:type="dxa" w:w="100"/>
            </w:tcMar>
          </w:tcPr>
          <w:p>
            <w:r>
              <w:rPr>
                <w:b w:val="false"/>
                <w:bCs w:val="false"/>
              </w:rPr>
              <w:t xml:space="preserve">Consultar estatus y periodos ante IMSS y ProceSAR</w:t>
            </w:r>
          </w:p>
        </w:tc>
        <w:tc>
          <w:tcPr>
            <w:tcW w:type="dxa" w:w="2460"/>
            <w:tcMar>
              <w:top w:type="dxa" w:w="80"/>
              <w:left w:type="dxa" w:w="100"/>
              <w:bottom w:type="dxa" w:w="80"/>
              <w:right w:type="dxa" w:w="100"/>
            </w:tcMar>
          </w:tcPr>
          <w:p>
            <w:r>
              <w:rPr>
                <w:b w:val="false"/>
                <w:bCs w:val="false"/>
              </w:rPr>
              <w:t xml:space="preserve">Sistema (automático)</w:t>
            </w:r>
          </w:p>
        </w:tc>
      </w:tr>
      <w:tr>
        <w:tc>
          <w:tcPr>
            <w:tcW w:type="dxa" w:w="900"/>
            <w:tcMar>
              <w:top w:type="dxa" w:w="80"/>
              <w:left w:type="dxa" w:w="100"/>
              <w:bottom w:type="dxa" w:w="80"/>
              <w:right w:type="dxa" w:w="100"/>
            </w:tcMar>
          </w:tcPr>
          <w:p>
            <w:r>
              <w:rPr>
                <w:b w:val="false"/>
                <w:bCs w:val="false"/>
              </w:rPr>
              <w:t xml:space="preserve">UC-03</w:t>
            </w:r>
          </w:p>
        </w:tc>
        <w:tc>
          <w:tcPr>
            <w:tcW w:type="dxa" w:w="6000"/>
            <w:tcMar>
              <w:top w:type="dxa" w:w="80"/>
              <w:left w:type="dxa" w:w="100"/>
              <w:bottom w:type="dxa" w:w="80"/>
              <w:right w:type="dxa" w:w="100"/>
            </w:tcMar>
          </w:tcPr>
          <w:p>
            <w:r>
              <w:rPr>
                <w:b w:val="false"/>
                <w:bCs w:val="false"/>
              </w:rPr>
              <w:t xml:space="preserve">Atender consulta de portabilidad entrante de IMSS</w:t>
            </w:r>
          </w:p>
        </w:tc>
        <w:tc>
          <w:tcPr>
            <w:tcW w:type="dxa" w:w="2460"/>
            <w:tcMar>
              <w:top w:type="dxa" w:w="80"/>
              <w:left w:type="dxa" w:w="100"/>
              <w:bottom w:type="dxa" w:w="80"/>
              <w:right w:type="dxa" w:w="100"/>
            </w:tcMar>
          </w:tcPr>
          <w:p>
            <w:r>
              <w:rPr>
                <w:b w:val="false"/>
                <w:bCs w:val="false"/>
              </w:rPr>
              <w:t xml:space="preserve">IMSS</w:t>
            </w:r>
          </w:p>
        </w:tc>
      </w:tr>
      <w:tr>
        <w:tc>
          <w:tcPr>
            <w:tcW w:type="dxa" w:w="900"/>
            <w:tcMar>
              <w:top w:type="dxa" w:w="80"/>
              <w:left w:type="dxa" w:w="100"/>
              <w:bottom w:type="dxa" w:w="80"/>
              <w:right w:type="dxa" w:w="100"/>
            </w:tcMar>
          </w:tcPr>
          <w:p>
            <w:r>
              <w:rPr>
                <w:b w:val="false"/>
                <w:bCs w:val="false"/>
              </w:rPr>
              <w:t xml:space="preserve">UC-04</w:t>
            </w:r>
          </w:p>
        </w:tc>
        <w:tc>
          <w:tcPr>
            <w:tcW w:type="dxa" w:w="6000"/>
            <w:tcMar>
              <w:top w:type="dxa" w:w="80"/>
              <w:left w:type="dxa" w:w="100"/>
              <w:bottom w:type="dxa" w:w="80"/>
              <w:right w:type="dxa" w:w="100"/>
            </w:tcMar>
          </w:tcPr>
          <w:p>
            <w:r>
              <w:rPr>
                <w:b w:val="false"/>
                <w:bCs w:val="false"/>
              </w:rPr>
              <w:t xml:space="preserve">Emitir dictamen de beneficio pensionario y consultar saldos/CNSF</w:t>
            </w:r>
          </w:p>
        </w:tc>
        <w:tc>
          <w:tcPr>
            <w:tcW w:type="dxa" w:w="2460"/>
            <w:tcMar>
              <w:top w:type="dxa" w:w="80"/>
              <w:left w:type="dxa" w:w="100"/>
              <w:bottom w:type="dxa" w:w="80"/>
              <w:right w:type="dxa" w:w="100"/>
            </w:tcMar>
          </w:tcPr>
          <w:p>
            <w:r>
              <w:rPr>
                <w:b w:val="false"/>
                <w:bCs w:val="false"/>
              </w:rPr>
              <w:t xml:space="preserve">Sistema (automático)</w:t>
            </w:r>
          </w:p>
        </w:tc>
      </w:tr>
      <w:tr>
        <w:tc>
          <w:tcPr>
            <w:tcW w:type="dxa" w:w="900"/>
            <w:tcMar>
              <w:top w:type="dxa" w:w="80"/>
              <w:left w:type="dxa" w:w="100"/>
              <w:bottom w:type="dxa" w:w="80"/>
              <w:right w:type="dxa" w:w="100"/>
            </w:tcMar>
          </w:tcPr>
          <w:p>
            <w:r>
              <w:rPr>
                <w:b w:val="false"/>
                <w:bCs w:val="false"/>
              </w:rPr>
              <w:t xml:space="preserve">UC-05</w:t>
            </w:r>
          </w:p>
        </w:tc>
        <w:tc>
          <w:tcPr>
            <w:tcW w:type="dxa" w:w="6000"/>
            <w:tcMar>
              <w:top w:type="dxa" w:w="80"/>
              <w:left w:type="dxa" w:w="100"/>
              <w:bottom w:type="dxa" w:w="80"/>
              <w:right w:type="dxa" w:w="100"/>
            </w:tcMar>
          </w:tcPr>
          <w:p>
            <w:r>
              <w:rPr>
                <w:b w:val="false"/>
                <w:bCs w:val="false"/>
              </w:rPr>
              <w:t xml:space="preserve">Notificar conclusión de la portabilidad (procedente o cancelada)</w:t>
            </w:r>
          </w:p>
        </w:tc>
        <w:tc>
          <w:tcPr>
            <w:tcW w:type="dxa" w:w="2460"/>
            <w:tcMar>
              <w:top w:type="dxa" w:w="80"/>
              <w:left w:type="dxa" w:w="100"/>
              <w:bottom w:type="dxa" w:w="80"/>
              <w:right w:type="dxa" w:w="100"/>
            </w:tcMar>
          </w:tcPr>
          <w:p>
            <w:r>
              <w:rPr>
                <w:b w:val="false"/>
                <w:bCs w:val="false"/>
              </w:rPr>
              <w:t xml:space="preserve">Sistema (automático)</w:t>
            </w:r>
          </w:p>
        </w:tc>
      </w:tr>
      <w:tr>
        <w:tc>
          <w:tcPr>
            <w:tcW w:type="dxa" w:w="900"/>
            <w:tcMar>
              <w:top w:type="dxa" w:w="80"/>
              <w:left w:type="dxa" w:w="100"/>
              <w:bottom w:type="dxa" w:w="80"/>
              <w:right w:type="dxa" w:w="100"/>
            </w:tcMar>
          </w:tcPr>
          <w:p>
            <w:r>
              <w:rPr>
                <w:b w:val="false"/>
                <w:bCs w:val="false"/>
              </w:rPr>
              <w:t xml:space="preserve">UC-06</w:t>
            </w:r>
          </w:p>
        </w:tc>
        <w:tc>
          <w:tcPr>
            <w:tcW w:type="dxa" w:w="6000"/>
            <w:tcMar>
              <w:top w:type="dxa" w:w="80"/>
              <w:left w:type="dxa" w:w="100"/>
              <w:bottom w:type="dxa" w:w="80"/>
              <w:right w:type="dxa" w:w="100"/>
            </w:tcMar>
          </w:tcPr>
          <w:p>
            <w:r>
              <w:rPr>
                <w:b w:val="false"/>
                <w:bCs w:val="false"/>
              </w:rPr>
              <w:t xml:space="preserve">Firmar electrónicamente y generar Solicitud/Resolución</w:t>
            </w:r>
          </w:p>
        </w:tc>
        <w:tc>
          <w:tcPr>
            <w:tcW w:type="dxa" w:w="2460"/>
            <w:tcMar>
              <w:top w:type="dxa" w:w="80"/>
              <w:left w:type="dxa" w:w="100"/>
              <w:bottom w:type="dxa" w:w="80"/>
              <w:right w:type="dxa" w:w="100"/>
            </w:tcMar>
          </w:tcPr>
          <w:p>
            <w:r>
              <w:rPr>
                <w:b w:val="false"/>
                <w:bCs w:val="false"/>
              </w:rPr>
              <w:t xml:space="preserve">Usuario de ventanilla ISSSTE / Derechohabiente</w:t>
            </w:r>
          </w:p>
        </w:tc>
      </w:tr>
      <w:tr>
        <w:tc>
          <w:tcPr>
            <w:tcW w:type="dxa" w:w="900"/>
            <w:tcMar>
              <w:top w:type="dxa" w:w="80"/>
              <w:left w:type="dxa" w:w="100"/>
              <w:bottom w:type="dxa" w:w="80"/>
              <w:right w:type="dxa" w:w="100"/>
            </w:tcMar>
          </w:tcPr>
          <w:p>
            <w:r>
              <w:rPr>
                <w:b w:val="false"/>
                <w:bCs w:val="false"/>
              </w:rPr>
              <w:t xml:space="preserve">UC-07</w:t>
            </w:r>
          </w:p>
        </w:tc>
        <w:tc>
          <w:tcPr>
            <w:tcW w:type="dxa" w:w="6000"/>
            <w:tcMar>
              <w:top w:type="dxa" w:w="80"/>
              <w:left w:type="dxa" w:w="100"/>
              <w:bottom w:type="dxa" w:w="80"/>
              <w:right w:type="dxa" w:w="100"/>
            </w:tcMar>
          </w:tcPr>
          <w:p>
            <w:r>
              <w:rPr>
                <w:b w:val="false"/>
                <w:bCs w:val="false"/>
              </w:rPr>
              <w:t xml:space="preserve">Consultar y descargar solicitudes previas</w:t>
            </w:r>
          </w:p>
        </w:tc>
        <w:tc>
          <w:tcPr>
            <w:tcW w:type="dxa" w:w="2460"/>
            <w:tcMar>
              <w:top w:type="dxa" w:w="80"/>
              <w:left w:type="dxa" w:w="100"/>
              <w:bottom w:type="dxa" w:w="80"/>
              <w:right w:type="dxa" w:w="100"/>
            </w:tcMar>
          </w:tcPr>
          <w:p>
            <w:r>
              <w:rPr>
                <w:b w:val="false"/>
                <w:bCs w:val="false"/>
              </w:rPr>
              <w:t xml:space="preserve">Derechohabiente</w:t>
            </w:r>
          </w:p>
        </w:tc>
      </w:tr>
      <w:tr>
        <w:tc>
          <w:tcPr>
            <w:tcW w:type="dxa" w:w="900"/>
            <w:tcMar>
              <w:top w:type="dxa" w:w="80"/>
              <w:left w:type="dxa" w:w="100"/>
              <w:bottom w:type="dxa" w:w="80"/>
              <w:right w:type="dxa" w:w="100"/>
            </w:tcMar>
          </w:tcPr>
          <w:p>
            <w:r>
              <w:rPr>
                <w:b w:val="false"/>
                <w:bCs w:val="false"/>
              </w:rPr>
              <w:t xml:space="preserve">UC-08</w:t>
            </w:r>
          </w:p>
        </w:tc>
        <w:tc>
          <w:tcPr>
            <w:tcW w:type="dxa" w:w="6000"/>
            <w:tcMar>
              <w:top w:type="dxa" w:w="80"/>
              <w:left w:type="dxa" w:w="100"/>
              <w:bottom w:type="dxa" w:w="80"/>
              <w:right w:type="dxa" w:w="100"/>
            </w:tcMar>
          </w:tcPr>
          <w:p>
            <w:r>
              <w:rPr>
                <w:b w:val="false"/>
                <w:bCs w:val="false"/>
              </w:rPr>
              <w:t xml:space="preserve">Rechazar solicitud por incumplimiento de reglas de elegibilidad</w:t>
            </w:r>
          </w:p>
        </w:tc>
        <w:tc>
          <w:tcPr>
            <w:tcW w:type="dxa" w:w="2460"/>
            <w:tcMar>
              <w:top w:type="dxa" w:w="80"/>
              <w:left w:type="dxa" w:w="100"/>
              <w:bottom w:type="dxa" w:w="80"/>
              <w:right w:type="dxa" w:w="100"/>
            </w:tcMar>
          </w:tcPr>
          <w:p>
            <w:r>
              <w:rPr>
                <w:b w:val="false"/>
                <w:bCs w:val="false"/>
              </w:rPr>
              <w:t xml:space="preserve">Sistema (automático)</w:t>
            </w:r>
          </w:p>
        </w:tc>
      </w:tr>
    </w:tbl>
    <w:p>
      <w:pPr>
        <w:pStyle w:val="Heading1"/>
        <w:spacing w:after="160" w:before="320"/>
      </w:pPr>
      <w:r>
        <w:t xml:space="preserve">4. Casos de uso detallados</w:t>
      </w:r>
    </w:p>
    <w:p>
      <w:pPr>
        <w:pStyle w:val="Heading2"/>
        <w:spacing w:after="120" w:before="240"/>
      </w:pPr>
      <w:r>
        <w:t xml:space="preserve">4.1 UC-01 — Registrar solicitud de portabilidad (proceso saliente)</w:t>
      </w:r>
    </w:p>
    <w:p>
      <w:pPr>
        <w:pStyle w:val="ListParagraph"/>
        <w:numPr>
          <w:ilvl w:val="0"/>
          <w:numId w:val="1"/>
        </w:numPr>
        <w:spacing w:after="60"/>
      </w:pPr>
      <w:r>
        <w:t xml:space="preserve">Actor principal: Usuario de ventanilla ISSSTE.</w:t>
      </w:r>
    </w:p>
    <w:p>
      <w:pPr>
        <w:pStyle w:val="ListParagraph"/>
        <w:numPr>
          <w:ilvl w:val="0"/>
          <w:numId w:val="1"/>
        </w:numPr>
        <w:spacing w:after="60"/>
      </w:pPr>
      <w:r>
        <w:t xml:space="preserve">Precondición: el derechohabiente cuenta con CURP válida y registro vigente ante ISSSTE.</w:t>
      </w:r>
    </w:p>
    <w:p>
      <w:pPr>
        <w:pStyle w:val="ListParagraph"/>
        <w:numPr>
          <w:ilvl w:val="0"/>
          <w:numId w:val="1"/>
        </w:numPr>
        <w:spacing w:after="60"/>
      </w:pPr>
      <w:r>
        <w:t xml:space="preserve">Flujo principal: captura de CURP → recuperación automática de datos → validación contra RENAPO → captura de NSS/correo/teléfono → validación de campos → generación de folio → aplicación de reglas de elegibilidad → firma electrónica → registro de la solicitud.</w:t>
      </w:r>
    </w:p>
    <w:p>
      <w:pPr>
        <w:pStyle w:val="ListParagraph"/>
        <w:numPr>
          <w:ilvl w:val="0"/>
          <w:numId w:val="1"/>
        </w:numPr>
        <w:spacing w:after="60"/>
      </w:pPr>
      <w:r>
        <w:t xml:space="preserve">Flujos alternos: CURP inválida o duplicada; regla de negocio incumplida (bifurca a UC-08).</w:t>
      </w:r>
    </w:p>
    <w:p>
      <w:pPr>
        <w:pStyle w:val="ListParagraph"/>
        <w:numPr>
          <w:ilvl w:val="0"/>
          <w:numId w:val="1"/>
        </w:numPr>
        <w:spacing w:after="60"/>
      </w:pPr>
      <w:r>
        <w:t xml:space="preserve">Postcondición: solicitud registrada con folio y estatus inicial.</w:t>
      </w:r>
    </w:p>
    <w:p>
      <w:pPr>
        <w:pStyle w:val="Heading2"/>
        <w:spacing w:after="120" w:before="240"/>
      </w:pPr>
      <w:r>
        <w:t xml:space="preserve">4.2 UC-03 — Atender consulta de portabilidad entrante</w:t>
      </w:r>
    </w:p>
    <w:p>
      <w:pPr>
        <w:pStyle w:val="ListParagraph"/>
        <w:numPr>
          <w:ilvl w:val="0"/>
          <w:numId w:val="1"/>
        </w:numPr>
        <w:spacing w:after="60"/>
      </w:pPr>
      <w:r>
        <w:t xml:space="preserve">Actor principal: IMSS (mediante servicio web).</w:t>
      </w:r>
    </w:p>
    <w:p>
      <w:pPr>
        <w:pStyle w:val="ListParagraph"/>
        <w:numPr>
          <w:ilvl w:val="0"/>
          <w:numId w:val="1"/>
        </w:numPr>
        <w:spacing w:after="60"/>
      </w:pPr>
      <w:r>
        <w:t xml:space="preserve">Flujo principal: recepción de la petición → recuperación de datos por CURP → aplicación de reglas de elegibilidad → respuesta con código de resultado y datos de confirmación, incluyendo periodos si la consulta lo requiere.</w:t>
      </w:r>
    </w:p>
    <w:p>
      <w:pPr>
        <w:pStyle w:val="Heading2"/>
        <w:spacing w:after="120" w:before="240"/>
      </w:pPr>
      <w:r>
        <w:t xml:space="preserve">4.3 UC-04 — Emitir dictamen de beneficio pensionario</w:t>
      </w:r>
    </w:p>
    <w:p>
      <w:pPr>
        <w:pStyle w:val="ListParagraph"/>
        <w:numPr>
          <w:ilvl w:val="0"/>
          <w:numId w:val="1"/>
        </w:numPr>
        <w:spacing w:after="60"/>
      </w:pPr>
      <w:r>
        <w:t xml:space="preserve">Actor principal: Sistema (automático).</w:t>
      </w:r>
    </w:p>
    <w:p>
      <w:pPr>
        <w:pStyle w:val="ListParagraph"/>
        <w:numPr>
          <w:ilvl w:val="0"/>
          <w:numId w:val="1"/>
        </w:numPr>
        <w:spacing w:after="60"/>
      </w:pPr>
      <w:r>
        <w:t xml:space="preserve">Flujo principal: recepción de tiempos cotizados de ambos institutos y salario promedio → cálculo de edad → aplicación de reglas de elegibilidad combinada → determinación de clave y descripción de beneficio → consulta de saldos preliminares y prospectación ante CNSF cuando el dictamen es positivo.</w:t>
      </w:r>
    </w:p>
    <w:p>
      <w:pPr>
        <w:pStyle w:val="Heading1"/>
        <w:spacing w:after="160" w:before="320"/>
      </w:pPr>
      <w:r>
        <w:t xml:space="preserve">5. Vistas de secuencia</w:t>
      </w:r>
    </w:p>
    <w:p>
      <w:pPr>
        <w:spacing w:after="140"/>
      </w:pPr>
      <w:r>
        <w:t xml:space="preserve">Las siguientes vistas ilustran, en formato de diagrama de secuencia, el orden de invocación de los servicios en cada proceso.</w:t>
      </w:r>
    </w:p>
    <w:p>
      <w:pPr>
        <w:pStyle w:val="Heading2"/>
        <w:spacing w:after="120" w:before="240"/>
      </w:pPr>
      <w:r>
        <w:t xml:space="preserve">5.1 Proceso saliente (ISSSTE inicia)</w:t>
      </w:r>
    </w:p>
    <w:p>
      <w:pPr>
        <w:spacing w:after="60"/>
        <w:jc w:val="center"/>
      </w:pPr>
      <w:r>
        <w:drawing>
          <wp:inline distT="0" distB="0" distL="0" distR="0">
            <wp:extent cx="6286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162300"/>
                    </a:xfrm>
                    <a:prstGeom prst="rect">
                      <a:avLst/>
                    </a:prstGeom>
                  </pic:spPr>
                </pic:pic>
              </a:graphicData>
            </a:graphic>
          </wp:inline>
        </w:drawing>
      </w:r>
    </w:p>
    <w:p>
      <w:pPr>
        <w:spacing w:after="200"/>
        <w:jc w:val="center"/>
      </w:pPr>
      <w:r>
        <w:rPr>
          <w:i/>
          <w:iCs/>
          <w:color w:val="595959"/>
          <w:sz w:val="18"/>
          <w:szCs w:val="18"/>
        </w:rPr>
        <w:t xml:space="preserve">Diagrama de secuencia — Proceso saliente</w:t>
      </w:r>
    </w:p>
    <w:p>
      <w:pPr>
        <w:pStyle w:val="Heading2"/>
        <w:spacing w:after="120" w:before="240"/>
      </w:pPr>
      <w:r>
        <w:t xml:space="preserve">5.2 Proceso entrante (IMSS inicia)</w:t>
      </w:r>
    </w:p>
    <w:p>
      <w:pPr>
        <w:spacing w:after="60"/>
        <w:jc w:val="center"/>
      </w:pPr>
      <w:r>
        <w:drawing>
          <wp:inline distT="0" distB="0" distL="0" distR="0">
            <wp:extent cx="5334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43225"/>
                    </a:xfrm>
                    <a:prstGeom prst="rect">
                      <a:avLst/>
                    </a:prstGeom>
                  </pic:spPr>
                </pic:pic>
              </a:graphicData>
            </a:graphic>
          </wp:inline>
        </w:drawing>
      </w:r>
    </w:p>
    <w:p>
      <w:pPr>
        <w:spacing w:after="200"/>
        <w:jc w:val="center"/>
      </w:pPr>
      <w:r>
        <w:rPr>
          <w:i/>
          <w:iCs/>
          <w:color w:val="595959"/>
          <w:sz w:val="18"/>
          <w:szCs w:val="18"/>
        </w:rPr>
        <w:t xml:space="preserve">Diagrama de secuencia — Proceso entrante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FJL-F05-TD · Requerimientos Especiales y Casos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2cce29d9990468e5728d55b0c9ca3d192c8b09.png"/><Relationship Id="rId10" Type="http://schemas.openxmlformats.org/officeDocument/2006/relationships/image" Target="media/6bebea4d7736b9e556ec10644e8fbe5689ee2da9.png"/><Relationship Id="rId11" Type="http://schemas.openxmlformats.org/officeDocument/2006/relationships/image" Target="media/795622a3233eeae592c5274be4632fe61c93478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FJL-F05-TD · Requerimientos Especiales y Casos de Uso</dc:title>
  <dc:subject>Documentación oficial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2026-07-28T00:58:39.291Z</dcterms:created>
  <dcterms:modified xsi:type="dcterms:W3CDTF">2026-07-28T00:58:39.291Z</dcterms:modified>
</cp:coreProperties>
</file>

<file path=docProps/custom.xml><?xml version="1.0" encoding="utf-8"?>
<Properties xmlns="http://schemas.openxmlformats.org/officeDocument/2006/custom-properties" xmlns:vt="http://schemas.openxmlformats.org/officeDocument/2006/docPropsVTypes"/>
</file>