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FJL-F09-TD</w:t>
      </w:r>
    </w:p>
    <w:p>
      <w:pPr>
        <w:pStyle w:val="Title"/>
        <w:spacing w:after="200"/>
        <w:jc w:val="center"/>
      </w:pPr>
      <w:r>
        <w:t xml:space="preserve">Manual Técnico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 — Fase 2: Re-portabilidad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Final, Fase 2)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complementa el Manual Técnico de la Fase 1 con las consideraciones de soporte relacionadas con la re-portabilidad.</w:t>
      </w:r>
    </w:p>
    <w:p>
      <w:pPr>
        <w:pStyle w:val="Heading1"/>
        <w:spacing w:after="160" w:before="320"/>
      </w:pPr>
      <w:r>
        <w:t xml:space="preserve">2. Consideraciones de soporte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Ya no se debe interpretar como error que un derechohabiente con un trámite concluido inicie uno nuevo; este comportamiento es esperado a partir de esta fase.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Ante una consulta de soporte sobre periodos con marca 410, debe considerarse que dicha marca representa un periodo ya portado y reutilizable, no un periodo bloqueado.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 modificó ninguna configuración de endpoints ni variable de fglprofile en esta fase; los valores documentados en la Fase 1 (FJL-F09) permanecen vigentes.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FJL-F09-TD · Manual Técnico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FJL-F09-TD · Manual Técnico · Fase 2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2026-07-28T01:29:03.358Z</dcterms:created>
  <dcterms:modified xsi:type="dcterms:W3CDTF">2026-07-28T01:29:03.358Z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