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FJL-F10</w:t>
      </w:r>
    </w:p>
    <w:p>
      <w:pPr>
        <w:pStyle w:val="Title"/>
        <w:spacing w:after="200"/>
        <w:jc w:val="center"/>
      </w:pPr>
      <w:r>
        <w:t xml:space="preserve">Reglas de Negocio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consolida las reglas de negocio introducidas o modificadas en la Fase 2 (re-portabilidad), como complemento al catálogo de reglas de la Fase 1 (FJL-F10).</w:t>
      </w:r>
    </w:p>
    <w:p>
      <w:pPr>
        <w:pStyle w:val="Heading1"/>
        <w:spacing w:after="160" w:before="320"/>
      </w:pPr>
      <w:r>
        <w:t xml:space="preserve">2. Reglas de la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58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RN2-01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Re-portabilidad de periodos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permitir volver a consultar y volver a marcar, en un nuevo trámite de portabilidad, los periodos que ya cuenten con la clave 410 en uso_pen, sin considerar dicha marca como un impedimento bloqueante.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RN2-02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previo concluido no bloqueante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trámite de portabilidad concluido previamente para una misma CURP ya no constituye, por sí mismo, un impedimento para iniciar un nuevo trámite; el motivo de rechazo 225 deja de generarse de forma automática por esta causa.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RN2-03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duplicidad de marcado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evitar volver a escribir la marca 410 sobre un periodo que ya la tiene, actualizando únicamente los periodos que se encuentren sin marca o con una marca distinta a 410.</w:t>
            </w:r>
          </w:p>
        </w:tc>
      </w:tr>
    </w:tbl>
    <w:p>
      <w:pPr>
        <w:pStyle w:val="Heading1"/>
        <w:spacing w:after="160" w:before="320"/>
      </w:pPr>
      <w:r>
        <w:t xml:space="preserve">3. Motivo de rechazo afectado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  <w:tc>
          <w:tcPr>
            <w:tcW w:type="dxa" w:w="3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 en esta fase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225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previo de portabilidad de derechos concluido (WS1)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Ya no se genera de forma automática por esta causa; se conserva en el catálogo por compatibilidad histórica.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FJL-F10 · Reglas de Negocio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FJL-F10 · Reglas de Negocio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2026-07-28T01:29:03.392Z</dcterms:created>
  <dcterms:modified xsi:type="dcterms:W3CDTF">2026-07-28T01:29:03.392Z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