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FJL-F11-TD</w:t>
      </w:r>
    </w:p>
    <w:p>
      <w:pPr>
        <w:pStyle w:val="Title"/>
        <w:spacing w:after="200"/>
        <w:jc w:val="center"/>
      </w:pPr>
      <w:r>
        <w:t xml:space="preserve">Código Fuente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 — Fase 2: Re-portabilidad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Final, Fase 2)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identifica los módulos fuente modificados en la Fase 2 y resume el tipo de cambio aplicado en cada uno.</w:t>
      </w:r>
    </w:p>
    <w:p>
      <w:pPr>
        <w:pStyle w:val="Heading1"/>
        <w:spacing w:after="160" w:before="320"/>
      </w:pPr>
      <w:r>
        <w:t xml:space="preserve">2. Módulos comparados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5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Servicio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mWS1ConsultaBasicaISSSTE.4gl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Consulta Básica (entrante)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mWS3ConsultaRobustaISSSTE.4gl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Consulta Robusta (entrante)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mWS6AvisoEstatusTransferenciaISSSTE.4gl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Aviso de Estatus de Transferencia (entrante)</w:t>
            </w:r>
          </w:p>
        </w:tc>
      </w:tr>
    </w:tbl>
    <w:p>
      <w:pPr>
        <w:pStyle w:val="Heading1"/>
        <w:spacing w:after="160" w:before="320"/>
      </w:pPr>
      <w:r>
        <w:t xml:space="preserve">3. Resumen de cambios por archivo</w:t>
      </w:r>
    </w:p>
    <w:p>
      <w:pPr>
        <w:pStyle w:val="Heading2"/>
        <w:spacing w:after="120" w:before="240"/>
      </w:pPr>
      <w:r>
        <w:t xml:space="preserve">3.1 mWS1ConsultaBasicaISSSTE.4gl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deshabilitó la validación que cancelaba la solicitud anterior y limpiaba la marca 410 al detectar un trámite previo concluido.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excluyó la marca 410 de las validaciones de marcas 400-430 y del catálogo de marcas del historial laboral.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agregó registro de bitácora en el caso de rechazo inmediato.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corrigió el nombre de una función interna y el manejo del motivo de rechazo nulo; se ajustó la validación de usuario inválido.</w:t>
      </w:r>
    </w:p>
    <w:p>
      <w:pPr>
        <w:pStyle w:val="Heading2"/>
        <w:spacing w:after="120" w:before="240"/>
      </w:pPr>
      <w:r>
        <w:t xml:space="preserve">3.2 mWS3ConsultaRobustaISSSTE.4gl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deshabilitó el rechazo directo del trámite (motivo 225) ante un trámite previo concluido.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amplió la selección de periodos elegibles para incluir los marcados con 410.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excluyó la marca 410 de la validación de marcas del historial laboral.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ajustó la condición de estatus para el recálculo de periodos, y se agregaron campos de auditoría por periodo.</w:t>
      </w:r>
    </w:p>
    <w:p>
      <w:pPr>
        <w:pStyle w:val="Heading2"/>
        <w:spacing w:after="120" w:before="240"/>
      </w:pPr>
      <w:r>
        <w:t xml:space="preserve">3.3 mWS6AvisoEstatusTransferenciaISSSTE.4gl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deshabilitó el rechazo directo del trámite (motivo 225) ante un trámite previo concluido.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amplió la selección de periodos elegibles para el marcado, incluyendo los que ya cuentan con 410.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agregó una condición para evitar volver a escribir la marca 410 sobre un periodo que ya la tiene.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FJL-F11-TD · Código Fuente ·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FJL-F11-TD · Código Fuente · Fase 2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2026-07-28T01:29:03.458Z</dcterms:created>
  <dcterms:modified xsi:type="dcterms:W3CDTF">2026-07-28T01:29:03.458Z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