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08080"/>
          <w:sz w:val="20"/>
          <w:szCs w:val="20"/>
        </w:rPr>
        <w:t xml:space="preserve">FJL-F13-TD</w:t>
      </w:r>
    </w:p>
    <w:p>
      <w:pPr>
        <w:pStyle w:val="Title"/>
        <w:spacing w:after="200"/>
        <w:jc w:val="center"/>
      </w:pPr>
      <w:r>
        <w:t xml:space="preserve">Escenario de Pruebas</w:t>
      </w:r>
    </w:p>
    <w:p>
      <w:pPr>
        <w:spacing w:after="100"/>
        <w:jc w:val="center"/>
      </w:pPr>
      <w:r>
        <w:rPr>
          <w:b/>
          <w:bCs/>
          <w:sz w:val="26"/>
          <w:szCs w:val="26"/>
        </w:rPr>
        <w:t xml:space="preserve">Portabilidad de Derechos Pensionarios entre ISSSTE e IMSS — Fase 2: Re-portabilidad</w:t>
      </w:r>
    </w:p>
    <w:p>
      <w:pPr>
        <w:spacing w:after="400"/>
        <w:jc w:val="center"/>
      </w:pPr>
      <w:r>
        <w:rPr>
          <w:i/>
          <w:iCs/>
          <w:color w:val="595959"/>
          <w:sz w:val="20"/>
          <w:szCs w:val="20"/>
        </w:rPr>
        <w:t xml:space="preserve">Entregable para Instituto de Seguridad y Servicios Sociales de los Trabajadores del Estado (ISSSTE) — Versión 1.0 (Entrega Final, Fase 2)</w:t>
      </w:r>
    </w:p>
    <w:p>
      <w:r>
        <w:br w:type="page"/>
      </w:r>
    </w:p>
    <w:p>
      <w:pPr>
        <w:pStyle w:val="Heading1"/>
        <w:spacing w:after="160" w:before="320"/>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1800"/>
        <w:gridCol w:w="2560"/>
      </w:tblGrid>
      <w:tr>
        <w:trPr>
          <w:tblHeader/>
        </w:trPr>
        <w:tc>
          <w:tcPr>
            <w:tcW w:type="dxa" w:w="1000"/>
            <w:shd w:fill="DCE6F1" w:val="clear"/>
            <w:tcMar>
              <w:top w:type="dxa" w:w="80"/>
              <w:left w:type="dxa" w:w="100"/>
              <w:bottom w:type="dxa" w:w="80"/>
              <w:right w:type="dxa" w:w="100"/>
            </w:tcMar>
          </w:tcPr>
          <w:p>
            <w:r>
              <w:rPr>
                <w:b/>
                <w:bCs/>
              </w:rPr>
              <w:t xml:space="preserve">Versión</w:t>
            </w:r>
          </w:p>
        </w:tc>
        <w:tc>
          <w:tcPr>
            <w:tcW w:type="dxa" w:w="1400"/>
            <w:shd w:fill="DCE6F1" w:val="clear"/>
            <w:tcMar>
              <w:top w:type="dxa" w:w="80"/>
              <w:left w:type="dxa" w:w="100"/>
              <w:bottom w:type="dxa" w:w="80"/>
              <w:right w:type="dxa" w:w="100"/>
            </w:tcMar>
          </w:tcPr>
          <w:p>
            <w:r>
              <w:rPr>
                <w:b/>
                <w:bCs/>
              </w:rPr>
              <w:t xml:space="preserve">Fecha</w:t>
            </w:r>
          </w:p>
        </w:tc>
        <w:tc>
          <w:tcPr>
            <w:tcW w:type="dxa" w:w="2600"/>
            <w:shd w:fill="DCE6F1" w:val="clear"/>
            <w:tcMar>
              <w:top w:type="dxa" w:w="80"/>
              <w:left w:type="dxa" w:w="100"/>
              <w:bottom w:type="dxa" w:w="80"/>
              <w:right w:type="dxa" w:w="100"/>
            </w:tcMar>
          </w:tcPr>
          <w:p>
            <w:r>
              <w:rPr>
                <w:b/>
                <w:bCs/>
              </w:rPr>
              <w:t xml:space="preserve">Autor</w:t>
            </w:r>
          </w:p>
        </w:tc>
        <w:tc>
          <w:tcPr>
            <w:tcW w:type="dxa" w:w="1800"/>
            <w:shd w:fill="DCE6F1" w:val="clear"/>
            <w:tcMar>
              <w:top w:type="dxa" w:w="80"/>
              <w:left w:type="dxa" w:w="100"/>
              <w:bottom w:type="dxa" w:w="80"/>
              <w:right w:type="dxa" w:w="100"/>
            </w:tcMar>
          </w:tcPr>
          <w:p>
            <w:r>
              <w:rPr>
                <w:b/>
                <w:bCs/>
              </w:rPr>
              <w:t xml:space="preserve">Estado</w:t>
            </w:r>
          </w:p>
        </w:tc>
        <w:tc>
          <w:tcPr>
            <w:tcW w:type="dxa" w:w="2560"/>
            <w:shd w:fill="DCE6F1" w:val="clear"/>
            <w:tcMar>
              <w:top w:type="dxa" w:w="80"/>
              <w:left w:type="dxa" w:w="100"/>
              <w:bottom w:type="dxa" w:w="80"/>
              <w:right w:type="dxa" w:w="100"/>
            </w:tcMar>
          </w:tcPr>
          <w:p>
            <w:r>
              <w:rPr>
                <w:b/>
                <w:bCs/>
              </w:rPr>
              <w:t xml:space="preserve">Descripción</w:t>
            </w:r>
          </w:p>
        </w:tc>
      </w:tr>
      <w:tr>
        <w:tc>
          <w:tcPr>
            <w:tcW w:type="dxa" w:w="1000"/>
            <w:tcMar>
              <w:top w:type="dxa" w:w="80"/>
              <w:left w:type="dxa" w:w="100"/>
              <w:bottom w:type="dxa" w:w="80"/>
              <w:right w:type="dxa" w:w="100"/>
            </w:tcMar>
          </w:tcPr>
          <w:p>
            <w:r>
              <w:rPr>
                <w:b w:val="false"/>
                <w:bCs w:val="false"/>
              </w:rPr>
              <w:t xml:space="preserve">1.0</w:t>
            </w:r>
          </w:p>
        </w:tc>
        <w:tc>
          <w:tcPr>
            <w:tcW w:type="dxa" w:w="1400"/>
            <w:tcMar>
              <w:top w:type="dxa" w:w="80"/>
              <w:left w:type="dxa" w:w="100"/>
              <w:bottom w:type="dxa" w:w="80"/>
              <w:right w:type="dxa" w:w="100"/>
            </w:tcMar>
          </w:tcPr>
          <w:p>
            <w:r>
              <w:rPr>
                <w:b w:val="false"/>
                <w:bCs w:val="false"/>
              </w:rPr>
              <w:t xml:space="preserve">27/07/2026</w:t>
            </w:r>
          </w:p>
        </w:tc>
        <w:tc>
          <w:tcPr>
            <w:tcW w:type="dxa" w:w="2600"/>
            <w:tcMar>
              <w:top w:type="dxa" w:w="80"/>
              <w:left w:type="dxa" w:w="100"/>
              <w:bottom w:type="dxa" w:w="80"/>
              <w:right w:type="dxa" w:w="100"/>
            </w:tcMar>
          </w:tcPr>
          <w:p>
            <w:r>
              <w:rPr>
                <w:b w:val="false"/>
                <w:bCs w:val="false"/>
              </w:rPr>
              <w:t xml:space="preserve">Carlos Quintero (Four Js)</w:t>
            </w:r>
          </w:p>
        </w:tc>
        <w:tc>
          <w:tcPr>
            <w:tcW w:type="dxa" w:w="1800"/>
            <w:tcMar>
              <w:top w:type="dxa" w:w="80"/>
              <w:left w:type="dxa" w:w="100"/>
              <w:bottom w:type="dxa" w:w="80"/>
              <w:right w:type="dxa" w:w="100"/>
            </w:tcMar>
          </w:tcPr>
          <w:p>
            <w:r>
              <w:rPr>
                <w:b w:val="false"/>
                <w:bCs w:val="false"/>
              </w:rPr>
              <w:t xml:space="preserve">Entrega Final</w:t>
            </w:r>
          </w:p>
        </w:tc>
        <w:tc>
          <w:tcPr>
            <w:tcW w:type="dxa" w:w="2560"/>
            <w:tcMar>
              <w:top w:type="dxa" w:w="80"/>
              <w:left w:type="dxa" w:w="100"/>
              <w:bottom w:type="dxa" w:w="80"/>
              <w:right w:type="dxa" w:w="100"/>
            </w:tcMar>
          </w:tcPr>
          <w:p>
            <w:r>
              <w:rPr>
                <w:b w:val="false"/>
                <w:bCs w:val="false"/>
              </w:rPr>
              <w:t xml:space="preserve">Versión inicial — entrega formal a ISSSTE</w:t>
            </w:r>
          </w:p>
        </w:tc>
      </w:tr>
    </w:tbl>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Propósito</w:t>
      </w:r>
    </w:p>
    <w:p>
      <w:pPr>
        <w:spacing w:after="140"/>
      </w:pPr>
      <w:r>
        <w:t xml:space="preserve">Este documento define los escenarios de prueba específicos de la Fase 2 (re-portabilidad), como complemento a los definidos en la Fase 1 (FJL-F13).</w:t>
      </w:r>
    </w:p>
    <w:p>
      <w:pPr>
        <w:pStyle w:val="Heading1"/>
        <w:spacing w:after="160" w:before="320"/>
      </w:pPr>
      <w:r>
        <w:t xml:space="preserve">2. Casos de prueba — re-portabilidad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260"/>
        <w:gridCol w:w="4000"/>
      </w:tblGrid>
      <w:tr>
        <w:trPr>
          <w:tblHeader/>
        </w:trPr>
        <w:tc>
          <w:tcPr>
            <w:tcW w:type="dxa" w:w="900"/>
            <w:shd w:fill="DCE6F1" w:val="clear"/>
            <w:tcMar>
              <w:top w:type="dxa" w:w="80"/>
              <w:left w:type="dxa" w:w="100"/>
              <w:bottom w:type="dxa" w:w="80"/>
              <w:right w:type="dxa" w:w="100"/>
            </w:tcMar>
          </w:tcPr>
          <w:p>
            <w:r>
              <w:rPr>
                <w:b/>
                <w:bCs/>
              </w:rPr>
              <w:t xml:space="preserve">ID</w:t>
            </w:r>
          </w:p>
        </w:tc>
        <w:tc>
          <w:tcPr>
            <w:tcW w:type="dxa" w:w="1200"/>
            <w:shd w:fill="DCE6F1" w:val="clear"/>
            <w:tcMar>
              <w:top w:type="dxa" w:w="80"/>
              <w:left w:type="dxa" w:w="100"/>
              <w:bottom w:type="dxa" w:w="80"/>
              <w:right w:type="dxa" w:w="100"/>
            </w:tcMar>
          </w:tcPr>
          <w:p>
            <w:r>
              <w:rPr>
                <w:b/>
                <w:bCs/>
              </w:rPr>
              <w:t xml:space="preserve">Requerimiento</w:t>
            </w:r>
          </w:p>
        </w:tc>
        <w:tc>
          <w:tcPr>
            <w:tcW w:type="dxa" w:w="3260"/>
            <w:shd w:fill="DCE6F1" w:val="clear"/>
            <w:tcMar>
              <w:top w:type="dxa" w:w="80"/>
              <w:left w:type="dxa" w:w="100"/>
              <w:bottom w:type="dxa" w:w="80"/>
              <w:right w:type="dxa" w:w="100"/>
            </w:tcMar>
          </w:tcPr>
          <w:p>
            <w:r>
              <w:rPr>
                <w:b/>
                <w:bCs/>
              </w:rPr>
              <w:t xml:space="preserve">Entrada</w:t>
            </w:r>
          </w:p>
        </w:tc>
        <w:tc>
          <w:tcPr>
            <w:tcW w:type="dxa" w:w="4000"/>
            <w:shd w:fill="DCE6F1" w:val="clear"/>
            <w:tcMar>
              <w:top w:type="dxa" w:w="80"/>
              <w:left w:type="dxa" w:w="100"/>
              <w:bottom w:type="dxa" w:w="80"/>
              <w:right w:type="dxa" w:w="100"/>
            </w:tcMar>
          </w:tcPr>
          <w:p>
            <w:r>
              <w:rPr>
                <w:b/>
                <w:bCs/>
              </w:rPr>
              <w:t xml:space="preserve">Resultado esperado</w:t>
            </w:r>
          </w:p>
        </w:tc>
      </w:tr>
      <w:tr>
        <w:tc>
          <w:tcPr>
            <w:tcW w:type="dxa" w:w="900"/>
            <w:tcMar>
              <w:top w:type="dxa" w:w="80"/>
              <w:left w:type="dxa" w:w="100"/>
              <w:bottom w:type="dxa" w:w="80"/>
              <w:right w:type="dxa" w:w="100"/>
            </w:tcMar>
          </w:tcPr>
          <w:p>
            <w:r>
              <w:rPr>
                <w:b w:val="false"/>
                <w:bCs w:val="false"/>
              </w:rPr>
              <w:t xml:space="preserve">CP2-01</w:t>
            </w:r>
          </w:p>
        </w:tc>
        <w:tc>
          <w:tcPr>
            <w:tcW w:type="dxa" w:w="1200"/>
            <w:tcMar>
              <w:top w:type="dxa" w:w="80"/>
              <w:left w:type="dxa" w:w="100"/>
              <w:bottom w:type="dxa" w:w="80"/>
              <w:right w:type="dxa" w:w="100"/>
            </w:tcMar>
          </w:tcPr>
          <w:p>
            <w:r>
              <w:rPr>
                <w:b w:val="false"/>
                <w:bCs w:val="false"/>
              </w:rPr>
              <w:t xml:space="preserve">RF2-01</w:t>
            </w:r>
          </w:p>
        </w:tc>
        <w:tc>
          <w:tcPr>
            <w:tcW w:type="dxa" w:w="3260"/>
            <w:tcMar>
              <w:top w:type="dxa" w:w="80"/>
              <w:left w:type="dxa" w:w="100"/>
              <w:bottom w:type="dxa" w:w="80"/>
              <w:right w:type="dxa" w:w="100"/>
            </w:tcMar>
          </w:tcPr>
          <w:p>
            <w:r>
              <w:rPr>
                <w:b w:val="false"/>
                <w:bCs w:val="false"/>
              </w:rPr>
              <w:t xml:space="preserve">CURP VAHM580722HDFLRN04 con trámite previo concluido; nueva Consulta Básica</w:t>
            </w:r>
          </w:p>
        </w:tc>
        <w:tc>
          <w:tcPr>
            <w:tcW w:type="dxa" w:w="4000"/>
            <w:tcMar>
              <w:top w:type="dxa" w:w="80"/>
              <w:left w:type="dxa" w:w="100"/>
              <w:bottom w:type="dxa" w:w="80"/>
              <w:right w:type="dxa" w:w="100"/>
            </w:tcMar>
          </w:tcPr>
          <w:p>
            <w:r>
              <w:rPr>
                <w:b w:val="false"/>
                <w:bCs w:val="false"/>
              </w:rPr>
              <w:t xml:space="preserve">El trámite no se rechaza por motivo 225; la solicitud anterior no se cancela ni se modifica.</w:t>
            </w:r>
          </w:p>
        </w:tc>
      </w:tr>
      <w:tr>
        <w:tc>
          <w:tcPr>
            <w:tcW w:type="dxa" w:w="900"/>
            <w:tcMar>
              <w:top w:type="dxa" w:w="80"/>
              <w:left w:type="dxa" w:w="100"/>
              <w:bottom w:type="dxa" w:w="80"/>
              <w:right w:type="dxa" w:w="100"/>
            </w:tcMar>
          </w:tcPr>
          <w:p>
            <w:r>
              <w:rPr>
                <w:b w:val="false"/>
                <w:bCs w:val="false"/>
              </w:rPr>
              <w:t xml:space="preserve">CP2-02</w:t>
            </w:r>
          </w:p>
        </w:tc>
        <w:tc>
          <w:tcPr>
            <w:tcW w:type="dxa" w:w="1200"/>
            <w:tcMar>
              <w:top w:type="dxa" w:w="80"/>
              <w:left w:type="dxa" w:w="100"/>
              <w:bottom w:type="dxa" w:w="80"/>
              <w:right w:type="dxa" w:w="100"/>
            </w:tcMar>
          </w:tcPr>
          <w:p>
            <w:r>
              <w:rPr>
                <w:b w:val="false"/>
                <w:bCs w:val="false"/>
              </w:rPr>
              <w:t xml:space="preserve">RF2-02</w:t>
            </w:r>
          </w:p>
        </w:tc>
        <w:tc>
          <w:tcPr>
            <w:tcW w:type="dxa" w:w="3260"/>
            <w:tcMar>
              <w:top w:type="dxa" w:w="80"/>
              <w:left w:type="dxa" w:w="100"/>
              <w:bottom w:type="dxa" w:w="80"/>
              <w:right w:type="dxa" w:w="100"/>
            </w:tcMar>
          </w:tcPr>
          <w:p>
            <w:r>
              <w:rPr>
                <w:b w:val="false"/>
                <w:bCs w:val="false"/>
              </w:rPr>
              <w:t xml:space="preserve">Periodo con marca 410 en la cuenta individual del derechohabiente de CP2-01</w:t>
            </w:r>
          </w:p>
        </w:tc>
        <w:tc>
          <w:tcPr>
            <w:tcW w:type="dxa" w:w="4000"/>
            <w:tcMar>
              <w:top w:type="dxa" w:w="80"/>
              <w:left w:type="dxa" w:w="100"/>
              <w:bottom w:type="dxa" w:w="80"/>
              <w:right w:type="dxa" w:w="100"/>
            </w:tcMar>
          </w:tcPr>
          <w:p>
            <w:r>
              <w:rPr>
                <w:b w:val="false"/>
                <w:bCs w:val="false"/>
              </w:rPr>
              <w:t xml:space="preserve">El periodo no se considera impedimento por marca 400-430 ni por el catálogo de marcas del historial laboral.</w:t>
            </w:r>
          </w:p>
        </w:tc>
      </w:tr>
      <w:tr>
        <w:tc>
          <w:tcPr>
            <w:tcW w:type="dxa" w:w="900"/>
            <w:tcMar>
              <w:top w:type="dxa" w:w="80"/>
              <w:left w:type="dxa" w:w="100"/>
              <w:bottom w:type="dxa" w:w="80"/>
              <w:right w:type="dxa" w:w="100"/>
            </w:tcMar>
          </w:tcPr>
          <w:p>
            <w:r>
              <w:rPr>
                <w:b w:val="false"/>
                <w:bCs w:val="false"/>
              </w:rPr>
              <w:t xml:space="preserve">CP2-03</w:t>
            </w:r>
          </w:p>
        </w:tc>
        <w:tc>
          <w:tcPr>
            <w:tcW w:type="dxa" w:w="1200"/>
            <w:tcMar>
              <w:top w:type="dxa" w:w="80"/>
              <w:left w:type="dxa" w:w="100"/>
              <w:bottom w:type="dxa" w:w="80"/>
              <w:right w:type="dxa" w:w="100"/>
            </w:tcMar>
          </w:tcPr>
          <w:p>
            <w:r>
              <w:rPr>
                <w:b w:val="false"/>
                <w:bCs w:val="false"/>
              </w:rPr>
              <w:t xml:space="preserve">RF2-03</w:t>
            </w:r>
          </w:p>
        </w:tc>
        <w:tc>
          <w:tcPr>
            <w:tcW w:type="dxa" w:w="3260"/>
            <w:tcMar>
              <w:top w:type="dxa" w:w="80"/>
              <w:left w:type="dxa" w:w="100"/>
              <w:bottom w:type="dxa" w:w="80"/>
              <w:right w:type="dxa" w:w="100"/>
            </w:tcMar>
          </w:tcPr>
          <w:p>
            <w:r>
              <w:rPr>
                <w:b w:val="false"/>
                <w:bCs w:val="false"/>
              </w:rPr>
              <w:t xml:space="preserve">Consulta Robusta para el derechohabiente de CP2-01</w:t>
            </w:r>
          </w:p>
        </w:tc>
        <w:tc>
          <w:tcPr>
            <w:tcW w:type="dxa" w:w="4000"/>
            <w:tcMar>
              <w:top w:type="dxa" w:w="80"/>
              <w:left w:type="dxa" w:w="100"/>
              <w:bottom w:type="dxa" w:w="80"/>
              <w:right w:type="dxa" w:w="100"/>
            </w:tcMar>
          </w:tcPr>
          <w:p>
            <w:r>
              <w:rPr>
                <w:b w:val="false"/>
                <w:bCs w:val="false"/>
              </w:rPr>
              <w:t xml:space="preserve">La respuesta incluye el periodo previamente marcado con 410, además de cualquier periodo nuevo sin marca.</w:t>
            </w:r>
          </w:p>
        </w:tc>
      </w:tr>
      <w:tr>
        <w:tc>
          <w:tcPr>
            <w:tcW w:type="dxa" w:w="900"/>
            <w:tcMar>
              <w:top w:type="dxa" w:w="80"/>
              <w:left w:type="dxa" w:w="100"/>
              <w:bottom w:type="dxa" w:w="80"/>
              <w:right w:type="dxa" w:w="100"/>
            </w:tcMar>
          </w:tcPr>
          <w:p>
            <w:r>
              <w:rPr>
                <w:b w:val="false"/>
                <w:bCs w:val="false"/>
              </w:rPr>
              <w:t xml:space="preserve">CP2-04</w:t>
            </w:r>
          </w:p>
        </w:tc>
        <w:tc>
          <w:tcPr>
            <w:tcW w:type="dxa" w:w="1200"/>
            <w:tcMar>
              <w:top w:type="dxa" w:w="80"/>
              <w:left w:type="dxa" w:w="100"/>
              <w:bottom w:type="dxa" w:w="80"/>
              <w:right w:type="dxa" w:w="100"/>
            </w:tcMar>
          </w:tcPr>
          <w:p>
            <w:r>
              <w:rPr>
                <w:b w:val="false"/>
                <w:bCs w:val="false"/>
              </w:rPr>
              <w:t xml:space="preserve">RF2-04</w:t>
            </w:r>
          </w:p>
        </w:tc>
        <w:tc>
          <w:tcPr>
            <w:tcW w:type="dxa" w:w="3260"/>
            <w:tcMar>
              <w:top w:type="dxa" w:w="80"/>
              <w:left w:type="dxa" w:w="100"/>
              <w:bottom w:type="dxa" w:w="80"/>
              <w:right w:type="dxa" w:w="100"/>
            </w:tcMar>
          </w:tcPr>
          <w:p>
            <w:r>
              <w:rPr>
                <w:b w:val="false"/>
                <w:bCs w:val="false"/>
              </w:rPr>
              <w:t xml:space="preserve">Aviso de Estatus de Transferencia procedente para el derechohabiente de CP2-01</w:t>
            </w:r>
          </w:p>
        </w:tc>
        <w:tc>
          <w:tcPr>
            <w:tcW w:type="dxa" w:w="4000"/>
            <w:tcMar>
              <w:top w:type="dxa" w:w="80"/>
              <w:left w:type="dxa" w:w="100"/>
              <w:bottom w:type="dxa" w:w="80"/>
              <w:right w:type="dxa" w:w="100"/>
            </w:tcMar>
          </w:tcPr>
          <w:p>
            <w:r>
              <w:rPr>
                <w:b w:val="false"/>
                <w:bCs w:val="false"/>
              </w:rPr>
              <w:t xml:space="preserve">Los periodos se marcan nuevamente con 410; los que ya tenían esa marca no generan una escritura adicional.</w:t>
            </w:r>
          </w:p>
        </w:tc>
      </w:tr>
      <w:tr>
        <w:tc>
          <w:tcPr>
            <w:tcW w:type="dxa" w:w="900"/>
            <w:tcMar>
              <w:top w:type="dxa" w:w="80"/>
              <w:left w:type="dxa" w:w="100"/>
              <w:bottom w:type="dxa" w:w="80"/>
              <w:right w:type="dxa" w:w="100"/>
            </w:tcMar>
          </w:tcPr>
          <w:p>
            <w:r>
              <w:rPr>
                <w:b w:val="false"/>
                <w:bCs w:val="false"/>
              </w:rPr>
              <w:t xml:space="preserve">CP2-05</w:t>
            </w:r>
          </w:p>
        </w:tc>
        <w:tc>
          <w:tcPr>
            <w:tcW w:type="dxa" w:w="1200"/>
            <w:tcMar>
              <w:top w:type="dxa" w:w="80"/>
              <w:left w:type="dxa" w:w="100"/>
              <w:bottom w:type="dxa" w:w="80"/>
              <w:right w:type="dxa" w:w="100"/>
            </w:tcMar>
          </w:tcPr>
          <w:p>
            <w:r>
              <w:rPr>
                <w:b w:val="false"/>
                <w:bCs w:val="false"/>
              </w:rPr>
              <w:t xml:space="preserve">RF2-05</w:t>
            </w:r>
          </w:p>
        </w:tc>
        <w:tc>
          <w:tcPr>
            <w:tcW w:type="dxa" w:w="3260"/>
            <w:tcMar>
              <w:top w:type="dxa" w:w="80"/>
              <w:left w:type="dxa" w:w="100"/>
              <w:bottom w:type="dxa" w:w="80"/>
              <w:right w:type="dxa" w:w="100"/>
            </w:tcMar>
          </w:tcPr>
          <w:p>
            <w:r>
              <w:rPr>
                <w:b w:val="false"/>
                <w:bCs w:val="false"/>
              </w:rPr>
              <w:t xml:space="preserve">Rechazo inmediato en la Consulta Básica por CURP inexistente</w:t>
            </w:r>
          </w:p>
        </w:tc>
        <w:tc>
          <w:tcPr>
            <w:tcW w:type="dxa" w:w="4000"/>
            <w:tcMar>
              <w:top w:type="dxa" w:w="80"/>
              <w:left w:type="dxa" w:w="100"/>
              <w:bottom w:type="dxa" w:w="80"/>
              <w:right w:type="dxa" w:w="100"/>
            </w:tcMar>
          </w:tcPr>
          <w:p>
            <w:r>
              <w:rPr>
                <w:b w:val="false"/>
                <w:bCs w:val="false"/>
              </w:rPr>
              <w:t xml:space="preserve">Se registra la bitácora del rechazo en la tabla de detalle correspondiente.</w:t>
            </w:r>
          </w:p>
        </w:tc>
      </w:tr>
    </w:tbl>
    <w:p>
      <w:pPr>
        <w:pStyle w:val="Heading1"/>
        <w:spacing w:after="160" w:before="320"/>
      </w:pPr>
      <w:r>
        <w:t xml:space="preserve">3. Datos de prueba</w:t>
      </w:r>
    </w:p>
    <w:p>
      <w:pPr>
        <w:spacing w:after="140"/>
      </w:pPr>
      <w:r>
        <w:t xml:space="preserve">El caso CP2-01 a CP2-04 puede ejecutarse reutilizando el derechohabiente de la CURP VAHM580722HDFLRN04, ya documentado en el conjunto de datos de prueba de la Fase 1, complementando su historial con un periodo adicional marcado con clave 410 para representar el trámite previamente concluido.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FJL-F13-TD · Escenario de Pruebas · Fase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C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FJL-F13-TD · Escenario de Pruebas · Fase 2</dc:title>
  <dc:subject>Documentación oficial del proyecto</dc:subject>
  <dc:creator>Carlos Quintero (carlos.quintero@4js.com)</dc:creator>
  <dc:description>Portabilidad de Derechos Pensionarios entre ISSSTE e IMSS</dc:description>
  <cp:lastModifiedBy>Carlos Quintero (carlos.quintero@4js.com)</cp:lastModifiedBy>
  <cp:revision>1</cp:revision>
  <dcterms:created xsi:type="dcterms:W3CDTF">2026-07-28T01:29:03.545Z</dcterms:created>
  <dcterms:modified xsi:type="dcterms:W3CDTF">2026-07-28T01:29:03.545Z</dcterms:modified>
</cp:coreProperties>
</file>

<file path=docProps/custom.xml><?xml version="1.0" encoding="utf-8"?>
<Properties xmlns="http://schemas.openxmlformats.org/officeDocument/2006/custom-properties" xmlns:vt="http://schemas.openxmlformats.org/officeDocument/2006/docPropsVTypes"/>
</file>