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/>
          <w:sz w:val="22"/>
        </w:rPr>
        <w:id w:val="651202764"/>
        <w:docPartObj>
          <w:docPartGallery w:val="Table of Contents"/>
          <w:docPartUnique/>
        </w:docPartObj>
      </w:sdtPr>
      <w:sdtEndPr/>
      <w:sdtContent>
        <w:p w14:paraId="394AD601" w14:textId="77777777" w:rsidR="0048372B" w:rsidRPr="00D94821" w:rsidRDefault="0048372B" w:rsidP="00D94821">
          <w:pPr>
            <w:rPr>
              <w:color w:val="2F5496" w:themeColor="accent1" w:themeShade="BF"/>
              <w:sz w:val="40"/>
              <w:szCs w:val="36"/>
            </w:rPr>
          </w:pPr>
          <w:r>
            <w:rPr>
              <w:rStyle w:val="nfasisintenso"/>
            </w:rPr>
            <w:t>Índice</w:t>
          </w:r>
        </w:p>
        <w:p w14:paraId="796C8B1C" w14:textId="57D33C03" w:rsidR="00FF2082" w:rsidRDefault="75614E7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r>
            <w:fldChar w:fldCharType="begin"/>
            <w:instrText>TOC \o "1-3" \h \z \u</w:instrText>
            <w:fldChar w:fldCharType="separate"/>
          </w:r>
          <w:hyperlink w:anchor="_Toc149320430" w:history="1">
            <w:r>
              <w:rPr>
                <w:rStyle w:val="Hipervnculo"/>
                <w:rFonts w:ascii="Arial" w:eastAsia="Calibri" w:hAnsi="Arial"/>
                <w:noProof/>
              </w:rPr>
              <w:t>1.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_Toc149320430 \h </w:instrText>
              <w:fldChar w:fldCharType="separate"/>
              <w:t>2</w:t>
              <w:fldChar w:fldCharType="end"/>
            </w:r>
          </w:hyperlink>
        </w:p>
        <w:p w14:paraId="54219AE5" w14:textId="0F51B066" w:rsidR="00FF2082" w:rsidRDefault="00CA5AA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9320431" w:history="1">
            <w:r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Datos del cliente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_Toc149320431 \h </w:instrText>
              <w:fldChar w:fldCharType="separate"/>
              <w:t>2</w:t>
              <w:fldChar w:fldCharType="end"/>
            </w:r>
          </w:hyperlink>
        </w:p>
        <w:p w14:paraId="2840286C" w14:textId="446D508F" w:rsidR="00FF2082" w:rsidRDefault="00CA5AA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9320432" w:history="1">
            <w:r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Necesidad comercial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_Toc149320432 \h </w:instrText>
              <w:fldChar w:fldCharType="separate"/>
              <w:t>2</w:t>
              <w:fldChar w:fldCharType="end"/>
            </w:r>
          </w:hyperlink>
        </w:p>
        <w:p w14:paraId="405B79EC" w14:textId="28F60A1C" w:rsidR="00FF2082" w:rsidRDefault="00CA5AA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9320433" w:history="1">
            <w:r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Descripción del producto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_Toc149320433 \h </w:instrText>
              <w:fldChar w:fldCharType="separate"/>
              <w:t>2</w:t>
              <w:fldChar w:fldCharType="end"/>
            </w:r>
          </w:hyperlink>
        </w:p>
        <w:p w14:paraId="10611F8A" w14:textId="3C687CD5" w:rsidR="00FF2082" w:rsidRDefault="00CA5AA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9320434" w:history="1">
            <w:r>
              <w:rPr>
                <w:rStyle w:val="Hipervnculo"/>
                <w:noProof/>
              </w:rPr>
              <w:t>6.1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_Toc149320434 \h </w:instrText>
              <w:fldChar w:fldCharType="separate"/>
              <w:t>2</w:t>
              <w:fldChar w:fldCharType="end"/>
            </w:r>
          </w:hyperlink>
        </w:p>
        <w:p w14:paraId="7903AB93" w14:textId="337D0D6B" w:rsidR="00FF2082" w:rsidRDefault="00CA5AA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9320435" w:history="1">
            <w:r>
              <w:rPr>
                <w:rStyle w:val="Hipervnculo"/>
                <w:noProof/>
              </w:rPr>
              <w:t>6.2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Lista de requisitos generales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_Toc149320435 \h </w:instrText>
              <w:fldChar w:fldCharType="separate"/>
              <w:t>2</w:t>
              <w:fldChar w:fldCharType="end"/>
            </w:r>
          </w:hyperlink>
        </w:p>
        <w:p w14:paraId="1CDA1A52" w14:textId="30340FB7" w:rsidR="00FF2082" w:rsidRDefault="00CA5AA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9320436" w:history="1">
            <w:r>
              <w:rPr>
                <w:rStyle w:val="Hipervnculo"/>
                <w:noProof/>
              </w:rPr>
              <w:t>7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Alcance del proyecto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_Toc149320436 \h </w:instrText>
              <w:fldChar w:fldCharType="separate"/>
              <w:t>2</w:t>
              <w:fldChar w:fldCharType="end"/>
            </w:r>
          </w:hyperlink>
        </w:p>
        <w:p w14:paraId="76306F43" w14:textId="689ED829" w:rsidR="00FF2082" w:rsidRDefault="00CA5AA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9320437" w:history="1">
            <w:r>
              <w:rPr>
                <w:rStyle w:val="Hipervnculo"/>
                <w:noProof/>
              </w:rPr>
              <w:t>8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Expectativas del producto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_Toc149320437 \h </w:instrText>
              <w:fldChar w:fldCharType="separate"/>
              <w:t>2</w:t>
              <w:fldChar w:fldCharType="end"/>
            </w:r>
          </w:hyperlink>
        </w:p>
        <w:p w14:paraId="3B295560" w14:textId="5A81BBF3" w:rsidR="00FF2082" w:rsidRDefault="00CA5AA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9320438" w:history="1">
            <w:r>
              <w:rPr>
                <w:rStyle w:val="Hipervnculo"/>
                <w:noProof/>
              </w:rPr>
              <w:t>9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_Toc149320438 \h </w:instrText>
              <w:fldChar w:fldCharType="separate"/>
              <w:t>2</w:t>
              <w:fldChar w:fldCharType="end"/>
            </w:r>
          </w:hyperlink>
        </w:p>
        <w:p w14:paraId="3BBD1D6A" w14:textId="2CA881A5" w:rsidR="00FF2082" w:rsidRDefault="00CA5AA8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9320439" w:history="1">
            <w:r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_Toc149320439 \h </w:instrText>
              <w:fldChar w:fldCharType="separate"/>
              <w:t>3</w:t>
              <w:fldChar w:fldCharType="end"/>
            </w:r>
          </w:hyperlink>
        </w:p>
        <w:p w14:paraId="639DA332" w14:textId="611E47AB" w:rsidR="00AA3076" w:rsidRPr="00854FEB" w:rsidRDefault="75614E7F" w:rsidP="00854FEB">
          <w:pPr>
            <w:pStyle w:val="TDC1"/>
            <w:tabs>
              <w:tab w:val="left" w:pos="480"/>
              <w:tab w:val="right" w:leader="dot" w:pos="8490"/>
            </w:tabs>
            <w:rPr>
              <w:color w:val="0563C1" w:themeColor="hyperlink"/>
              <w:u w:val="single"/>
            </w:rPr>
          </w:pPr>
          <w:r>
            <w:fldChar w:fldCharType="end"/>
          </w:r>
        </w:p>
      </w:sdtContent>
    </w:sdt>
    <w:p w14:paraId="2D57971F" w14:textId="4BFF64B2" w:rsidR="00AA3076" w:rsidRDefault="00AA3076" w:rsidP="009474AD"/>
    <w:p w14:paraId="73560DD8" w14:textId="475E0457" w:rsidR="00AA3076" w:rsidRDefault="00AA3076" w:rsidP="009474AD"/>
    <w:p w14:paraId="7CD95498" w14:textId="388F4700" w:rsidR="00AA3076" w:rsidRDefault="00AA3076" w:rsidP="009474AD"/>
    <w:p w14:paraId="5B5398E5" w14:textId="311D72D8" w:rsidR="00AA3076" w:rsidRDefault="00AA3076" w:rsidP="009474AD"/>
    <w:p w14:paraId="51CB8EAD" w14:textId="092D6442" w:rsidR="00AA3076" w:rsidRDefault="00AA3076" w:rsidP="009474AD"/>
    <w:p w14:paraId="7E35C077" w14:textId="77777777" w:rsidR="00854FEB" w:rsidRDefault="00854FEB" w:rsidP="009474AD"/>
    <w:p w14:paraId="0F3BDC93" w14:textId="77777777" w:rsidR="00854FEB" w:rsidRDefault="00854FEB" w:rsidP="009474AD"/>
    <w:p w14:paraId="6C23FCC4" w14:textId="77777777" w:rsidR="00854FEB" w:rsidRDefault="00854FEB" w:rsidP="009474AD"/>
    <w:p w14:paraId="2D6BF08D" w14:textId="20F80A05" w:rsidR="00AA3076" w:rsidRDefault="00AA3076" w:rsidP="009474AD"/>
    <w:p w14:paraId="66A52F84" w14:textId="6A1CC2A7" w:rsidR="00AA3076" w:rsidRDefault="00AA3076" w:rsidP="009474AD"/>
    <w:p w14:paraId="6C64697E" w14:textId="632FE508" w:rsidR="00AA3076" w:rsidRDefault="00AA3076" w:rsidP="009474AD"/>
    <w:p w14:paraId="3F72513A" w14:textId="1FA2F870" w:rsidR="00AA3076" w:rsidRDefault="00AA3076" w:rsidP="009474AD"/>
    <w:p w14:paraId="4A219669" w14:textId="05941D0E" w:rsidR="00AA3076" w:rsidRDefault="00AA3076" w:rsidP="009474AD"/>
    <w:p w14:paraId="1E2B4C93" w14:textId="7E255680" w:rsidR="00AA3076" w:rsidRDefault="00AA3076" w:rsidP="009474AD"/>
    <w:p w14:paraId="3D9834D9" w14:textId="7BCD4977" w:rsidR="0E486630" w:rsidRPr="00430DF9" w:rsidRDefault="0E486630" w:rsidP="00430DF9">
      <w:pPr>
        <w:spacing w:after="160" w:line="259" w:lineRule="auto"/>
      </w:pPr>
    </w:p>
    <w:p w14:paraId="28F898B9" w14:textId="5D7B90F8" w:rsidR="018BE618" w:rsidRDefault="018BE618" w:rsidP="006729BA">
      <w:pPr>
        <w:pStyle w:val="Ttulo1"/>
        <w:numPr>
          <w:ilvl w:val="0"/>
          <w:numId w:val="6"/>
        </w:numPr>
        <w:rPr>
          <w:rFonts w:ascii="Arial" w:eastAsia="Calibri" w:hAnsi="Arial" w:cs="Times New Roman"/>
          <w:sz w:val="24"/>
          <w:szCs w:val="24"/>
        </w:rPr>
      </w:pPr>
      <w:bookmarkStart w:id="0" w:name="_Toc149320430"/>
      <w:r>
        <w:lastRenderedPageBreak/>
        <w:t>Propósito</w:t>
      </w:r>
      <w:bookmarkEnd w:id="0"/>
    </w:p>
    <w:p w14:paraId="6484A315" w14:textId="129FDB09" w:rsidR="75614E7F" w:rsidRPr="00430DF9" w:rsidRDefault="00156364" w:rsidP="006729BA">
      <w:p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Brindar una declaración clara y concisa que describe los elementos necesarios para comprender la necesidad del producto</w:t>
      </w:r>
      <w:r>
        <w:rPr>
          <w:rFonts w:asciiTheme="minorHAnsi" w:hAnsiTheme="minorHAnsi" w:cstheme="minorHAnsi"/>
          <w:i/>
          <w:iCs/>
          <w:color w:val="7F7F7F" w:themeColor="text1" w:themeTint="80"/>
          <w:sz w:val="20"/>
          <w:szCs w:val="20"/>
        </w:rPr>
        <w:t xml:space="preserve"> Portabilidad de Derechos Pensionarios entre ISSSTE e IMSS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30A174D3" w14:textId="43B7522D" w:rsidR="00BE67AA" w:rsidRDefault="00D930D5" w:rsidP="006729BA">
      <w:pPr>
        <w:pStyle w:val="Ttulo1"/>
        <w:numPr>
          <w:ilvl w:val="0"/>
          <w:numId w:val="6"/>
        </w:numPr>
      </w:pPr>
      <w:bookmarkStart w:id="1" w:name="_Toc149320431"/>
      <w:r>
        <w:t xml:space="preserve">Datos del cliente</w:t>
      </w:r>
      <w:bookmarkEnd w:id="1"/>
      <w:r>
        <w:t xml:space="preserve"> </w:t>
      </w:r>
    </w:p>
    <w:p w14:paraId="6B591226" w14:textId="102D31ED" w:rsidR="005948E0" w:rsidRPr="005C3E16" w:rsidRDefault="005C3E16" w:rsidP="006729BA">
      <w:pPr>
        <w:spacing w:after="0"/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Nombre del cliente: </w:t>
      </w:r>
      <w:r>
        <w:rPr>
          <w:rFonts w:asciiTheme="minorHAnsi" w:hAnsiTheme="minorHAnsi" w:cstheme="minorHAnsi"/>
          <w:i/>
          <w:iCs/>
          <w:color w:val="7F7F7F" w:themeColor="text1" w:themeTint="80"/>
          <w:sz w:val="20"/>
          <w:szCs w:val="20"/>
        </w:rPr>
        <w:t>Instituto de Seguridad y Servicios Sociales de los Trabajadores del Estado (ISSSTE)</w:t>
      </w:r>
    </w:p>
    <w:p w14:paraId="489FDCE1" w14:textId="77777777" w:rsidR="005F642C" w:rsidRDefault="005F642C" w:rsidP="006729BA">
      <w:pPr>
        <w:pStyle w:val="Ttulo1"/>
        <w:numPr>
          <w:ilvl w:val="0"/>
          <w:numId w:val="6"/>
        </w:numPr>
      </w:pPr>
      <w:bookmarkStart w:id="2" w:name="_Toc149320432"/>
      <w:r>
        <w:t>Necesidad comercial</w:t>
      </w:r>
      <w:bookmarkEnd w:id="2"/>
    </w:p>
    <w:p w14:paraId="2412D21F" w14:textId="0CECDD25" w:rsidR="00CD2B2B" w:rsidRPr="00E72D12" w:rsidRDefault="00B92F3B" w:rsidP="006729BA">
      <w:pPr>
        <w:spacing w:after="0"/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</w:pPr>
      <w:r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 xml:space="preserve">ISSSTE no cuenta con un mecanismo sistematizado, auditable y con validez legal para tramitar la portabilidad de derechos pensionarios de un derechohabiente entre ISSSTE e IMSS, incluyendo los casos en que un mismo derechohabiente requiere portar sus derechos más de una vez a lo largo de su vida laboral. Esto se traduce en trámites lentos, propensos a error humano, sin trazabilidad uniforme y sin una aplicación consistente de las reglas de elegibilidad entre ambos sentidos del proceso.</w:t>
      </w:r>
    </w:p>
    <w:p w14:paraId="418B207E" w14:textId="77777777" w:rsidR="005F642C" w:rsidRDefault="005F642C" w:rsidP="006729BA">
      <w:pPr>
        <w:pStyle w:val="Ttulo1"/>
        <w:numPr>
          <w:ilvl w:val="0"/>
          <w:numId w:val="6"/>
        </w:numPr>
      </w:pPr>
      <w:bookmarkStart w:id="3" w:name="_Toc149320433"/>
      <w:r>
        <w:t>Descripción del producto</w:t>
      </w:r>
      <w:bookmarkEnd w:id="3"/>
    </w:p>
    <w:p w14:paraId="074C69D1" w14:textId="77777777" w:rsidR="00D93274" w:rsidRDefault="003438F8" w:rsidP="006729BA">
      <w:pPr>
        <w:pStyle w:val="Ttulo2"/>
        <w:numPr>
          <w:ilvl w:val="1"/>
          <w:numId w:val="6"/>
        </w:numPr>
        <w:spacing w:after="0" w:afterAutospacing="0"/>
      </w:pPr>
      <w:bookmarkStart w:id="4" w:name="_Toc149320434"/>
      <w:r>
        <w:rPr>
          <w:b w:val="0"/>
          <w:bCs w:val="0"/>
        </w:rPr>
        <w:t>Propósito</w:t>
      </w:r>
      <w:bookmarkEnd w:id="4"/>
    </w:p>
    <w:p w14:paraId="6A96BF25" w14:textId="45F722F8" w:rsidR="008A3104" w:rsidRPr="00D81237" w:rsidRDefault="00CF3556" w:rsidP="006729BA">
      <w:pPr>
        <w:spacing w:after="0"/>
        <w:rPr>
          <w:rFonts w:asciiTheme="minorHAnsi" w:hAnsiTheme="minorHAnsi" w:cstheme="minorHAnsi"/>
          <w:i/>
          <w:iCs/>
          <w:color w:val="7F7F7F" w:themeColor="text1" w:themeTint="80"/>
          <w:sz w:val="20"/>
          <w:szCs w:val="28"/>
        </w:rPr>
      </w:pPr>
      <w:r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 xml:space="preserve">Para el ISSSTE y los derechohabientes que solicitan portabilidad de derechos pensionarios, que requieren tramitar la portabilidad hacia o desde el IMSS de forma confiable y auditable, el sistema de Portabilidad de Derechos Pensionarios entre ISSSTE e IMSS captura, valida, firma electrónicamente y da seguimiento a la solicitud, coordinando el intercambio con IMSS, ProceSAR, RENAPO y la CNSF. A diferencia de un proceso manual o disperso sin reglas de elegibilidad uniformes ni trazabilidad, el producto aplica un catálogo único de reglas de negocio y motivos de rechazo, genera documentos con validez legal y mantiene bitácora completa del trámite.</w:t>
        <w:br/>
        <w:t xml:space="preserve"/>
      </w:r>
    </w:p>
    <w:p w14:paraId="6326DAE8" w14:textId="12EB958C" w:rsidR="005B01CE" w:rsidRDefault="005F642C" w:rsidP="006729BA">
      <w:pPr>
        <w:pStyle w:val="Ttulo2"/>
        <w:numPr>
          <w:ilvl w:val="1"/>
          <w:numId w:val="6"/>
        </w:numPr>
        <w:spacing w:after="0" w:afterAutospacing="0"/>
        <w:rPr>
          <w:b w:val="0"/>
          <w:bCs w:val="0"/>
          <w:lang w:val="es-MX"/>
        </w:rPr>
      </w:pPr>
      <w:bookmarkStart w:id="5" w:name="_Toc149320435"/>
      <w:r>
        <w:rPr>
          <w:b w:val="0"/>
          <w:bCs w:val="0"/>
        </w:rPr>
        <w:t xml:space="preserve">Lista de requisitos </w:t>
      </w:r>
      <w:r>
        <w:rPr>
          <w:b w:val="0"/>
          <w:bCs w:val="0"/>
          <w:lang w:val="es-MX"/>
        </w:rPr>
        <w:t>generales</w:t>
      </w:r>
      <w:bookmarkEnd w:id="5"/>
    </w:p>
    <w:p w14:paraId="69FD5E15" w14:textId="666000AC" w:rsidR="005B01CE" w:rsidRPr="005B01CE" w:rsidRDefault="005B01CE" w:rsidP="006729BA">
      <w:pPr>
        <w:spacing w:after="0"/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</w:pPr>
      <w:r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 xml:space="preserve">Los requisitos generales identificados para el proyecto son los siguientes:</w:t>
      </w:r>
    </w:p>
    <w:tbl>
      <w:tblPr>
        <w:tblStyle w:val="Tablaconcuadrcula"/>
        <w:tblW w:w="8490" w:type="dxa"/>
        <w:tblLook w:val="04A0" w:firstRow="1" w:lastRow="0" w:firstColumn="1" w:lastColumn="0" w:noHBand="0" w:noVBand="1"/>
      </w:tblPr>
      <w:tblGrid>
        <w:gridCol w:w="630"/>
        <w:gridCol w:w="3455"/>
        <w:gridCol w:w="4405"/>
      </w:tblGrid>
      <w:tr w:rsidR="00D96792" w14:paraId="7A02D995" w14:textId="77777777" w:rsidTr="069806F4">
        <w:trPr>
          <w:trHeight w:val="346"/>
        </w:trPr>
        <w:tc>
          <w:tcPr>
            <w:tcW w:w="630" w:type="dxa"/>
            <w:shd w:val="clear" w:color="auto" w:fill="595959" w:themeFill="text1" w:themeFillTint="A6"/>
          </w:tcPr>
          <w:p w14:paraId="43D0F5A5" w14:textId="290C1408" w:rsidR="63D76B62" w:rsidRDefault="63D76B62" w:rsidP="069806F4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No.</w:t>
            </w:r>
          </w:p>
        </w:tc>
        <w:tc>
          <w:tcPr>
            <w:tcW w:w="3455" w:type="dxa"/>
            <w:shd w:val="clear" w:color="auto" w:fill="595959" w:themeFill="text1" w:themeFillTint="A6"/>
          </w:tcPr>
          <w:p w14:paraId="57EABD66" w14:textId="33AB2238" w:rsidR="00D96792" w:rsidRPr="00724588" w:rsidRDefault="00D96792" w:rsidP="00724588">
            <w:pPr>
              <w:spacing w:after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Requisito</w:t>
            </w:r>
          </w:p>
        </w:tc>
        <w:tc>
          <w:tcPr>
            <w:tcW w:w="4405" w:type="dxa"/>
            <w:shd w:val="clear" w:color="auto" w:fill="595959" w:themeFill="text1" w:themeFillTint="A6"/>
          </w:tcPr>
          <w:p w14:paraId="6370D0B0" w14:textId="4EC166C7" w:rsidR="00D96792" w:rsidRPr="00724588" w:rsidRDefault="00D96792" w:rsidP="00724588">
            <w:pPr>
              <w:spacing w:after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Descripción</w:t>
            </w:r>
          </w:p>
        </w:tc>
      </w:tr>
      <w:tr w:rsidR="00D96792" w14:paraId="050207EA" w14:textId="77777777" w:rsidTr="069806F4">
        <w:trPr>
          <w:trHeight w:val="408"/>
        </w:trPr>
        <w:tc>
          <w:tcPr>
            <w:tcW w:w="630" w:type="dxa"/>
          </w:tcPr>
          <w:p w14:paraId="4F2E10AC" w14:textId="71A2E03C" w:rsidR="02C3237D" w:rsidRDefault="02C3237D" w:rsidP="069806F4">
            <w:pPr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  <w:t>#</w:t>
            </w:r>
          </w:p>
        </w:tc>
        <w:tc>
          <w:tcPr>
            <w:tcW w:w="3455" w:type="dxa"/>
          </w:tcPr>
          <w:p w14:paraId="037F2C21" w14:textId="065FB94B" w:rsidR="00D96792" w:rsidRPr="00724588" w:rsidRDefault="00D96792" w:rsidP="00D51A89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>Nombre corto del requisito</w:t>
            </w:r>
          </w:p>
        </w:tc>
        <w:tc>
          <w:tcPr>
            <w:tcW w:w="4405" w:type="dxa"/>
          </w:tcPr>
          <w:p w14:paraId="40CC9F24" w14:textId="4FF81661" w:rsidR="00D96792" w:rsidRPr="00724588" w:rsidRDefault="00D96792" w:rsidP="00D51A89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>Descripción del requisito</w:t>
            </w:r>
          </w:p>
        </w:tc>
      </w:tr>
      <w:tr w:rsidR="00D96792" w14:paraId="52E0BA12" w14:textId="77777777" w:rsidTr="069806F4">
        <w:trPr>
          <w:trHeight w:val="427"/>
        </w:trPr>
        <w:tc>
          <w:tcPr>
            <w:tcW w:w="630" w:type="dxa"/>
          </w:tcPr>
          <w:p w14:paraId="4B15BB15" w14:textId="05CDBB7C" w:rsidR="22F416C7" w:rsidRDefault="22F416C7" w:rsidP="069806F4">
            <w:pPr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  <w:t>1</w:t>
            </w:r>
          </w:p>
        </w:tc>
        <w:tc>
          <w:tcPr>
            <w:tcW w:w="3455" w:type="dxa"/>
          </w:tcPr>
          <w:p w14:paraId="3B28A4A4" w14:textId="772D592B" w:rsidR="00D96792" w:rsidRPr="005562E7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 xml:space="preserve">Captura y validación de identidad</w:t>
            </w:r>
          </w:p>
        </w:tc>
        <w:tc>
          <w:tcPr>
            <w:tcW w:w="4405" w:type="dxa"/>
          </w:tcPr>
          <w:p w14:paraId="2140ED6A" w14:textId="70ABB142" w:rsidR="00D96792" w:rsidRPr="005562E7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 xml:space="preserve">Captura y validación de identidad del derechohabiente (CURP contra RENAPO, datos de la BDUD).</w:t>
            </w:r>
          </w:p>
        </w:tc>
      </w:tr>
      <w:tr w:rsidR="00D96792" w14:paraId="52E0BA12" w14:textId="77777777" w:rsidTr="069806F4">
        <w:trPr>
          <w:trHeight w:val="427"/>
        </w:trPr>
        <w:tc>
          <w:tcPr>
            <w:tcW w:w="630" w:type="dxa"/>
          </w:tcPr>
          <w:p w14:paraId="4B15BB15" w14:textId="05CDBB7C" w:rsidR="22F416C7" w:rsidRDefault="22F416C7" w:rsidP="069806F4">
            <w:pPr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  <w:t>2</w:t>
            </w:r>
          </w:p>
        </w:tc>
        <w:tc>
          <w:tcPr>
            <w:tcW w:w="3455" w:type="dxa"/>
          </w:tcPr>
          <w:p w14:paraId="3B28A4A4" w14:textId="772D592B" w:rsidR="00D96792" w:rsidRPr="005562E7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 xml:space="preserve">Elegibilidad uniforme en ambos sentidos</w:t>
            </w:r>
          </w:p>
        </w:tc>
        <w:tc>
          <w:tcPr>
            <w:tcW w:w="4405" w:type="dxa"/>
          </w:tcPr>
          <w:p w14:paraId="2140ED6A" w14:textId="70ABB142" w:rsidR="00D96792" w:rsidRPr="005562E7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 xml:space="preserve">Aplicación uniforme de reglas de elegibilidad, tanto en el proceso saliente (ISSSTE→IMSS) como en el entrante (IMSS→ISSSTE).</w:t>
            </w:r>
          </w:p>
        </w:tc>
      </w:tr>
      <w:tr w:rsidR="00D96792" w14:paraId="52E0BA12" w14:textId="77777777" w:rsidTr="069806F4">
        <w:trPr>
          <w:trHeight w:val="427"/>
        </w:trPr>
        <w:tc>
          <w:tcPr>
            <w:tcW w:w="630" w:type="dxa"/>
          </w:tcPr>
          <w:p w14:paraId="4B15BB15" w14:textId="05CDBB7C" w:rsidR="22F416C7" w:rsidRDefault="22F416C7" w:rsidP="069806F4">
            <w:pPr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  <w:t>3</w:t>
            </w:r>
          </w:p>
        </w:tc>
        <w:tc>
          <w:tcPr>
            <w:tcW w:w="3455" w:type="dxa"/>
          </w:tcPr>
          <w:p w14:paraId="3B28A4A4" w14:textId="772D592B" w:rsidR="00D96792" w:rsidRPr="005562E7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 xml:space="preserve">Firma electrónica y sello digital</w:t>
            </w:r>
          </w:p>
        </w:tc>
        <w:tc>
          <w:tcPr>
            <w:tcW w:w="4405" w:type="dxa"/>
          </w:tcPr>
          <w:p w14:paraId="2140ED6A" w14:textId="70ABB142" w:rsidR="00D96792" w:rsidRPr="005562E7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 xml:space="preserve">Firma electrónica y sello digital con validez legal para los documentos generados (Solicitud y Resolución de Transferencia de Derechos).</w:t>
            </w:r>
          </w:p>
        </w:tc>
      </w:tr>
      <w:tr w:rsidR="00D96792" w14:paraId="52E0BA12" w14:textId="77777777" w:rsidTr="069806F4">
        <w:trPr>
          <w:trHeight w:val="427"/>
        </w:trPr>
        <w:tc>
          <w:tcPr>
            <w:tcW w:w="630" w:type="dxa"/>
          </w:tcPr>
          <w:p w14:paraId="4B15BB15" w14:textId="05CDBB7C" w:rsidR="22F416C7" w:rsidRDefault="22F416C7" w:rsidP="069806F4">
            <w:pPr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  <w:t>4</w:t>
            </w:r>
          </w:p>
        </w:tc>
        <w:tc>
          <w:tcPr>
            <w:tcW w:w="3455" w:type="dxa"/>
          </w:tcPr>
          <w:p w14:paraId="3B28A4A4" w14:textId="772D592B" w:rsidR="00D96792" w:rsidRPr="005562E7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 xml:space="preserve">Intercambio con institutos externos</w:t>
            </w:r>
          </w:p>
        </w:tc>
        <w:tc>
          <w:tcPr>
            <w:tcW w:w="4405" w:type="dxa"/>
          </w:tcPr>
          <w:p w14:paraId="2140ED6A" w14:textId="70ABB142" w:rsidR="00D96792" w:rsidRPr="005562E7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 xml:space="preserve">Intercambio de información con IMSS, ProceSAR, RENAPO y CNSF mediante contratos de servicio documentados.</w:t>
            </w:r>
          </w:p>
        </w:tc>
      </w:tr>
      <w:tr w:rsidR="00D96792" w14:paraId="52E0BA12" w14:textId="77777777" w:rsidTr="069806F4">
        <w:trPr>
          <w:trHeight w:val="427"/>
        </w:trPr>
        <w:tc>
          <w:tcPr>
            <w:tcW w:w="630" w:type="dxa"/>
          </w:tcPr>
          <w:p w14:paraId="4B15BB15" w14:textId="05CDBB7C" w:rsidR="22F416C7" w:rsidRDefault="22F416C7" w:rsidP="069806F4">
            <w:pPr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  <w:t>5</w:t>
            </w:r>
          </w:p>
        </w:tc>
        <w:tc>
          <w:tcPr>
            <w:tcW w:w="3455" w:type="dxa"/>
          </w:tcPr>
          <w:p w14:paraId="3B28A4A4" w14:textId="772D592B" w:rsidR="00D96792" w:rsidRPr="005562E7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 xml:space="preserve">Dictamen de beneficio pensionario</w:t>
            </w:r>
          </w:p>
        </w:tc>
        <w:tc>
          <w:tcPr>
            <w:tcW w:w="4405" w:type="dxa"/>
          </w:tcPr>
          <w:p w14:paraId="2140ED6A" w14:textId="70ABB142" w:rsidR="00D96792" w:rsidRPr="005562E7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 xml:space="preserve">Cálculo del dictamen de beneficio pensionario combinando los tiempos cotizados de ambos institutos y la edad del derechohabiente.</w:t>
            </w:r>
          </w:p>
        </w:tc>
      </w:tr>
      <w:tr w:rsidR="00D96792" w14:paraId="52E0BA12" w14:textId="77777777" w:rsidTr="069806F4">
        <w:trPr>
          <w:trHeight w:val="427"/>
        </w:trPr>
        <w:tc>
          <w:tcPr>
            <w:tcW w:w="630" w:type="dxa"/>
          </w:tcPr>
          <w:p w14:paraId="4B15BB15" w14:textId="05CDBB7C" w:rsidR="22F416C7" w:rsidRDefault="22F416C7" w:rsidP="069806F4">
            <w:pPr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  <w:t>6</w:t>
            </w:r>
          </w:p>
        </w:tc>
        <w:tc>
          <w:tcPr>
            <w:tcW w:w="3455" w:type="dxa"/>
          </w:tcPr>
          <w:p w14:paraId="3B28A4A4" w14:textId="772D592B" w:rsidR="00D96792" w:rsidRPr="005562E7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 xml:space="preserve">Trazabilidad completa del trámite</w:t>
            </w:r>
          </w:p>
        </w:tc>
        <w:tc>
          <w:tcPr>
            <w:tcW w:w="4405" w:type="dxa"/>
          </w:tcPr>
          <w:p w14:paraId="2140ED6A" w14:textId="70ABB142" w:rsidR="00D96792" w:rsidRPr="005562E7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 xml:space="preserve">Bitácora completa del trámite y catálogo oficial y versionado de motivos de rechazo.</w:t>
            </w:r>
          </w:p>
        </w:tc>
      </w:tr>
      <w:tr w:rsidR="00D96792" w14:paraId="52E0BA12" w14:textId="77777777" w:rsidTr="069806F4">
        <w:trPr>
          <w:trHeight w:val="427"/>
        </w:trPr>
        <w:tc>
          <w:tcPr>
            <w:tcW w:w="630" w:type="dxa"/>
          </w:tcPr>
          <w:p w14:paraId="4B15BB15" w14:textId="05CDBB7C" w:rsidR="22F416C7" w:rsidRDefault="22F416C7" w:rsidP="069806F4">
            <w:pPr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  <w:t>7</w:t>
            </w:r>
          </w:p>
        </w:tc>
        <w:tc>
          <w:tcPr>
            <w:tcW w:w="3455" w:type="dxa"/>
          </w:tcPr>
          <w:p w14:paraId="3B28A4A4" w14:textId="772D592B" w:rsidR="00D96792" w:rsidRPr="005562E7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 xml:space="preserve">Habilitación de la re-portabilidad</w:t>
            </w:r>
          </w:p>
        </w:tc>
        <w:tc>
          <w:tcPr>
            <w:tcW w:w="4405" w:type="dxa"/>
          </w:tcPr>
          <w:p w14:paraId="2140ED6A" w14:textId="70ABB142" w:rsidR="00D96792" w:rsidRPr="005562E7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 xml:space="preserve">Permitir que un derechohabiente que ya concluyó un trámite de portabilidad pueda realizar uno nuevo, sin que los periodos ya marcados (clave 410) constituyan un impedimento.</w:t>
            </w:r>
          </w:p>
        </w:tc>
      </w:tr>
    </w:tbl>
    <w:p w14:paraId="18D58174" w14:textId="77777777" w:rsidR="00D45D73" w:rsidRPr="00D45D73" w:rsidRDefault="00D45D73" w:rsidP="006729BA">
      <w:pPr>
        <w:spacing w:after="0"/>
      </w:pPr>
    </w:p>
    <w:p w14:paraId="333B6B83" w14:textId="75BDA640" w:rsidR="004F2071" w:rsidRDefault="00BF138F" w:rsidP="006729BA">
      <w:pPr>
        <w:pStyle w:val="Ttulo1"/>
        <w:numPr>
          <w:ilvl w:val="0"/>
          <w:numId w:val="6"/>
        </w:numPr>
        <w:spacing w:before="0"/>
      </w:pPr>
      <w:bookmarkStart w:id="6" w:name="_Toc149320436"/>
      <w:r>
        <w:t xml:space="preserve">Alcance del proyecto</w:t>
      </w:r>
      <w:bookmarkEnd w:id="6"/>
    </w:p>
    <w:p w14:paraId="6024ADEA" w14:textId="36C0E3E7" w:rsidR="001763BE" w:rsidRPr="009D75C7" w:rsidRDefault="009D75C7" w:rsidP="006729BA">
      <w:pPr>
        <w:spacing w:after="0"/>
        <w:rPr>
          <w:rFonts w:asciiTheme="minorHAnsi" w:hAnsiTheme="minorHAnsi" w:cstheme="minorHAnsi"/>
          <w:i/>
          <w:iCs/>
          <w:color w:val="7F7F7F" w:themeColor="text1" w:themeTint="80"/>
          <w:sz w:val="20"/>
          <w:szCs w:val="20"/>
        </w:rPr>
      </w:pPr>
      <w:r>
        <w:rPr>
          <w:rFonts w:asciiTheme="minorHAnsi" w:hAnsiTheme="minorHAnsi" w:cstheme="minorHAnsi"/>
          <w:i/>
          <w:iCs/>
          <w:color w:val="7F7F7F" w:themeColor="text1" w:themeTint="80"/>
          <w:sz w:val="20"/>
          <w:szCs w:val="20"/>
        </w:rPr>
        <w:t>Incluye: el proceso saliente (ISSSTE inicia y da seguimiento a una solicitud de portabilidad hacia IMSS, coordinándose con ProceSAR); el proceso entrante (IMSS inicia una solicitud de portabilidad hacia ISSSTE); la interoperabilidad con RENAPO, el servicio de firma electrónica, ProceSAR (saldos preliminares) y la CNSF; y la re-portabilidad, entendida como la posibilidad de que un derechohabiente que ya concluyó un trámite de portabilidad realice uno nuevo. No incluye: procesos de portabilidad con institutos de seguridad social distintos de IMSS; el alcance de este proyecto se limita al intercambio ISSSTE-IMSS.</w:t>
      </w:r>
    </w:p>
    <w:p w14:paraId="6720043E" w14:textId="488C66EA" w:rsidR="004F2071" w:rsidRDefault="003C398F" w:rsidP="006729BA">
      <w:pPr>
        <w:pStyle w:val="Ttulo1"/>
        <w:numPr>
          <w:ilvl w:val="0"/>
          <w:numId w:val="6"/>
        </w:numPr>
      </w:pPr>
      <w:bookmarkStart w:id="7" w:name="_Toc149320437"/>
      <w:r>
        <w:t>Expectativas del producto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03"/>
        <w:gridCol w:w="7891"/>
      </w:tblGrid>
      <w:tr w:rsidR="00931957" w14:paraId="77929FBF" w14:textId="77777777" w:rsidTr="003C1469">
        <w:tc>
          <w:tcPr>
            <w:tcW w:w="603" w:type="dxa"/>
            <w:shd w:val="clear" w:color="auto" w:fill="595959" w:themeFill="text1" w:themeFillTint="A6"/>
          </w:tcPr>
          <w:p w14:paraId="36A8367A" w14:textId="7629DBB6" w:rsidR="00931957" w:rsidRPr="005661DE" w:rsidRDefault="00931957" w:rsidP="005661DE">
            <w:pPr>
              <w:spacing w:after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No.</w:t>
            </w:r>
          </w:p>
        </w:tc>
        <w:tc>
          <w:tcPr>
            <w:tcW w:w="7891" w:type="dxa"/>
            <w:shd w:val="clear" w:color="auto" w:fill="595959" w:themeFill="text1" w:themeFillTint="A6"/>
          </w:tcPr>
          <w:p w14:paraId="6E3EBAD6" w14:textId="795CC89A" w:rsidR="00931957" w:rsidRPr="005661DE" w:rsidRDefault="00931957" w:rsidP="005661DE">
            <w:pPr>
              <w:spacing w:after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Descripción </w:t>
            </w:r>
          </w:p>
        </w:tc>
      </w:tr>
      <w:tr w:rsidR="00444393" w14:paraId="1DA2D0A9" w14:textId="77777777" w:rsidTr="003C1469">
        <w:tc>
          <w:tcPr>
            <w:tcW w:w="603" w:type="dxa"/>
          </w:tcPr>
          <w:p w14:paraId="5B65EC8E" w14:textId="720C97AA" w:rsidR="00444393" w:rsidRPr="007545BB" w:rsidRDefault="002172B1" w:rsidP="003C1469">
            <w:pPr>
              <w:spacing w:after="0"/>
              <w:jc w:val="center"/>
              <w:rPr>
                <w:rFonts w:asciiTheme="minorHAnsi" w:hAnsiTheme="minorHAnsi" w:cstheme="minorHAnsi"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0"/>
                <w:szCs w:val="20"/>
              </w:rPr>
              <w:t>#</w:t>
            </w:r>
          </w:p>
        </w:tc>
        <w:tc>
          <w:tcPr>
            <w:tcW w:w="7891" w:type="dxa"/>
          </w:tcPr>
          <w:p w14:paraId="7030DD33" w14:textId="2CB9078D" w:rsidR="00444393" w:rsidRPr="007545BB" w:rsidRDefault="002172B1" w:rsidP="00C90C79">
            <w:pPr>
              <w:spacing w:after="0"/>
              <w:rPr>
                <w:rFonts w:asciiTheme="minorHAnsi" w:hAnsiTheme="minorHAnsi" w:cstheme="minorHAnsi"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0"/>
                <w:szCs w:val="20"/>
              </w:rPr>
              <w:t>Descripción de la expectativa que se espera con el producto</w:t>
            </w:r>
          </w:p>
        </w:tc>
      </w:tr>
      <w:tr w:rsidR="00931957" w14:paraId="2A535AF5" w14:textId="77777777" w:rsidTr="00C173E0">
        <w:tc>
          <w:tcPr>
            <w:tcW w:w="603" w:type="dxa"/>
            <w:vAlign w:val="center"/>
          </w:tcPr>
          <w:p w14:paraId="11A8F209" w14:textId="202B6E3E" w:rsidR="00931957" w:rsidRPr="00C173E0" w:rsidRDefault="00931957" w:rsidP="00C173E0">
            <w:pPr>
              <w:pStyle w:val="Prrafodelista"/>
              <w:numPr>
                <w:ilvl w:val="0"/>
                <w:numId w:val="11"/>
              </w:num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7891" w:type="dxa"/>
          </w:tcPr>
          <w:p w14:paraId="1959EFDB" w14:textId="3A045019" w:rsidR="00931957" w:rsidRPr="007545BB" w:rsidRDefault="00C173E0" w:rsidP="00C90C79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  <w:t xml:space="preserve">Contar con un proceso único y auditable de solicitud de portabilidad, en ambos sentidos (ISSSTE↔IMSS).</w:t>
            </w:r>
          </w:p>
        </w:tc>
      </w:tr>
      <w:tr w:rsidR="00931957" w14:paraId="2A535AF5" w14:textId="77777777" w:rsidTr="00C173E0">
        <w:tc>
          <w:tcPr>
            <w:tcW w:w="603" w:type="dxa"/>
            <w:vAlign w:val="center"/>
          </w:tcPr>
          <w:p w14:paraId="11A8F209" w14:textId="202B6E3E" w:rsidR="00931957" w:rsidRPr="00C173E0" w:rsidRDefault="00931957" w:rsidP="00C173E0">
            <w:pPr>
              <w:pStyle w:val="Prrafodelista"/>
              <w:numPr>
                <w:ilvl w:val="0"/>
                <w:numId w:val="11"/>
              </w:num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7891" w:type="dxa"/>
          </w:tcPr>
          <w:p w14:paraId="1959EFDB" w14:textId="3A045019" w:rsidR="00931957" w:rsidRPr="007545BB" w:rsidRDefault="00C173E0" w:rsidP="00C90C79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  <w:t xml:space="preserve">Reducir el riesgo de errores de elegibilidad mediante la aplicación sistemática de un catálogo único de reglas de negocio.</w:t>
            </w:r>
          </w:p>
        </w:tc>
      </w:tr>
      <w:tr w:rsidR="00931957" w14:paraId="2A535AF5" w14:textId="77777777" w:rsidTr="00C173E0">
        <w:tc>
          <w:tcPr>
            <w:tcW w:w="603" w:type="dxa"/>
            <w:vAlign w:val="center"/>
          </w:tcPr>
          <w:p w14:paraId="11A8F209" w14:textId="202B6E3E" w:rsidR="00931957" w:rsidRPr="00C173E0" w:rsidRDefault="00931957" w:rsidP="00C173E0">
            <w:pPr>
              <w:pStyle w:val="Prrafodelista"/>
              <w:numPr>
                <w:ilvl w:val="0"/>
                <w:numId w:val="11"/>
              </w:num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7891" w:type="dxa"/>
          </w:tcPr>
          <w:p w14:paraId="1959EFDB" w14:textId="3A045019" w:rsidR="00931957" w:rsidRPr="007545BB" w:rsidRDefault="00C173E0" w:rsidP="00C90C79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  <w:t xml:space="preserve">Entregar al derechohabiente documentos verificables (Solicitud y Resolución de Transferencia de Derechos) de su trámite.</w:t>
            </w:r>
          </w:p>
        </w:tc>
      </w:tr>
      <w:tr w:rsidR="00931957" w14:paraId="2A535AF5" w14:textId="77777777" w:rsidTr="00C173E0">
        <w:tc>
          <w:tcPr>
            <w:tcW w:w="603" w:type="dxa"/>
            <w:vAlign w:val="center"/>
          </w:tcPr>
          <w:p w14:paraId="11A8F209" w14:textId="202B6E3E" w:rsidR="00931957" w:rsidRPr="00C173E0" w:rsidRDefault="00931957" w:rsidP="00C173E0">
            <w:pPr>
              <w:pStyle w:val="Prrafodelista"/>
              <w:numPr>
                <w:ilvl w:val="0"/>
                <w:numId w:val="11"/>
              </w:num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7891" w:type="dxa"/>
          </w:tcPr>
          <w:p w14:paraId="1959EFDB" w14:textId="3A045019" w:rsidR="00931957" w:rsidRPr="007545BB" w:rsidRDefault="00C173E0" w:rsidP="00C90C79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  <w:t xml:space="preserve">Permitir que un derechohabiente que ya concluyó un trámite de portabilidad pueda volver a portar sus derechos cuando su situación laboral lo requiera (re-portabilidad).</w:t>
            </w:r>
          </w:p>
        </w:tc>
      </w:tr>
    </w:tbl>
    <w:p w14:paraId="40793BC8" w14:textId="77777777" w:rsidR="00C90C79" w:rsidRPr="00C90C79" w:rsidRDefault="00C90C79" w:rsidP="00C90C79">
      <w:pPr>
        <w:spacing w:after="0"/>
      </w:pPr>
    </w:p>
    <w:p w14:paraId="0F021DA8" w14:textId="7E8B2125" w:rsidR="00BE67AA" w:rsidRDefault="001763BE" w:rsidP="006729BA">
      <w:pPr>
        <w:pStyle w:val="Ttulo1"/>
        <w:numPr>
          <w:ilvl w:val="0"/>
          <w:numId w:val="6"/>
        </w:numPr>
        <w:spacing w:before="0"/>
      </w:pPr>
      <w:bookmarkStart w:id="8" w:name="_Toc149320438"/>
      <w:r>
        <w:t>Objetivos del proyecto</w:t>
      </w:r>
      <w:bookmarkEnd w:id="8"/>
      <w:r>
        <w:t xml:space="preserve"> </w:t>
      </w:r>
    </w:p>
    <w:p w14:paraId="1C1DA830" w14:textId="257CC4D3" w:rsidR="00E03BBF" w:rsidRPr="00AE67FD" w:rsidRDefault="00AE67FD" w:rsidP="009C249D">
      <w:pPr>
        <w:rPr>
          <w:rFonts w:asciiTheme="minorHAnsi" w:hAnsiTheme="minorHAnsi" w:cstheme="minorHAnsi"/>
          <w:i/>
          <w:iCs/>
          <w:color w:val="7F7F7F" w:themeColor="text1" w:themeTint="80"/>
          <w:sz w:val="20"/>
          <w:szCs w:val="20"/>
        </w:rPr>
      </w:pPr>
      <w:r>
        <w:rPr>
          <w:rFonts w:asciiTheme="minorHAnsi" w:hAnsiTheme="minorHAnsi" w:cstheme="minorHAnsi"/>
          <w:i/>
          <w:iCs/>
          <w:color w:val="7F7F7F" w:themeColor="text1" w:themeTint="80"/>
          <w:sz w:val="20"/>
          <w:szCs w:val="20"/>
        </w:rPr>
        <w:t>Contar con un proceso único y auditable de solicitud de portabilidad, en ambos sentidos (ISSSTE↔IMSS). Reducir el riesgo de errores de elegibilidad mediante la aplicación sistemática de un catálogo único de reglas de negocio. Dar validez legal al trámite mediante firma electrónica y sello digital institucional. Entregar al derechohabiente documentos verificables (Solicitud y Resolución) de su trámite. Habilitar la re-portabilidad para los derechohabientes que ya concluyeron un trámite previo.</w:t>
      </w:r>
    </w:p>
    <w:p w14:paraId="75F32DE6" w14:textId="393429FB" w:rsidR="00DC1070" w:rsidRPr="00DC1070" w:rsidRDefault="00DC1070" w:rsidP="00DC1070">
      <w:pPr>
        <w:spacing w:after="160" w:line="259" w:lineRule="auto"/>
      </w:pPr>
    </w:p>
    <w:p w14:paraId="6761FA52" w14:textId="3A993BE6" w:rsidR="00965D2C" w:rsidRPr="00103324" w:rsidRDefault="00103324" w:rsidP="001763BE">
      <w:pPr>
        <w:pStyle w:val="Ttulo1"/>
        <w:ind w:left="360"/>
        <w:rPr>
          <w:sz w:val="28"/>
          <w:szCs w:val="28"/>
        </w:rPr>
      </w:pPr>
      <w:bookmarkStart w:id="9" w:name="_Toc149320439"/>
      <w:r>
        <w:rPr>
          <w:sz w:val="28"/>
          <w:szCs w:val="28"/>
        </w:rPr>
        <w:t>Información del documento</w:t>
      </w:r>
      <w:bookmarkEnd w:id="9"/>
    </w:p>
    <w:p w14:paraId="3F40BDB6" w14:textId="77777777" w:rsidR="00103324" w:rsidRDefault="00103324" w:rsidP="00103324">
      <w:pPr>
        <w:pStyle w:val="Prrafodelista"/>
        <w:ind w:left="360"/>
      </w:pPr>
    </w:p>
    <w:p w14:paraId="239BB169" w14:textId="45838DFE" w:rsidR="00103324" w:rsidRPr="00103324" w:rsidRDefault="00103324" w:rsidP="00103324">
      <w:pPr>
        <w:pStyle w:val="Prrafodelista"/>
        <w:ind w:left="36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Si se tiene un sistema de gestión de versiones eliminar este apartado.</w:t>
      </w:r>
    </w:p>
    <w:p w14:paraId="26F1CE3B" w14:textId="77777777" w:rsidR="00103324" w:rsidRDefault="00103324" w:rsidP="00103324">
      <w:pPr>
        <w:pStyle w:val="Prrafodelista"/>
        <w:ind w:left="360"/>
      </w:pPr>
    </w:p>
    <w:p w14:paraId="2581730B" w14:textId="77777777" w:rsidR="00103324" w:rsidRPr="00103324" w:rsidRDefault="00103324" w:rsidP="00103324">
      <w:pPr>
        <w:pStyle w:val="Prrafodelista"/>
        <w:ind w:left="360"/>
        <w:jc w:val="center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103324" w:rsidRPr="001C7A50" w14:paraId="5629C4A8" w14:textId="77777777" w:rsidTr="00FA08A6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665CC25B" w14:textId="77777777" w:rsidR="00103324" w:rsidRPr="00FA08A6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0F98F94C" w14:textId="77777777" w:rsidR="00103324" w:rsidRPr="00FA08A6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AA0A316" w14:textId="77777777" w:rsidR="00103324" w:rsidRPr="00FA08A6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F9D71F5" w14:textId="77777777" w:rsidR="00103324" w:rsidRPr="00FA08A6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103324" w:rsidRPr="001C7A50" w14:paraId="5829EEE1" w14:textId="77777777" w:rsidTr="00D94821">
        <w:trPr>
          <w:cantSplit/>
        </w:trPr>
        <w:tc>
          <w:tcPr>
            <w:tcW w:w="1705" w:type="dxa"/>
          </w:tcPr>
          <w:p w14:paraId="1B6A363A" w14:textId="7BECC662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27/07/2026</w:t>
            </w:r>
          </w:p>
        </w:tc>
        <w:tc>
          <w:tcPr>
            <w:tcW w:w="1556" w:type="dxa"/>
          </w:tcPr>
          <w:p w14:paraId="54AF16B3" w14:textId="2CFF010E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 xml:space="preserve">1.0</w:t>
            </w:r>
          </w:p>
        </w:tc>
        <w:tc>
          <w:tcPr>
            <w:tcW w:w="4252" w:type="dxa"/>
          </w:tcPr>
          <w:p w14:paraId="5C06C3BE" w14:textId="58106D90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 xml:space="preserve">Versión inicial — entrega formal a ISSSTE.</w:t>
            </w:r>
          </w:p>
        </w:tc>
        <w:tc>
          <w:tcPr>
            <w:tcW w:w="2127" w:type="dxa"/>
          </w:tcPr>
          <w:p w14:paraId="0A902D63" w14:textId="5BA0F234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Carlos Quintero (Four Js)</w:t>
            </w:r>
          </w:p>
        </w:tc>
      </w:tr>
      <w:tr w:rsidR="00103324" w:rsidRPr="001C7A50" w14:paraId="5829EEE1" w14:textId="77777777" w:rsidTr="00D94821">
        <w:trPr>
          <w:cantSplit/>
        </w:trPr>
        <w:tc>
          <w:tcPr>
            <w:tcW w:w="1705" w:type="dxa"/>
          </w:tcPr>
          <w:p w14:paraId="1B6A363A" w14:textId="7BECC662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27/07/2026</w:t>
            </w:r>
          </w:p>
        </w:tc>
        <w:tc>
          <w:tcPr>
            <w:tcW w:w="1556" w:type="dxa"/>
          </w:tcPr>
          <w:p w14:paraId="54AF16B3" w14:textId="2CFF010E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 xml:space="preserve">2.0</w:t>
            </w:r>
          </w:p>
        </w:tc>
        <w:tc>
          <w:tcPr>
            <w:tcW w:w="4252" w:type="dxa"/>
          </w:tcPr>
          <w:p w14:paraId="5C06C3BE" w14:textId="58106D90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 xml:space="preserve">Sustituye a la versión 1.0; incorpora la habilitación de la re-portabilidad en el proceso entrante (WS1, WS3, WS6), conservando el resto del contenido de la versión anterior.</w:t>
            </w:r>
          </w:p>
        </w:tc>
        <w:tc>
          <w:tcPr>
            <w:tcW w:w="2127" w:type="dxa"/>
          </w:tcPr>
          <w:p w14:paraId="0A902D63" w14:textId="5BA0F234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Carlos Quintero (Four Js)</w:t>
            </w:r>
          </w:p>
        </w:tc>
      </w:tr>
      <w:tr w:rsidR="00103324" w:rsidRPr="001C7A50" w14:paraId="4A8AF616" w14:textId="77777777" w:rsidTr="00D94821">
        <w:trPr>
          <w:cantSplit/>
          <w:trHeight w:val="63"/>
        </w:trPr>
        <w:tc>
          <w:tcPr>
            <w:tcW w:w="1705" w:type="dxa"/>
          </w:tcPr>
          <w:p w14:paraId="5BBE0541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23DC6E73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5A85F177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5F8D4B34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</w:tr>
      <w:tr w:rsidR="00103324" w:rsidRPr="001C7A50" w14:paraId="6D290526" w14:textId="77777777" w:rsidTr="00D94821">
        <w:trPr>
          <w:cantSplit/>
        </w:trPr>
        <w:tc>
          <w:tcPr>
            <w:tcW w:w="1705" w:type="dxa"/>
          </w:tcPr>
          <w:p w14:paraId="500F8EEC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7FEAC0E8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6BF787EE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122694D9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  <w:tr w:rsidR="00103324" w:rsidRPr="001C7A50" w14:paraId="717224D7" w14:textId="77777777" w:rsidTr="00D94821">
        <w:trPr>
          <w:cantSplit/>
        </w:trPr>
        <w:tc>
          <w:tcPr>
            <w:tcW w:w="1705" w:type="dxa"/>
          </w:tcPr>
          <w:p w14:paraId="59B7651C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6BAEC8FF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2B61D912" w14:textId="77777777" w:rsidR="00103324" w:rsidRPr="00567487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63D159E2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00F3EE9C" w14:textId="2915995C" w:rsidR="00AA3076" w:rsidRDefault="00AA3076" w:rsidP="009474AD"/>
    <w:p w14:paraId="3CA92B3A" w14:textId="40EC1604" w:rsidR="00AA3076" w:rsidRDefault="00AA3076" w:rsidP="009474AD"/>
    <w:p w14:paraId="3C15739E" w14:textId="1E0137E9" w:rsidR="00AA3076" w:rsidRDefault="00AA3076" w:rsidP="009474AD"/>
    <w:p w14:paraId="2FCAB25F" w14:textId="77777777" w:rsidR="00AA3076" w:rsidRDefault="00AA3076" w:rsidP="009474AD"/>
    <w:sectPr w:rsidR="00AA3076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58941" w14:textId="77777777" w:rsidR="00BC066B" w:rsidRDefault="00BC066B" w:rsidP="007148B8">
      <w:pPr>
        <w:spacing w:after="0" w:line="240" w:lineRule="auto"/>
      </w:pPr>
      <w:r>
        <w:separator/>
      </w:r>
    </w:p>
  </w:endnote>
  <w:endnote w:type="continuationSeparator" w:id="0">
    <w:p w14:paraId="7B5CEB94" w14:textId="77777777" w:rsidR="00BC066B" w:rsidRDefault="00BC066B" w:rsidP="007148B8">
      <w:pPr>
        <w:spacing w:after="0" w:line="240" w:lineRule="auto"/>
      </w:pPr>
      <w:r>
        <w:continuationSeparator/>
      </w:r>
    </w:p>
  </w:endnote>
  <w:endnote w:type="continuationNotice" w:id="1">
    <w:p w14:paraId="7A8AF2DE" w14:textId="77777777" w:rsidR="00BC066B" w:rsidRDefault="00BC06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CF0F8" w14:textId="77777777" w:rsidR="00BC066B" w:rsidRDefault="00BC066B" w:rsidP="007148B8">
      <w:pPr>
        <w:spacing w:after="0" w:line="240" w:lineRule="auto"/>
      </w:pPr>
      <w:r>
        <w:separator/>
      </w:r>
    </w:p>
  </w:footnote>
  <w:footnote w:type="continuationSeparator" w:id="0">
    <w:p w14:paraId="1FC4D392" w14:textId="77777777" w:rsidR="00BC066B" w:rsidRDefault="00BC066B" w:rsidP="007148B8">
      <w:pPr>
        <w:spacing w:after="0" w:line="240" w:lineRule="auto"/>
      </w:pPr>
      <w:r>
        <w:continuationSeparator/>
      </w:r>
    </w:p>
  </w:footnote>
  <w:footnote w:type="continuationNotice" w:id="1">
    <w:p w14:paraId="48159BD2" w14:textId="77777777" w:rsidR="00BC066B" w:rsidRDefault="00BC06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790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90"/>
    </w:tblGrid>
    <w:tr w:rsidR="00D94821" w:rsidRPr="007148B8" w14:paraId="38BBD7BD" w14:textId="77777777" w:rsidTr="00D94821">
      <w:trPr>
        <w:cantSplit/>
        <w:trHeight w:val="269"/>
      </w:trPr>
      <w:tc>
        <w:tcPr>
          <w:tcW w:w="2790" w:type="dxa"/>
          <w:vMerge w:val="restart"/>
          <w:shd w:val="clear" w:color="auto" w:fill="FFFFFF"/>
          <w:vAlign w:val="center"/>
        </w:tcPr>
        <w:p w14:paraId="0A1D73DE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  <w:r w:rsidRPr="007148B8">
            <w:rPr>
              <w:rFonts w:asciiTheme="minorHAnsi" w:eastAsiaTheme="minorHAnsi" w:hAnsiTheme="minorHAnsi"/>
              <w:sz w:val="22"/>
            </w:rPr>
            <w:t>Logo de la empresa.</w:t>
          </w:r>
        </w:p>
      </w:tc>
    </w:tr>
    <w:tr w:rsidR="00D94821" w:rsidRPr="007148B8" w14:paraId="05CB0249" w14:textId="77777777" w:rsidTr="00D94821">
      <w:trPr>
        <w:cantSplit/>
        <w:trHeight w:val="289"/>
      </w:trPr>
      <w:tc>
        <w:tcPr>
          <w:tcW w:w="2790" w:type="dxa"/>
          <w:vMerge/>
          <w:shd w:val="clear" w:color="auto" w:fill="FFFFFF"/>
        </w:tcPr>
        <w:p w14:paraId="19503C1D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</w:p>
      </w:tc>
    </w:tr>
    <w:tr w:rsidR="00D94821" w:rsidRPr="007148B8" w14:paraId="6247DE98" w14:textId="77777777" w:rsidTr="00D94821">
      <w:trPr>
        <w:cantSplit/>
        <w:trHeight w:val="289"/>
      </w:trPr>
      <w:tc>
        <w:tcPr>
          <w:tcW w:w="2790" w:type="dxa"/>
          <w:vMerge/>
          <w:shd w:val="clear" w:color="auto" w:fill="FFFFFF"/>
        </w:tcPr>
        <w:p w14:paraId="58234E1C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</w:p>
      </w:tc>
    </w:tr>
  </w:tbl>
  <w:p w14:paraId="71EB3569" w14:textId="0FDC1BA6" w:rsidR="007148B8" w:rsidRDefault="007148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20741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6212471"/>
    <w:multiLevelType w:val="hybridMultilevel"/>
    <w:tmpl w:val="8982AE0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15F45"/>
    <w:multiLevelType w:val="hybridMultilevel"/>
    <w:tmpl w:val="5A4A34B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F6289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F971DB2"/>
    <w:multiLevelType w:val="hybridMultilevel"/>
    <w:tmpl w:val="C9CAF23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491A05"/>
    <w:multiLevelType w:val="multilevel"/>
    <w:tmpl w:val="68DC382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8493A37"/>
    <w:multiLevelType w:val="hybridMultilevel"/>
    <w:tmpl w:val="0420AF80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34525F"/>
    <w:multiLevelType w:val="hybridMultilevel"/>
    <w:tmpl w:val="AE64D45E"/>
    <w:lvl w:ilvl="0" w:tplc="34668B9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6A048CB"/>
    <w:multiLevelType w:val="hybridMultilevel"/>
    <w:tmpl w:val="C0F649C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94168"/>
    <w:multiLevelType w:val="hybridMultilevel"/>
    <w:tmpl w:val="EEEC806C"/>
    <w:lvl w:ilvl="0" w:tplc="34668B9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AD4075"/>
    <w:multiLevelType w:val="hybridMultilevel"/>
    <w:tmpl w:val="70E46B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C1A4D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2096785318">
    <w:abstractNumId w:val="10"/>
  </w:num>
  <w:num w:numId="2" w16cid:durableId="435641029">
    <w:abstractNumId w:val="8"/>
  </w:num>
  <w:num w:numId="3" w16cid:durableId="1265459339">
    <w:abstractNumId w:val="1"/>
  </w:num>
  <w:num w:numId="4" w16cid:durableId="1817648723">
    <w:abstractNumId w:val="4"/>
  </w:num>
  <w:num w:numId="5" w16cid:durableId="1450976289">
    <w:abstractNumId w:val="6"/>
  </w:num>
  <w:num w:numId="6" w16cid:durableId="1144346444">
    <w:abstractNumId w:val="3"/>
  </w:num>
  <w:num w:numId="7" w16cid:durableId="676348886">
    <w:abstractNumId w:val="11"/>
  </w:num>
  <w:num w:numId="8" w16cid:durableId="182985100">
    <w:abstractNumId w:val="2"/>
  </w:num>
  <w:num w:numId="9" w16cid:durableId="166285878">
    <w:abstractNumId w:val="5"/>
  </w:num>
  <w:num w:numId="10" w16cid:durableId="237906929">
    <w:abstractNumId w:val="7"/>
  </w:num>
  <w:num w:numId="11" w16cid:durableId="1091006891">
    <w:abstractNumId w:val="9"/>
  </w:num>
  <w:num w:numId="12" w16cid:durableId="1513376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AD"/>
    <w:rsid w:val="00003CC8"/>
    <w:rsid w:val="00041E51"/>
    <w:rsid w:val="0005758F"/>
    <w:rsid w:val="00060063"/>
    <w:rsid w:val="000713A0"/>
    <w:rsid w:val="00084537"/>
    <w:rsid w:val="000A321C"/>
    <w:rsid w:val="000A67BD"/>
    <w:rsid w:val="000B1E39"/>
    <w:rsid w:val="000C00F4"/>
    <w:rsid w:val="000D193E"/>
    <w:rsid w:val="000F4BF5"/>
    <w:rsid w:val="00103324"/>
    <w:rsid w:val="00104662"/>
    <w:rsid w:val="0011418B"/>
    <w:rsid w:val="00120A3C"/>
    <w:rsid w:val="00134CE4"/>
    <w:rsid w:val="001406D6"/>
    <w:rsid w:val="00156364"/>
    <w:rsid w:val="001725E1"/>
    <w:rsid w:val="00172D07"/>
    <w:rsid w:val="001763BE"/>
    <w:rsid w:val="001906C1"/>
    <w:rsid w:val="001950EB"/>
    <w:rsid w:val="00195699"/>
    <w:rsid w:val="001B038A"/>
    <w:rsid w:val="001B311D"/>
    <w:rsid w:val="001D0DC8"/>
    <w:rsid w:val="001D0ECF"/>
    <w:rsid w:val="001D3D40"/>
    <w:rsid w:val="001E13F2"/>
    <w:rsid w:val="001E2D78"/>
    <w:rsid w:val="001F28ED"/>
    <w:rsid w:val="001F38A6"/>
    <w:rsid w:val="001F79C8"/>
    <w:rsid w:val="002034F3"/>
    <w:rsid w:val="002172B1"/>
    <w:rsid w:val="002207DA"/>
    <w:rsid w:val="0022489F"/>
    <w:rsid w:val="0022647F"/>
    <w:rsid w:val="00226F9D"/>
    <w:rsid w:val="0023278A"/>
    <w:rsid w:val="00233043"/>
    <w:rsid w:val="00240C28"/>
    <w:rsid w:val="002477ED"/>
    <w:rsid w:val="0025286C"/>
    <w:rsid w:val="00253C36"/>
    <w:rsid w:val="002625F6"/>
    <w:rsid w:val="002637D1"/>
    <w:rsid w:val="00285552"/>
    <w:rsid w:val="002A2C1F"/>
    <w:rsid w:val="002A7131"/>
    <w:rsid w:val="002B6D80"/>
    <w:rsid w:val="002C64E0"/>
    <w:rsid w:val="002D6805"/>
    <w:rsid w:val="002D76A7"/>
    <w:rsid w:val="002E69CA"/>
    <w:rsid w:val="002F4534"/>
    <w:rsid w:val="002F694F"/>
    <w:rsid w:val="00315887"/>
    <w:rsid w:val="00336938"/>
    <w:rsid w:val="003438F8"/>
    <w:rsid w:val="00345142"/>
    <w:rsid w:val="00355AA2"/>
    <w:rsid w:val="00360A74"/>
    <w:rsid w:val="003658C8"/>
    <w:rsid w:val="0037387E"/>
    <w:rsid w:val="00391A18"/>
    <w:rsid w:val="003A3BFF"/>
    <w:rsid w:val="003A584E"/>
    <w:rsid w:val="003A653E"/>
    <w:rsid w:val="003B161F"/>
    <w:rsid w:val="003C1469"/>
    <w:rsid w:val="003C398F"/>
    <w:rsid w:val="003E0256"/>
    <w:rsid w:val="003E7D7C"/>
    <w:rsid w:val="003F13BC"/>
    <w:rsid w:val="003F44CE"/>
    <w:rsid w:val="003F5D9C"/>
    <w:rsid w:val="00412B81"/>
    <w:rsid w:val="00430DF9"/>
    <w:rsid w:val="0043229C"/>
    <w:rsid w:val="00436E69"/>
    <w:rsid w:val="00444393"/>
    <w:rsid w:val="00444A37"/>
    <w:rsid w:val="00470D1D"/>
    <w:rsid w:val="00470E1A"/>
    <w:rsid w:val="00472401"/>
    <w:rsid w:val="004809EC"/>
    <w:rsid w:val="0048372B"/>
    <w:rsid w:val="00491CC7"/>
    <w:rsid w:val="00491D80"/>
    <w:rsid w:val="004B14A7"/>
    <w:rsid w:val="004C1982"/>
    <w:rsid w:val="004C1D48"/>
    <w:rsid w:val="004D2B10"/>
    <w:rsid w:val="004D3F69"/>
    <w:rsid w:val="004E3C19"/>
    <w:rsid w:val="004F2071"/>
    <w:rsid w:val="004F5E02"/>
    <w:rsid w:val="00503708"/>
    <w:rsid w:val="00503C51"/>
    <w:rsid w:val="00505C8E"/>
    <w:rsid w:val="00535B02"/>
    <w:rsid w:val="00536C13"/>
    <w:rsid w:val="005522F1"/>
    <w:rsid w:val="005562E7"/>
    <w:rsid w:val="0056403A"/>
    <w:rsid w:val="00565D74"/>
    <w:rsid w:val="005661DE"/>
    <w:rsid w:val="00572980"/>
    <w:rsid w:val="005948E0"/>
    <w:rsid w:val="005A29DD"/>
    <w:rsid w:val="005B01CE"/>
    <w:rsid w:val="005C3E16"/>
    <w:rsid w:val="005C7862"/>
    <w:rsid w:val="005D2507"/>
    <w:rsid w:val="005E0313"/>
    <w:rsid w:val="005F642C"/>
    <w:rsid w:val="00617898"/>
    <w:rsid w:val="00634325"/>
    <w:rsid w:val="0065098D"/>
    <w:rsid w:val="00652E05"/>
    <w:rsid w:val="00656780"/>
    <w:rsid w:val="00657950"/>
    <w:rsid w:val="006617FB"/>
    <w:rsid w:val="00671CE3"/>
    <w:rsid w:val="006729BA"/>
    <w:rsid w:val="006759B3"/>
    <w:rsid w:val="006767DF"/>
    <w:rsid w:val="00687462"/>
    <w:rsid w:val="0069544B"/>
    <w:rsid w:val="00697CDD"/>
    <w:rsid w:val="006A19CF"/>
    <w:rsid w:val="006C148C"/>
    <w:rsid w:val="006D2439"/>
    <w:rsid w:val="006F14A8"/>
    <w:rsid w:val="006F32B0"/>
    <w:rsid w:val="0070514C"/>
    <w:rsid w:val="0070565F"/>
    <w:rsid w:val="00712A68"/>
    <w:rsid w:val="007148B8"/>
    <w:rsid w:val="00716A14"/>
    <w:rsid w:val="007228B0"/>
    <w:rsid w:val="00724588"/>
    <w:rsid w:val="007278E8"/>
    <w:rsid w:val="00731E07"/>
    <w:rsid w:val="00732223"/>
    <w:rsid w:val="00732340"/>
    <w:rsid w:val="00733007"/>
    <w:rsid w:val="00742DB9"/>
    <w:rsid w:val="007545BB"/>
    <w:rsid w:val="00754C46"/>
    <w:rsid w:val="00757D00"/>
    <w:rsid w:val="00765FB1"/>
    <w:rsid w:val="00775D44"/>
    <w:rsid w:val="00781515"/>
    <w:rsid w:val="007A7922"/>
    <w:rsid w:val="007B07A7"/>
    <w:rsid w:val="007B6F81"/>
    <w:rsid w:val="007B7CE8"/>
    <w:rsid w:val="007C1C3D"/>
    <w:rsid w:val="007C4252"/>
    <w:rsid w:val="007C721B"/>
    <w:rsid w:val="007D1F5A"/>
    <w:rsid w:val="007D4CDA"/>
    <w:rsid w:val="007D7917"/>
    <w:rsid w:val="007E09D2"/>
    <w:rsid w:val="007E526B"/>
    <w:rsid w:val="008002B1"/>
    <w:rsid w:val="008032BE"/>
    <w:rsid w:val="00803F7A"/>
    <w:rsid w:val="0081219A"/>
    <w:rsid w:val="0081635E"/>
    <w:rsid w:val="00820C7E"/>
    <w:rsid w:val="008255B0"/>
    <w:rsid w:val="00834091"/>
    <w:rsid w:val="00840F6C"/>
    <w:rsid w:val="00854FEB"/>
    <w:rsid w:val="00857128"/>
    <w:rsid w:val="00863D4E"/>
    <w:rsid w:val="0089015C"/>
    <w:rsid w:val="008922BD"/>
    <w:rsid w:val="008A3104"/>
    <w:rsid w:val="008A7FC2"/>
    <w:rsid w:val="008B5475"/>
    <w:rsid w:val="008B5F40"/>
    <w:rsid w:val="008D13A6"/>
    <w:rsid w:val="008D1576"/>
    <w:rsid w:val="008D3BBD"/>
    <w:rsid w:val="008F1387"/>
    <w:rsid w:val="0090286C"/>
    <w:rsid w:val="0090333A"/>
    <w:rsid w:val="0091016C"/>
    <w:rsid w:val="00926543"/>
    <w:rsid w:val="00926D04"/>
    <w:rsid w:val="00931957"/>
    <w:rsid w:val="009474AD"/>
    <w:rsid w:val="00960CE5"/>
    <w:rsid w:val="00965D2C"/>
    <w:rsid w:val="00974D32"/>
    <w:rsid w:val="0098091A"/>
    <w:rsid w:val="00983095"/>
    <w:rsid w:val="009B0C38"/>
    <w:rsid w:val="009C0842"/>
    <w:rsid w:val="009C249D"/>
    <w:rsid w:val="009D6DEA"/>
    <w:rsid w:val="009D75C7"/>
    <w:rsid w:val="009E5BEF"/>
    <w:rsid w:val="009E769B"/>
    <w:rsid w:val="009E7A57"/>
    <w:rsid w:val="009F6D48"/>
    <w:rsid w:val="00A16FA9"/>
    <w:rsid w:val="00A25375"/>
    <w:rsid w:val="00A36AFC"/>
    <w:rsid w:val="00A44B22"/>
    <w:rsid w:val="00A44F24"/>
    <w:rsid w:val="00A56052"/>
    <w:rsid w:val="00A6021B"/>
    <w:rsid w:val="00A74ABB"/>
    <w:rsid w:val="00A76D59"/>
    <w:rsid w:val="00A86589"/>
    <w:rsid w:val="00A91FF0"/>
    <w:rsid w:val="00A9201B"/>
    <w:rsid w:val="00A92779"/>
    <w:rsid w:val="00A94A41"/>
    <w:rsid w:val="00A9653B"/>
    <w:rsid w:val="00A976DE"/>
    <w:rsid w:val="00AA056B"/>
    <w:rsid w:val="00AA3076"/>
    <w:rsid w:val="00AB2EDD"/>
    <w:rsid w:val="00AC01F1"/>
    <w:rsid w:val="00AC0374"/>
    <w:rsid w:val="00AD7064"/>
    <w:rsid w:val="00AE1793"/>
    <w:rsid w:val="00AE677D"/>
    <w:rsid w:val="00AE67FD"/>
    <w:rsid w:val="00AF2016"/>
    <w:rsid w:val="00AF4EAD"/>
    <w:rsid w:val="00B35AC0"/>
    <w:rsid w:val="00B363CC"/>
    <w:rsid w:val="00B37E87"/>
    <w:rsid w:val="00B41EB9"/>
    <w:rsid w:val="00B52FDA"/>
    <w:rsid w:val="00B53C68"/>
    <w:rsid w:val="00B549F4"/>
    <w:rsid w:val="00B91287"/>
    <w:rsid w:val="00B92F3B"/>
    <w:rsid w:val="00BA5895"/>
    <w:rsid w:val="00BB1E61"/>
    <w:rsid w:val="00BB5D91"/>
    <w:rsid w:val="00BB6DDB"/>
    <w:rsid w:val="00BC066B"/>
    <w:rsid w:val="00BC13C4"/>
    <w:rsid w:val="00BE67AA"/>
    <w:rsid w:val="00BF138F"/>
    <w:rsid w:val="00BF35C6"/>
    <w:rsid w:val="00BF3B8F"/>
    <w:rsid w:val="00C00D57"/>
    <w:rsid w:val="00C13CCB"/>
    <w:rsid w:val="00C173E0"/>
    <w:rsid w:val="00C3144F"/>
    <w:rsid w:val="00C50857"/>
    <w:rsid w:val="00C557FB"/>
    <w:rsid w:val="00C632B2"/>
    <w:rsid w:val="00C76960"/>
    <w:rsid w:val="00C8516E"/>
    <w:rsid w:val="00C90C79"/>
    <w:rsid w:val="00CA5AA8"/>
    <w:rsid w:val="00CB1BE8"/>
    <w:rsid w:val="00CC73F7"/>
    <w:rsid w:val="00CD2B2B"/>
    <w:rsid w:val="00CF3556"/>
    <w:rsid w:val="00D13216"/>
    <w:rsid w:val="00D17E51"/>
    <w:rsid w:val="00D207F9"/>
    <w:rsid w:val="00D22456"/>
    <w:rsid w:val="00D4353B"/>
    <w:rsid w:val="00D45D73"/>
    <w:rsid w:val="00D51A89"/>
    <w:rsid w:val="00D601B1"/>
    <w:rsid w:val="00D65C33"/>
    <w:rsid w:val="00D759DA"/>
    <w:rsid w:val="00D775F3"/>
    <w:rsid w:val="00D77C3D"/>
    <w:rsid w:val="00D81237"/>
    <w:rsid w:val="00D930D5"/>
    <w:rsid w:val="00D93274"/>
    <w:rsid w:val="00D94821"/>
    <w:rsid w:val="00D96792"/>
    <w:rsid w:val="00DB0B80"/>
    <w:rsid w:val="00DB5C59"/>
    <w:rsid w:val="00DB71F9"/>
    <w:rsid w:val="00DB7685"/>
    <w:rsid w:val="00DB7EB1"/>
    <w:rsid w:val="00DC1062"/>
    <w:rsid w:val="00DC1070"/>
    <w:rsid w:val="00DC1CDC"/>
    <w:rsid w:val="00DC26A4"/>
    <w:rsid w:val="00DC46E8"/>
    <w:rsid w:val="00DD5DB7"/>
    <w:rsid w:val="00DE4A1C"/>
    <w:rsid w:val="00DF794F"/>
    <w:rsid w:val="00E02567"/>
    <w:rsid w:val="00E03BBF"/>
    <w:rsid w:val="00E13F24"/>
    <w:rsid w:val="00E21D5B"/>
    <w:rsid w:val="00E322CA"/>
    <w:rsid w:val="00E429C1"/>
    <w:rsid w:val="00E46DDA"/>
    <w:rsid w:val="00E550C2"/>
    <w:rsid w:val="00E706B2"/>
    <w:rsid w:val="00E72D12"/>
    <w:rsid w:val="00E74C5D"/>
    <w:rsid w:val="00E83DFA"/>
    <w:rsid w:val="00E87C7E"/>
    <w:rsid w:val="00EB1657"/>
    <w:rsid w:val="00EC3C5E"/>
    <w:rsid w:val="00EF03A6"/>
    <w:rsid w:val="00EF2948"/>
    <w:rsid w:val="00EF5271"/>
    <w:rsid w:val="00EF6E67"/>
    <w:rsid w:val="00EF7385"/>
    <w:rsid w:val="00F212AC"/>
    <w:rsid w:val="00F402FD"/>
    <w:rsid w:val="00F42350"/>
    <w:rsid w:val="00F60FF5"/>
    <w:rsid w:val="00F66E82"/>
    <w:rsid w:val="00F71AE2"/>
    <w:rsid w:val="00F838E9"/>
    <w:rsid w:val="00F963B3"/>
    <w:rsid w:val="00FA00F6"/>
    <w:rsid w:val="00FA08A6"/>
    <w:rsid w:val="00FA4948"/>
    <w:rsid w:val="00FA4DCC"/>
    <w:rsid w:val="00FA79C6"/>
    <w:rsid w:val="00FB4123"/>
    <w:rsid w:val="00FC0305"/>
    <w:rsid w:val="00FC3886"/>
    <w:rsid w:val="00FE4683"/>
    <w:rsid w:val="00FF2082"/>
    <w:rsid w:val="00FF52C8"/>
    <w:rsid w:val="00FF73BE"/>
    <w:rsid w:val="018BE618"/>
    <w:rsid w:val="02C3237D"/>
    <w:rsid w:val="069806F4"/>
    <w:rsid w:val="06BE2CA3"/>
    <w:rsid w:val="0E486630"/>
    <w:rsid w:val="1C2386BE"/>
    <w:rsid w:val="22F416C7"/>
    <w:rsid w:val="35594750"/>
    <w:rsid w:val="459BAAB8"/>
    <w:rsid w:val="50DF0394"/>
    <w:rsid w:val="5A003D79"/>
    <w:rsid w:val="63D76B62"/>
    <w:rsid w:val="647E77FD"/>
    <w:rsid w:val="6A01E414"/>
    <w:rsid w:val="7561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8923F"/>
  <w15:chartTrackingRefBased/>
  <w15:docId w15:val="{628409F0-9558-4B3F-8FC3-97EB15E3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076"/>
    <w:pPr>
      <w:spacing w:after="200" w:line="276" w:lineRule="auto"/>
    </w:pPr>
    <w:rPr>
      <w:rFonts w:ascii="Arial" w:eastAsia="Calibri" w:hAnsi="Arial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0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A307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A3076"/>
    <w:rPr>
      <w:rFonts w:ascii="Arial" w:eastAsia="Times New Roman" w:hAnsi="Arial"/>
      <w:b/>
      <w:bCs/>
      <w:color w:val="365F91"/>
      <w:sz w:val="24"/>
      <w:szCs w:val="36"/>
      <w:lang w:val="x-none" w:eastAsia="x-none"/>
    </w:rPr>
  </w:style>
  <w:style w:type="character" w:customStyle="1" w:styleId="Ttulo1Car">
    <w:name w:val="Título 1 Car"/>
    <w:basedOn w:val="Fuentedeprrafopredeter"/>
    <w:link w:val="Ttulo1"/>
    <w:uiPriority w:val="9"/>
    <w:rsid w:val="001B03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VE"/>
    </w:rPr>
  </w:style>
  <w:style w:type="paragraph" w:styleId="Prrafodelista">
    <w:name w:val="List Paragraph"/>
    <w:basedOn w:val="Normal"/>
    <w:uiPriority w:val="34"/>
    <w:qFormat/>
    <w:rsid w:val="0023304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121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219A"/>
    <w:rPr>
      <w:rFonts w:ascii="Segoe UI" w:eastAsia="Calibri" w:hAnsi="Segoe UI" w:cs="Segoe UI"/>
      <w:sz w:val="18"/>
      <w:szCs w:val="18"/>
      <w:lang w:val="es-VE"/>
    </w:rPr>
  </w:style>
  <w:style w:type="character" w:customStyle="1" w:styleId="normaltextrun">
    <w:name w:val="normaltextrun"/>
    <w:basedOn w:val="Fuentedeprrafopredeter"/>
    <w:rsid w:val="000D193E"/>
  </w:style>
  <w:style w:type="character" w:customStyle="1" w:styleId="eop">
    <w:name w:val="eop"/>
    <w:basedOn w:val="Fuentedeprrafopredeter"/>
    <w:rsid w:val="000D193E"/>
  </w:style>
  <w:style w:type="table" w:styleId="Tablaconcuadrcula">
    <w:name w:val="Table Grid"/>
    <w:basedOn w:val="Tablanormal"/>
    <w:uiPriority w:val="39"/>
    <w:rsid w:val="00060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DB0B80"/>
    <w:pPr>
      <w:widowControl w:val="0"/>
      <w:overflowPunct w:val="0"/>
      <w:autoSpaceDE w:val="0"/>
      <w:autoSpaceDN w:val="0"/>
      <w:adjustRightInd w:val="0"/>
      <w:spacing w:before="240" w:after="0" w:line="240" w:lineRule="auto"/>
      <w:ind w:left="720" w:firstLine="360"/>
      <w:jc w:val="both"/>
      <w:textAlignment w:val="baseline"/>
    </w:pPr>
    <w:rPr>
      <w:rFonts w:eastAsia="Times New Roman"/>
      <w:sz w:val="20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B0B80"/>
    <w:rPr>
      <w:rFonts w:ascii="Arial" w:eastAsia="Times New Roman" w:hAnsi="Arial"/>
      <w:sz w:val="20"/>
      <w:szCs w:val="20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8B8"/>
    <w:rPr>
      <w:rFonts w:ascii="Arial" w:eastAsia="Calibri" w:hAnsi="Arial"/>
      <w:sz w:val="24"/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8B8"/>
    <w:rPr>
      <w:rFonts w:ascii="Arial" w:eastAsia="Calibri" w:hAnsi="Arial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48372B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8372B"/>
    <w:pPr>
      <w:spacing w:after="100" w:line="259" w:lineRule="auto"/>
    </w:pPr>
    <w:rPr>
      <w:rFonts w:asciiTheme="minorHAnsi" w:eastAsiaTheme="minorHAnsi" w:hAnsiTheme="minorHAnsi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48372B"/>
    <w:pPr>
      <w:spacing w:after="100" w:line="259" w:lineRule="auto"/>
      <w:ind w:left="220"/>
    </w:pPr>
    <w:rPr>
      <w:rFonts w:asciiTheme="minorHAnsi" w:eastAsiaTheme="minorHAnsi" w:hAnsiTheme="minorHAnsi"/>
      <w:sz w:val="22"/>
    </w:rPr>
  </w:style>
  <w:style w:type="character" w:styleId="Hipervnculo">
    <w:name w:val="Hyperlink"/>
    <w:basedOn w:val="Fuentedeprrafopredeter"/>
    <w:uiPriority w:val="99"/>
    <w:unhideWhenUsed/>
    <w:rsid w:val="0048372B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103324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03324"/>
    <w:pPr>
      <w:widowControl w:val="0"/>
      <w:spacing w:after="0" w:line="240" w:lineRule="auto"/>
      <w:jc w:val="center"/>
    </w:pPr>
    <w:rPr>
      <w:rFonts w:eastAsia="Times New Roman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03324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103324"/>
    <w:rPr>
      <w:color w:val="666699"/>
    </w:rPr>
  </w:style>
  <w:style w:type="character" w:styleId="Textodelmarcadordeposicin">
    <w:name w:val="Placeholder Text"/>
    <w:basedOn w:val="Fuentedeprrafopredeter"/>
    <w:uiPriority w:val="99"/>
    <w:semiHidden/>
    <w:rsid w:val="002E69CA"/>
    <w:rPr>
      <w:color w:val="808080"/>
    </w:rPr>
  </w:style>
  <w:style w:type="character" w:styleId="nfasisintenso">
    <w:name w:val="Intense Emphasis"/>
    <w:basedOn w:val="Fuentedeprrafopredeter"/>
    <w:uiPriority w:val="21"/>
    <w:qFormat/>
    <w:rsid w:val="00D94821"/>
    <w:rPr>
      <w:i/>
      <w:iCs/>
      <w:color w:val="4472C4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430D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30D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30DF9"/>
    <w:rPr>
      <w:rFonts w:ascii="Arial" w:eastAsia="Calibri" w:hAnsi="Arial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0D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0DF9"/>
    <w:rPr>
      <w:rFonts w:ascii="Arial" w:eastAsia="Calibri" w:hAnsi="Arial"/>
      <w:b/>
      <w:bCs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9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1570">
          <w:marLeft w:val="2045"/>
          <w:marRight w:val="0"/>
          <w:marTop w:val="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ACE4CE-ECB7-4217-B3D6-4FDD702966E0}">
  <ds:schemaRefs>
    <ds:schemaRef ds:uri="f1020bcf-9500-4749-8c84-b23cf1385772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2006/documentManagement/types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19EB9F10-7F05-4083-AAC1-A1453A0A5E04}"/>
</file>

<file path=customXml/itemProps3.xml><?xml version="1.0" encoding="utf-8"?>
<ds:datastoreItem xmlns:ds="http://schemas.openxmlformats.org/officeDocument/2006/customXml" ds:itemID="{525CF751-C370-470A-BB5A-6C5E3F4022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B74214-D565-49A3-A9C0-67551D04D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387</Words>
  <Characters>2129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57</cp:revision>
  <cp:lastPrinted>2024-07-11T23:02:00Z</cp:lastPrinted>
  <dcterms:created xsi:type="dcterms:W3CDTF">2023-10-27T21:52:00Z</dcterms:created>
  <dcterms:modified xsi:type="dcterms:W3CDTF">2026-09-14T01:34:04Z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