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0C29" w14:textId="77777777" w:rsidR="00425E97" w:rsidRDefault="00000000">
      <w:pPr>
        <w:spacing w:after="100"/>
        <w:jc w:val="center"/>
      </w:pPr>
      <w:r>
        <w:rPr>
          <w:b/>
          <w:bCs/>
          <w:color w:val="808080"/>
          <w:sz w:val="20"/>
          <w:szCs w:val="20"/>
        </w:rPr>
        <w:t>FJL-F05-TD</w:t>
      </w:r>
    </w:p>
    <w:p w14:paraId="0D243101" w14:textId="5FC9F887" w:rsidR="00425E97" w:rsidRDefault="00000000">
      <w:pPr>
        <w:pStyle w:val="Ttulo"/>
        <w:spacing w:after="200"/>
        <w:jc w:val="center"/>
      </w:pPr>
      <w:r>
        <w:t>Requerimientos Especiales y Casos de Uso</w:t>
      </w:r>
    </w:p>
    <w:p w14:paraId="4078AF00" w14:textId="77777777" w:rsidR="00425E97" w:rsidRDefault="00000000">
      <w:pPr>
        <w:spacing w:after="100"/>
        <w:jc w:val="center"/>
      </w:pPr>
      <w:r>
        <w:rPr>
          <w:b/>
          <w:bCs/>
          <w:sz w:val="26"/>
          <w:szCs w:val="26"/>
        </w:rPr>
        <w:t>Portabilidad de Derechos Pensionarios entre ISSSTE e IMSS</w:t>
      </w:r>
    </w:p>
    <w:p w14:paraId="70DE7BB1" w14:textId="77777777" w:rsidR="00425E97" w:rsidRDefault="00000000">
      <w:pPr>
        <w:spacing w:after="400"/>
        <w:jc w:val="center"/>
      </w:pPr>
      <w:r>
        <w:rPr>
          <w:i/>
          <w:iCs/>
          <w:color w:val="595959"/>
          <w:sz w:val="20"/>
          <w:szCs w:val="20"/>
        </w:rPr>
        <w:t>Entregable para Instituto de Seguridad y Servicios Sociales de los Trabajadores del Estado (ISSSTE) — Versión 2.0 (Entrega Final)</w:t>
      </w:r>
    </w:p>
    <w:p w14:paraId="223C241F" w14:textId="77777777" w:rsidR="00425E97" w:rsidRDefault="00000000">
      <w:r>
        <w:br w:type="page"/>
      </w:r>
    </w:p>
    <w:p w14:paraId="7842859C" w14:textId="77777777" w:rsidR="00425E97" w:rsidRDefault="00000000">
      <w:pPr>
        <w:pStyle w:val="Ttulo1"/>
        <w:spacing w:before="320" w:after="160"/>
      </w:pPr>
      <w:bookmarkStart w:id="0" w:name="_Toc240205200"/>
      <w: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299"/>
        <w:gridCol w:w="2365"/>
        <w:gridCol w:w="1587"/>
        <w:gridCol w:w="3211"/>
      </w:tblGrid>
      <w:tr w:rsidR="00425E97" w14:paraId="290518B9" w14:textId="77777777">
        <w:trPr>
          <w:tblHeader/>
        </w:trPr>
        <w:tc>
          <w:tcPr>
            <w:tcW w:w="800" w:type="dxa"/>
            <w:shd w:val="clear" w:color="auto" w:fill="DCE6F1"/>
            <w:tcMar>
              <w:top w:w="80" w:type="dxa"/>
              <w:left w:w="100" w:type="dxa"/>
              <w:bottom w:w="80" w:type="dxa"/>
              <w:right w:w="100" w:type="dxa"/>
            </w:tcMar>
          </w:tcPr>
          <w:p w14:paraId="2B0CB566" w14:textId="77777777" w:rsidR="00425E97" w:rsidRDefault="00000000">
            <w:r>
              <w:rPr>
                <w:b/>
                <w:bCs/>
              </w:rPr>
              <w:t>Versión</w:t>
            </w:r>
          </w:p>
        </w:tc>
        <w:tc>
          <w:tcPr>
            <w:tcW w:w="1300" w:type="dxa"/>
            <w:shd w:val="clear" w:color="auto" w:fill="DCE6F1"/>
            <w:tcMar>
              <w:top w:w="80" w:type="dxa"/>
              <w:left w:w="100" w:type="dxa"/>
              <w:bottom w:w="80" w:type="dxa"/>
              <w:right w:w="100" w:type="dxa"/>
            </w:tcMar>
          </w:tcPr>
          <w:p w14:paraId="2197CA1F" w14:textId="77777777" w:rsidR="00425E97" w:rsidRDefault="00000000">
            <w:r>
              <w:rPr>
                <w:b/>
                <w:bCs/>
              </w:rPr>
              <w:t>Fecha</w:t>
            </w:r>
          </w:p>
        </w:tc>
        <w:tc>
          <w:tcPr>
            <w:tcW w:w="2400" w:type="dxa"/>
            <w:shd w:val="clear" w:color="auto" w:fill="DCE6F1"/>
            <w:tcMar>
              <w:top w:w="80" w:type="dxa"/>
              <w:left w:w="100" w:type="dxa"/>
              <w:bottom w:w="80" w:type="dxa"/>
              <w:right w:w="100" w:type="dxa"/>
            </w:tcMar>
          </w:tcPr>
          <w:p w14:paraId="5731C65A" w14:textId="77777777" w:rsidR="00425E97" w:rsidRDefault="00000000">
            <w:r>
              <w:rPr>
                <w:b/>
                <w:bCs/>
              </w:rPr>
              <w:t>Autor</w:t>
            </w:r>
          </w:p>
        </w:tc>
        <w:tc>
          <w:tcPr>
            <w:tcW w:w="1600" w:type="dxa"/>
            <w:shd w:val="clear" w:color="auto" w:fill="DCE6F1"/>
            <w:tcMar>
              <w:top w:w="80" w:type="dxa"/>
              <w:left w:w="100" w:type="dxa"/>
              <w:bottom w:w="80" w:type="dxa"/>
              <w:right w:w="100" w:type="dxa"/>
            </w:tcMar>
          </w:tcPr>
          <w:p w14:paraId="2B93424A" w14:textId="77777777" w:rsidR="00425E97" w:rsidRDefault="00000000">
            <w:r>
              <w:rPr>
                <w:b/>
                <w:bCs/>
              </w:rPr>
              <w:t>Estado</w:t>
            </w:r>
          </w:p>
        </w:tc>
        <w:tc>
          <w:tcPr>
            <w:tcW w:w="3260" w:type="dxa"/>
            <w:shd w:val="clear" w:color="auto" w:fill="DCE6F1"/>
            <w:tcMar>
              <w:top w:w="80" w:type="dxa"/>
              <w:left w:w="100" w:type="dxa"/>
              <w:bottom w:w="80" w:type="dxa"/>
              <w:right w:w="100" w:type="dxa"/>
            </w:tcMar>
          </w:tcPr>
          <w:p w14:paraId="4B62D152" w14:textId="77777777" w:rsidR="00425E97" w:rsidRDefault="00000000">
            <w:r>
              <w:rPr>
                <w:b/>
                <w:bCs/>
              </w:rPr>
              <w:t>Descripción</w:t>
            </w:r>
          </w:p>
        </w:tc>
      </w:tr>
      <w:tr w:rsidR="00425E97" w14:paraId="273A88CD" w14:textId="77777777">
        <w:tc>
          <w:tcPr>
            <w:tcW w:w="800" w:type="dxa"/>
            <w:tcMar>
              <w:top w:w="80" w:type="dxa"/>
              <w:left w:w="100" w:type="dxa"/>
              <w:bottom w:w="80" w:type="dxa"/>
              <w:right w:w="100" w:type="dxa"/>
            </w:tcMar>
          </w:tcPr>
          <w:p w14:paraId="43923431" w14:textId="77777777" w:rsidR="00425E97" w:rsidRDefault="00000000">
            <w:r>
              <w:t>1.0</w:t>
            </w:r>
          </w:p>
        </w:tc>
        <w:tc>
          <w:tcPr>
            <w:tcW w:w="1300" w:type="dxa"/>
            <w:tcMar>
              <w:top w:w="80" w:type="dxa"/>
              <w:left w:w="100" w:type="dxa"/>
              <w:bottom w:w="80" w:type="dxa"/>
              <w:right w:w="100" w:type="dxa"/>
            </w:tcMar>
          </w:tcPr>
          <w:p w14:paraId="5AE92479" w14:textId="77777777" w:rsidR="00425E97" w:rsidRDefault="00000000">
            <w:r>
              <w:t>27/07/2026</w:t>
            </w:r>
          </w:p>
        </w:tc>
        <w:tc>
          <w:tcPr>
            <w:tcW w:w="2400" w:type="dxa"/>
            <w:tcMar>
              <w:top w:w="80" w:type="dxa"/>
              <w:left w:w="100" w:type="dxa"/>
              <w:bottom w:w="80" w:type="dxa"/>
              <w:right w:w="100" w:type="dxa"/>
            </w:tcMar>
          </w:tcPr>
          <w:p w14:paraId="3D292CA5" w14:textId="77777777" w:rsidR="00425E97" w:rsidRDefault="00000000">
            <w:r>
              <w:t>Carlos Quintero (Four Js)</w:t>
            </w:r>
          </w:p>
        </w:tc>
        <w:tc>
          <w:tcPr>
            <w:tcW w:w="1600" w:type="dxa"/>
            <w:tcMar>
              <w:top w:w="80" w:type="dxa"/>
              <w:left w:w="100" w:type="dxa"/>
              <w:bottom w:w="80" w:type="dxa"/>
              <w:right w:w="100" w:type="dxa"/>
            </w:tcMar>
          </w:tcPr>
          <w:p w14:paraId="6FA284FD" w14:textId="77777777" w:rsidR="00425E97" w:rsidRDefault="00000000">
            <w:r>
              <w:t>Sustituida</w:t>
            </w:r>
          </w:p>
        </w:tc>
        <w:tc>
          <w:tcPr>
            <w:tcW w:w="3260" w:type="dxa"/>
            <w:tcMar>
              <w:top w:w="80" w:type="dxa"/>
              <w:left w:w="100" w:type="dxa"/>
              <w:bottom w:w="80" w:type="dxa"/>
              <w:right w:w="100" w:type="dxa"/>
            </w:tcMar>
          </w:tcPr>
          <w:p w14:paraId="48D4CFF3" w14:textId="77777777" w:rsidR="00425E97" w:rsidRDefault="00000000">
            <w:r>
              <w:t>Versión inicial — entrega formal a ISSSTE</w:t>
            </w:r>
          </w:p>
        </w:tc>
      </w:tr>
      <w:tr w:rsidR="00425E97" w14:paraId="43082EA1" w14:textId="77777777">
        <w:tc>
          <w:tcPr>
            <w:tcW w:w="800" w:type="dxa"/>
            <w:tcMar>
              <w:top w:w="80" w:type="dxa"/>
              <w:left w:w="100" w:type="dxa"/>
              <w:bottom w:w="80" w:type="dxa"/>
              <w:right w:w="100" w:type="dxa"/>
            </w:tcMar>
          </w:tcPr>
          <w:p w14:paraId="0B9EED0E" w14:textId="77777777" w:rsidR="00425E97" w:rsidRDefault="00000000">
            <w:r>
              <w:t>2.0</w:t>
            </w:r>
          </w:p>
        </w:tc>
        <w:tc>
          <w:tcPr>
            <w:tcW w:w="1300" w:type="dxa"/>
            <w:tcMar>
              <w:top w:w="80" w:type="dxa"/>
              <w:left w:w="100" w:type="dxa"/>
              <w:bottom w:w="80" w:type="dxa"/>
              <w:right w:w="100" w:type="dxa"/>
            </w:tcMar>
          </w:tcPr>
          <w:p w14:paraId="6AF8D79F" w14:textId="77777777" w:rsidR="00425E97" w:rsidRDefault="00000000">
            <w:r>
              <w:t>27/07/2026</w:t>
            </w:r>
          </w:p>
        </w:tc>
        <w:tc>
          <w:tcPr>
            <w:tcW w:w="2400" w:type="dxa"/>
            <w:tcMar>
              <w:top w:w="80" w:type="dxa"/>
              <w:left w:w="100" w:type="dxa"/>
              <w:bottom w:w="80" w:type="dxa"/>
              <w:right w:w="100" w:type="dxa"/>
            </w:tcMar>
          </w:tcPr>
          <w:p w14:paraId="6774EF09" w14:textId="77777777" w:rsidR="00425E97" w:rsidRDefault="00000000">
            <w:r>
              <w:t>Carlos Quintero (Four Js)</w:t>
            </w:r>
          </w:p>
        </w:tc>
        <w:tc>
          <w:tcPr>
            <w:tcW w:w="1600" w:type="dxa"/>
            <w:tcMar>
              <w:top w:w="80" w:type="dxa"/>
              <w:left w:w="100" w:type="dxa"/>
              <w:bottom w:w="80" w:type="dxa"/>
              <w:right w:w="100" w:type="dxa"/>
            </w:tcMar>
          </w:tcPr>
          <w:p w14:paraId="0C032B47" w14:textId="77777777" w:rsidR="00425E97" w:rsidRDefault="00000000">
            <w:r>
              <w:t>Entrega Final</w:t>
            </w:r>
          </w:p>
        </w:tc>
        <w:tc>
          <w:tcPr>
            <w:tcW w:w="3260" w:type="dxa"/>
            <w:tcMar>
              <w:top w:w="80" w:type="dxa"/>
              <w:left w:w="100" w:type="dxa"/>
              <w:bottom w:w="80" w:type="dxa"/>
              <w:right w:w="100" w:type="dxa"/>
            </w:tcMar>
          </w:tcPr>
          <w:p w14:paraId="709FF1B2" w14:textId="77777777" w:rsidR="00425E97" w:rsidRDefault="00000000">
            <w:r>
              <w:t>Sustituye a la versión 1.0; incorpora la habilitación de la re-portabilidad en el proceso entrante (WS1, WS3, WS6), conservando el resto del contenido de la versión anterior</w:t>
            </w:r>
          </w:p>
        </w:tc>
      </w:tr>
    </w:tbl>
    <w:p w14:paraId="2BF19ECC" w14:textId="77777777" w:rsidR="00425E97" w:rsidRDefault="00000000">
      <w:r>
        <w:br w:type="page"/>
      </w:r>
    </w:p>
    <w:p w14:paraId="6F65B672" w14:textId="77777777" w:rsidR="00425E97" w:rsidRDefault="00000000">
      <w:pPr>
        <w:pStyle w:val="Ttulo1"/>
        <w:spacing w:before="320" w:after="160"/>
      </w:pPr>
      <w:bookmarkStart w:id="1" w:name="_Toc240205201"/>
      <w:r>
        <w:lastRenderedPageBreak/>
        <w:t>Tabla de contenido</w:t>
      </w:r>
      <w:bookmarkEnd w:id="1"/>
    </w:p>
    <w:sdt>
      <w:sdtPr>
        <w:alias w:val="Tabla de contenido"/>
        <w:id w:val="-1244324650"/>
      </w:sdtPr>
      <w:sdtContent>
        <w:p w14:paraId="6B1D1B4C" w14:textId="374C60FB" w:rsidR="00B35C5A"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5200" w:history="1">
            <w:r w:rsidR="00B35C5A" w:rsidRPr="006A7889">
              <w:rPr>
                <w:rStyle w:val="Hipervnculo"/>
                <w:noProof/>
              </w:rPr>
              <w:t>Control de versiones</w:t>
            </w:r>
            <w:r w:rsidR="00B35C5A">
              <w:rPr>
                <w:noProof/>
              </w:rPr>
              <w:tab/>
            </w:r>
            <w:r w:rsidR="00B35C5A">
              <w:rPr>
                <w:noProof/>
              </w:rPr>
              <w:fldChar w:fldCharType="begin"/>
            </w:r>
            <w:r w:rsidR="00B35C5A">
              <w:rPr>
                <w:noProof/>
              </w:rPr>
              <w:instrText xml:space="preserve"> PAGEREF _Toc240205200 \h </w:instrText>
            </w:r>
            <w:r w:rsidR="00B35C5A">
              <w:rPr>
                <w:noProof/>
              </w:rPr>
            </w:r>
            <w:r w:rsidR="00B35C5A">
              <w:rPr>
                <w:noProof/>
              </w:rPr>
              <w:fldChar w:fldCharType="separate"/>
            </w:r>
            <w:r w:rsidR="00B35C5A">
              <w:rPr>
                <w:noProof/>
              </w:rPr>
              <w:t>2</w:t>
            </w:r>
            <w:r w:rsidR="00B35C5A">
              <w:rPr>
                <w:noProof/>
              </w:rPr>
              <w:fldChar w:fldCharType="end"/>
            </w:r>
          </w:hyperlink>
        </w:p>
        <w:p w14:paraId="56AD33DC" w14:textId="67A7F591"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01" w:history="1">
            <w:r w:rsidRPr="006A7889">
              <w:rPr>
                <w:rStyle w:val="Hipervnculo"/>
                <w:noProof/>
              </w:rPr>
              <w:t>Tabla de contenido</w:t>
            </w:r>
            <w:r>
              <w:rPr>
                <w:noProof/>
              </w:rPr>
              <w:tab/>
            </w:r>
            <w:r>
              <w:rPr>
                <w:noProof/>
              </w:rPr>
              <w:fldChar w:fldCharType="begin"/>
            </w:r>
            <w:r>
              <w:rPr>
                <w:noProof/>
              </w:rPr>
              <w:instrText xml:space="preserve"> PAGEREF _Toc240205201 \h </w:instrText>
            </w:r>
            <w:r>
              <w:rPr>
                <w:noProof/>
              </w:rPr>
            </w:r>
            <w:r>
              <w:rPr>
                <w:noProof/>
              </w:rPr>
              <w:fldChar w:fldCharType="separate"/>
            </w:r>
            <w:r>
              <w:rPr>
                <w:noProof/>
              </w:rPr>
              <w:t>3</w:t>
            </w:r>
            <w:r>
              <w:rPr>
                <w:noProof/>
              </w:rPr>
              <w:fldChar w:fldCharType="end"/>
            </w:r>
          </w:hyperlink>
        </w:p>
        <w:p w14:paraId="4DAB6580" w14:textId="47D00A76"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02" w:history="1">
            <w:r w:rsidRPr="006A7889">
              <w:rPr>
                <w:rStyle w:val="Hipervnculo"/>
                <w:noProof/>
              </w:rPr>
              <w:t>1. Requerimientos especiales (no funcionales)</w:t>
            </w:r>
            <w:r>
              <w:rPr>
                <w:noProof/>
              </w:rPr>
              <w:tab/>
            </w:r>
            <w:r>
              <w:rPr>
                <w:noProof/>
              </w:rPr>
              <w:fldChar w:fldCharType="begin"/>
            </w:r>
            <w:r>
              <w:rPr>
                <w:noProof/>
              </w:rPr>
              <w:instrText xml:space="preserve"> PAGEREF _Toc240205202 \h </w:instrText>
            </w:r>
            <w:r>
              <w:rPr>
                <w:noProof/>
              </w:rPr>
            </w:r>
            <w:r>
              <w:rPr>
                <w:noProof/>
              </w:rPr>
              <w:fldChar w:fldCharType="separate"/>
            </w:r>
            <w:r>
              <w:rPr>
                <w:noProof/>
              </w:rPr>
              <w:t>4</w:t>
            </w:r>
            <w:r>
              <w:rPr>
                <w:noProof/>
              </w:rPr>
              <w:fldChar w:fldCharType="end"/>
            </w:r>
          </w:hyperlink>
        </w:p>
        <w:p w14:paraId="4361AC87" w14:textId="6AA27086"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03" w:history="1">
            <w:r w:rsidRPr="006A7889">
              <w:rPr>
                <w:rStyle w:val="Hipervnculo"/>
                <w:noProof/>
              </w:rPr>
              <w:t>2. Diagrama de casos de uso</w:t>
            </w:r>
            <w:r>
              <w:rPr>
                <w:noProof/>
              </w:rPr>
              <w:tab/>
            </w:r>
            <w:r>
              <w:rPr>
                <w:noProof/>
              </w:rPr>
              <w:fldChar w:fldCharType="begin"/>
            </w:r>
            <w:r>
              <w:rPr>
                <w:noProof/>
              </w:rPr>
              <w:instrText xml:space="preserve"> PAGEREF _Toc240205203 \h </w:instrText>
            </w:r>
            <w:r>
              <w:rPr>
                <w:noProof/>
              </w:rPr>
            </w:r>
            <w:r>
              <w:rPr>
                <w:noProof/>
              </w:rPr>
              <w:fldChar w:fldCharType="separate"/>
            </w:r>
            <w:r>
              <w:rPr>
                <w:noProof/>
              </w:rPr>
              <w:t>5</w:t>
            </w:r>
            <w:r>
              <w:rPr>
                <w:noProof/>
              </w:rPr>
              <w:fldChar w:fldCharType="end"/>
            </w:r>
          </w:hyperlink>
        </w:p>
        <w:p w14:paraId="15248665" w14:textId="108DFB84"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04" w:history="1">
            <w:r w:rsidRPr="006A7889">
              <w:rPr>
                <w:rStyle w:val="Hipervnculo"/>
                <w:noProof/>
              </w:rPr>
              <w:t>3. Catálogo de casos de uso</w:t>
            </w:r>
            <w:r>
              <w:rPr>
                <w:noProof/>
              </w:rPr>
              <w:tab/>
            </w:r>
            <w:r>
              <w:rPr>
                <w:noProof/>
              </w:rPr>
              <w:fldChar w:fldCharType="begin"/>
            </w:r>
            <w:r>
              <w:rPr>
                <w:noProof/>
              </w:rPr>
              <w:instrText xml:space="preserve"> PAGEREF _Toc240205204 \h </w:instrText>
            </w:r>
            <w:r>
              <w:rPr>
                <w:noProof/>
              </w:rPr>
            </w:r>
            <w:r>
              <w:rPr>
                <w:noProof/>
              </w:rPr>
              <w:fldChar w:fldCharType="separate"/>
            </w:r>
            <w:r>
              <w:rPr>
                <w:noProof/>
              </w:rPr>
              <w:t>5</w:t>
            </w:r>
            <w:r>
              <w:rPr>
                <w:noProof/>
              </w:rPr>
              <w:fldChar w:fldCharType="end"/>
            </w:r>
          </w:hyperlink>
        </w:p>
        <w:p w14:paraId="354491E1" w14:textId="609E7C7E"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05" w:history="1">
            <w:r w:rsidRPr="006A7889">
              <w:rPr>
                <w:rStyle w:val="Hipervnculo"/>
                <w:noProof/>
              </w:rPr>
              <w:t>4. Casos de uso detallados</w:t>
            </w:r>
            <w:r>
              <w:rPr>
                <w:noProof/>
              </w:rPr>
              <w:tab/>
            </w:r>
            <w:r>
              <w:rPr>
                <w:noProof/>
              </w:rPr>
              <w:fldChar w:fldCharType="begin"/>
            </w:r>
            <w:r>
              <w:rPr>
                <w:noProof/>
              </w:rPr>
              <w:instrText xml:space="preserve"> PAGEREF _Toc240205205 \h </w:instrText>
            </w:r>
            <w:r>
              <w:rPr>
                <w:noProof/>
              </w:rPr>
            </w:r>
            <w:r>
              <w:rPr>
                <w:noProof/>
              </w:rPr>
              <w:fldChar w:fldCharType="separate"/>
            </w:r>
            <w:r>
              <w:rPr>
                <w:noProof/>
              </w:rPr>
              <w:t>6</w:t>
            </w:r>
            <w:r>
              <w:rPr>
                <w:noProof/>
              </w:rPr>
              <w:fldChar w:fldCharType="end"/>
            </w:r>
          </w:hyperlink>
        </w:p>
        <w:p w14:paraId="229D3FA1" w14:textId="0DECDDC3"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06" w:history="1">
            <w:r w:rsidRPr="006A7889">
              <w:rPr>
                <w:rStyle w:val="Hipervnculo"/>
                <w:noProof/>
              </w:rPr>
              <w:t>4.1 UC-01 — Registrar solicitud de portabilidad (proceso saliente)</w:t>
            </w:r>
            <w:r>
              <w:rPr>
                <w:noProof/>
              </w:rPr>
              <w:tab/>
            </w:r>
            <w:r>
              <w:rPr>
                <w:noProof/>
              </w:rPr>
              <w:fldChar w:fldCharType="begin"/>
            </w:r>
            <w:r>
              <w:rPr>
                <w:noProof/>
              </w:rPr>
              <w:instrText xml:space="preserve"> PAGEREF _Toc240205206 \h </w:instrText>
            </w:r>
            <w:r>
              <w:rPr>
                <w:noProof/>
              </w:rPr>
            </w:r>
            <w:r>
              <w:rPr>
                <w:noProof/>
              </w:rPr>
              <w:fldChar w:fldCharType="separate"/>
            </w:r>
            <w:r>
              <w:rPr>
                <w:noProof/>
              </w:rPr>
              <w:t>6</w:t>
            </w:r>
            <w:r>
              <w:rPr>
                <w:noProof/>
              </w:rPr>
              <w:fldChar w:fldCharType="end"/>
            </w:r>
          </w:hyperlink>
        </w:p>
        <w:p w14:paraId="059EC3A1" w14:textId="63C332FE"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07" w:history="1">
            <w:r w:rsidRPr="006A7889">
              <w:rPr>
                <w:rStyle w:val="Hipervnculo"/>
                <w:noProof/>
              </w:rPr>
              <w:t>4.2 UC-03 — Atender consulta de portabilidad entrante</w:t>
            </w:r>
            <w:r>
              <w:rPr>
                <w:noProof/>
              </w:rPr>
              <w:tab/>
            </w:r>
            <w:r>
              <w:rPr>
                <w:noProof/>
              </w:rPr>
              <w:fldChar w:fldCharType="begin"/>
            </w:r>
            <w:r>
              <w:rPr>
                <w:noProof/>
              </w:rPr>
              <w:instrText xml:space="preserve"> PAGEREF _Toc240205207 \h </w:instrText>
            </w:r>
            <w:r>
              <w:rPr>
                <w:noProof/>
              </w:rPr>
            </w:r>
            <w:r>
              <w:rPr>
                <w:noProof/>
              </w:rPr>
              <w:fldChar w:fldCharType="separate"/>
            </w:r>
            <w:r>
              <w:rPr>
                <w:noProof/>
              </w:rPr>
              <w:t>6</w:t>
            </w:r>
            <w:r>
              <w:rPr>
                <w:noProof/>
              </w:rPr>
              <w:fldChar w:fldCharType="end"/>
            </w:r>
          </w:hyperlink>
        </w:p>
        <w:p w14:paraId="36C3BD8C" w14:textId="4BD4130C"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08" w:history="1">
            <w:r w:rsidRPr="006A7889">
              <w:rPr>
                <w:rStyle w:val="Hipervnculo"/>
                <w:noProof/>
              </w:rPr>
              <w:t>4.3 UC-04 — Emitir dictamen de beneficio pensionario</w:t>
            </w:r>
            <w:r>
              <w:rPr>
                <w:noProof/>
              </w:rPr>
              <w:tab/>
            </w:r>
            <w:r>
              <w:rPr>
                <w:noProof/>
              </w:rPr>
              <w:fldChar w:fldCharType="begin"/>
            </w:r>
            <w:r>
              <w:rPr>
                <w:noProof/>
              </w:rPr>
              <w:instrText xml:space="preserve"> PAGEREF _Toc240205208 \h </w:instrText>
            </w:r>
            <w:r>
              <w:rPr>
                <w:noProof/>
              </w:rPr>
            </w:r>
            <w:r>
              <w:rPr>
                <w:noProof/>
              </w:rPr>
              <w:fldChar w:fldCharType="separate"/>
            </w:r>
            <w:r>
              <w:rPr>
                <w:noProof/>
              </w:rPr>
              <w:t>6</w:t>
            </w:r>
            <w:r>
              <w:rPr>
                <w:noProof/>
              </w:rPr>
              <w:fldChar w:fldCharType="end"/>
            </w:r>
          </w:hyperlink>
        </w:p>
        <w:p w14:paraId="0E4B7755" w14:textId="670D12BF"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09" w:history="1">
            <w:r w:rsidRPr="006A7889">
              <w:rPr>
                <w:rStyle w:val="Hipervnculo"/>
                <w:noProof/>
              </w:rPr>
              <w:t>4.4 UC-09 — Atender una re-portabilidad</w:t>
            </w:r>
            <w:r>
              <w:rPr>
                <w:noProof/>
              </w:rPr>
              <w:tab/>
            </w:r>
            <w:r>
              <w:rPr>
                <w:noProof/>
              </w:rPr>
              <w:fldChar w:fldCharType="begin"/>
            </w:r>
            <w:r>
              <w:rPr>
                <w:noProof/>
              </w:rPr>
              <w:instrText xml:space="preserve"> PAGEREF _Toc240205209 \h </w:instrText>
            </w:r>
            <w:r>
              <w:rPr>
                <w:noProof/>
              </w:rPr>
            </w:r>
            <w:r>
              <w:rPr>
                <w:noProof/>
              </w:rPr>
              <w:fldChar w:fldCharType="separate"/>
            </w:r>
            <w:r>
              <w:rPr>
                <w:noProof/>
              </w:rPr>
              <w:t>6</w:t>
            </w:r>
            <w:r>
              <w:rPr>
                <w:noProof/>
              </w:rPr>
              <w:fldChar w:fldCharType="end"/>
            </w:r>
          </w:hyperlink>
        </w:p>
        <w:p w14:paraId="002DB8B2" w14:textId="20B4C235" w:rsidR="00B35C5A" w:rsidRDefault="00B35C5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5210" w:history="1">
            <w:r w:rsidRPr="006A7889">
              <w:rPr>
                <w:rStyle w:val="Hipervnculo"/>
                <w:noProof/>
              </w:rPr>
              <w:t>5. Vistas de secuencia</w:t>
            </w:r>
            <w:r>
              <w:rPr>
                <w:noProof/>
              </w:rPr>
              <w:tab/>
            </w:r>
            <w:r>
              <w:rPr>
                <w:noProof/>
              </w:rPr>
              <w:fldChar w:fldCharType="begin"/>
            </w:r>
            <w:r>
              <w:rPr>
                <w:noProof/>
              </w:rPr>
              <w:instrText xml:space="preserve"> PAGEREF _Toc240205210 \h </w:instrText>
            </w:r>
            <w:r>
              <w:rPr>
                <w:noProof/>
              </w:rPr>
            </w:r>
            <w:r>
              <w:rPr>
                <w:noProof/>
              </w:rPr>
              <w:fldChar w:fldCharType="separate"/>
            </w:r>
            <w:r>
              <w:rPr>
                <w:noProof/>
              </w:rPr>
              <w:t>7</w:t>
            </w:r>
            <w:r>
              <w:rPr>
                <w:noProof/>
              </w:rPr>
              <w:fldChar w:fldCharType="end"/>
            </w:r>
          </w:hyperlink>
        </w:p>
        <w:p w14:paraId="75133CB5" w14:textId="63AAA0A2"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11" w:history="1">
            <w:r w:rsidRPr="006A7889">
              <w:rPr>
                <w:rStyle w:val="Hipervnculo"/>
                <w:noProof/>
              </w:rPr>
              <w:t>5.1 Proceso saliente (ISSSTE inicia)</w:t>
            </w:r>
            <w:r>
              <w:rPr>
                <w:noProof/>
              </w:rPr>
              <w:tab/>
            </w:r>
            <w:r>
              <w:rPr>
                <w:noProof/>
              </w:rPr>
              <w:fldChar w:fldCharType="begin"/>
            </w:r>
            <w:r>
              <w:rPr>
                <w:noProof/>
              </w:rPr>
              <w:instrText xml:space="preserve"> PAGEREF _Toc240205211 \h </w:instrText>
            </w:r>
            <w:r>
              <w:rPr>
                <w:noProof/>
              </w:rPr>
            </w:r>
            <w:r>
              <w:rPr>
                <w:noProof/>
              </w:rPr>
              <w:fldChar w:fldCharType="separate"/>
            </w:r>
            <w:r>
              <w:rPr>
                <w:noProof/>
              </w:rPr>
              <w:t>7</w:t>
            </w:r>
            <w:r>
              <w:rPr>
                <w:noProof/>
              </w:rPr>
              <w:fldChar w:fldCharType="end"/>
            </w:r>
          </w:hyperlink>
        </w:p>
        <w:p w14:paraId="7E0CE6DC" w14:textId="18CE1AAD"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12" w:history="1">
            <w:r w:rsidRPr="006A7889">
              <w:rPr>
                <w:rStyle w:val="Hipervnculo"/>
                <w:noProof/>
              </w:rPr>
              <w:t>5.2 Proceso entrante (IMSS inicia)</w:t>
            </w:r>
            <w:r>
              <w:rPr>
                <w:noProof/>
              </w:rPr>
              <w:tab/>
            </w:r>
            <w:r>
              <w:rPr>
                <w:noProof/>
              </w:rPr>
              <w:fldChar w:fldCharType="begin"/>
            </w:r>
            <w:r>
              <w:rPr>
                <w:noProof/>
              </w:rPr>
              <w:instrText xml:space="preserve"> PAGEREF _Toc240205212 \h </w:instrText>
            </w:r>
            <w:r>
              <w:rPr>
                <w:noProof/>
              </w:rPr>
            </w:r>
            <w:r>
              <w:rPr>
                <w:noProof/>
              </w:rPr>
              <w:fldChar w:fldCharType="separate"/>
            </w:r>
            <w:r>
              <w:rPr>
                <w:noProof/>
              </w:rPr>
              <w:t>8</w:t>
            </w:r>
            <w:r>
              <w:rPr>
                <w:noProof/>
              </w:rPr>
              <w:fldChar w:fldCharType="end"/>
            </w:r>
          </w:hyperlink>
        </w:p>
        <w:p w14:paraId="50017EEE" w14:textId="3D4D472B" w:rsidR="00B35C5A" w:rsidRDefault="00B35C5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205213" w:history="1">
            <w:r w:rsidRPr="006A7889">
              <w:rPr>
                <w:rStyle w:val="Hipervnculo"/>
                <w:noProof/>
              </w:rPr>
              <w:t>5.3 Habilitación de la re-portabilidad</w:t>
            </w:r>
            <w:r>
              <w:rPr>
                <w:noProof/>
              </w:rPr>
              <w:tab/>
            </w:r>
            <w:r>
              <w:rPr>
                <w:noProof/>
              </w:rPr>
              <w:fldChar w:fldCharType="begin"/>
            </w:r>
            <w:r>
              <w:rPr>
                <w:noProof/>
              </w:rPr>
              <w:instrText xml:space="preserve"> PAGEREF _Toc240205213 \h </w:instrText>
            </w:r>
            <w:r>
              <w:rPr>
                <w:noProof/>
              </w:rPr>
            </w:r>
            <w:r>
              <w:rPr>
                <w:noProof/>
              </w:rPr>
              <w:fldChar w:fldCharType="separate"/>
            </w:r>
            <w:r>
              <w:rPr>
                <w:noProof/>
              </w:rPr>
              <w:t>8</w:t>
            </w:r>
            <w:r>
              <w:rPr>
                <w:noProof/>
              </w:rPr>
              <w:fldChar w:fldCharType="end"/>
            </w:r>
          </w:hyperlink>
        </w:p>
        <w:p w14:paraId="334C9B66" w14:textId="646F57C9" w:rsidR="00425E97" w:rsidRDefault="00000000">
          <w:r>
            <w:fldChar w:fldCharType="end"/>
          </w:r>
        </w:p>
      </w:sdtContent>
    </w:sdt>
    <w:p w14:paraId="1CF2599F" w14:textId="77777777" w:rsidR="00425E97" w:rsidRDefault="00000000">
      <w:r>
        <w:br w:type="page"/>
      </w:r>
    </w:p>
    <w:p w14:paraId="1864D9C4" w14:textId="77777777" w:rsidR="00425E97" w:rsidRDefault="00000000">
      <w:pPr>
        <w:pStyle w:val="Ttulo1"/>
        <w:spacing w:before="320" w:after="160"/>
      </w:pPr>
      <w:bookmarkStart w:id="2" w:name="_Toc240205202"/>
      <w:r>
        <w:lastRenderedPageBreak/>
        <w:t>1. Requerimientos especiales (no funcionales)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425E97" w14:paraId="22ACE453" w14:textId="77777777">
        <w:trPr>
          <w:tblHeader/>
        </w:trPr>
        <w:tc>
          <w:tcPr>
            <w:tcW w:w="900" w:type="dxa"/>
            <w:shd w:val="clear" w:color="auto" w:fill="DCE6F1"/>
            <w:tcMar>
              <w:top w:w="80" w:type="dxa"/>
              <w:left w:w="100" w:type="dxa"/>
              <w:bottom w:w="80" w:type="dxa"/>
              <w:right w:w="100" w:type="dxa"/>
            </w:tcMar>
          </w:tcPr>
          <w:p w14:paraId="70030619" w14:textId="77777777" w:rsidR="00425E97" w:rsidRDefault="00000000">
            <w:r>
              <w:rPr>
                <w:b/>
                <w:bCs/>
              </w:rPr>
              <w:t>ID</w:t>
            </w:r>
          </w:p>
        </w:tc>
        <w:tc>
          <w:tcPr>
            <w:tcW w:w="2200" w:type="dxa"/>
            <w:shd w:val="clear" w:color="auto" w:fill="DCE6F1"/>
            <w:tcMar>
              <w:top w:w="80" w:type="dxa"/>
              <w:left w:w="100" w:type="dxa"/>
              <w:bottom w:w="80" w:type="dxa"/>
              <w:right w:w="100" w:type="dxa"/>
            </w:tcMar>
          </w:tcPr>
          <w:p w14:paraId="3F0DDB60" w14:textId="77777777" w:rsidR="00425E97" w:rsidRDefault="00000000">
            <w:r>
              <w:rPr>
                <w:b/>
                <w:bCs/>
              </w:rPr>
              <w:t>Categoría</w:t>
            </w:r>
          </w:p>
        </w:tc>
        <w:tc>
          <w:tcPr>
            <w:tcW w:w="6260" w:type="dxa"/>
            <w:shd w:val="clear" w:color="auto" w:fill="DCE6F1"/>
            <w:tcMar>
              <w:top w:w="80" w:type="dxa"/>
              <w:left w:w="100" w:type="dxa"/>
              <w:bottom w:w="80" w:type="dxa"/>
              <w:right w:w="100" w:type="dxa"/>
            </w:tcMar>
          </w:tcPr>
          <w:p w14:paraId="11A5DA1A" w14:textId="77777777" w:rsidR="00425E97" w:rsidRDefault="00000000">
            <w:r>
              <w:rPr>
                <w:b/>
                <w:bCs/>
              </w:rPr>
              <w:t>Descripción</w:t>
            </w:r>
          </w:p>
        </w:tc>
      </w:tr>
      <w:tr w:rsidR="00425E97" w14:paraId="2F881F76" w14:textId="77777777">
        <w:tc>
          <w:tcPr>
            <w:tcW w:w="900" w:type="dxa"/>
            <w:tcMar>
              <w:top w:w="80" w:type="dxa"/>
              <w:left w:w="100" w:type="dxa"/>
              <w:bottom w:w="80" w:type="dxa"/>
              <w:right w:w="100" w:type="dxa"/>
            </w:tcMar>
          </w:tcPr>
          <w:p w14:paraId="5DC00590" w14:textId="77777777" w:rsidR="00425E97" w:rsidRDefault="00000000">
            <w:r>
              <w:t>RNF-01</w:t>
            </w:r>
          </w:p>
        </w:tc>
        <w:tc>
          <w:tcPr>
            <w:tcW w:w="2200" w:type="dxa"/>
            <w:tcMar>
              <w:top w:w="80" w:type="dxa"/>
              <w:left w:w="100" w:type="dxa"/>
              <w:bottom w:w="80" w:type="dxa"/>
              <w:right w:w="100" w:type="dxa"/>
            </w:tcMar>
          </w:tcPr>
          <w:p w14:paraId="2AA2551B" w14:textId="77777777" w:rsidR="00425E97" w:rsidRDefault="00000000">
            <w:r>
              <w:t>Seguridad</w:t>
            </w:r>
          </w:p>
        </w:tc>
        <w:tc>
          <w:tcPr>
            <w:tcW w:w="6260" w:type="dxa"/>
            <w:tcMar>
              <w:top w:w="80" w:type="dxa"/>
              <w:left w:w="100" w:type="dxa"/>
              <w:bottom w:w="80" w:type="dxa"/>
              <w:right w:w="100" w:type="dxa"/>
            </w:tcMar>
          </w:tcPr>
          <w:p w14:paraId="30A7C6F3" w14:textId="77777777" w:rsidR="00425E97" w:rsidRDefault="00000000">
            <w:r>
              <w:t>Todo dato de identidad, certificado, llave privada y contraseña de firma deberá almacenarse y transmitirse encriptado; ninguna credencial deberá difundirse ni ser manipulada directamente por un usuario.</w:t>
            </w:r>
          </w:p>
        </w:tc>
      </w:tr>
      <w:tr w:rsidR="00425E97" w14:paraId="6AFDD062" w14:textId="77777777">
        <w:tc>
          <w:tcPr>
            <w:tcW w:w="900" w:type="dxa"/>
            <w:tcMar>
              <w:top w:w="80" w:type="dxa"/>
              <w:left w:w="100" w:type="dxa"/>
              <w:bottom w:w="80" w:type="dxa"/>
              <w:right w:w="100" w:type="dxa"/>
            </w:tcMar>
          </w:tcPr>
          <w:p w14:paraId="142BBAC7" w14:textId="77777777" w:rsidR="00425E97" w:rsidRDefault="00000000">
            <w:r>
              <w:t>RNF-02</w:t>
            </w:r>
          </w:p>
        </w:tc>
        <w:tc>
          <w:tcPr>
            <w:tcW w:w="2200" w:type="dxa"/>
            <w:tcMar>
              <w:top w:w="80" w:type="dxa"/>
              <w:left w:w="100" w:type="dxa"/>
              <w:bottom w:w="80" w:type="dxa"/>
              <w:right w:w="100" w:type="dxa"/>
            </w:tcMar>
          </w:tcPr>
          <w:p w14:paraId="6CA90DA7" w14:textId="77777777" w:rsidR="00425E97" w:rsidRDefault="00000000">
            <w:r>
              <w:t>Interoperabilidad</w:t>
            </w:r>
          </w:p>
        </w:tc>
        <w:tc>
          <w:tcPr>
            <w:tcW w:w="6260" w:type="dxa"/>
            <w:tcMar>
              <w:top w:w="80" w:type="dxa"/>
              <w:left w:w="100" w:type="dxa"/>
              <w:bottom w:w="80" w:type="dxa"/>
              <w:right w:w="100" w:type="dxa"/>
            </w:tcMar>
          </w:tcPr>
          <w:p w14:paraId="2C7DA3B3" w14:textId="77777777" w:rsidR="00425E97" w:rsidRDefault="00000000">
            <w:r>
              <w:t>La comunicación con IMSS, ProceSAR, RENAPO y los servicios de firma/CNSF deberá realizarse mediante contratos de servicio formalmente documentados (WSDL/REST) y versionados.</w:t>
            </w:r>
          </w:p>
        </w:tc>
      </w:tr>
      <w:tr w:rsidR="00425E97" w14:paraId="7C3BC0C7" w14:textId="77777777">
        <w:tc>
          <w:tcPr>
            <w:tcW w:w="900" w:type="dxa"/>
            <w:tcMar>
              <w:top w:w="80" w:type="dxa"/>
              <w:left w:w="100" w:type="dxa"/>
              <w:bottom w:w="80" w:type="dxa"/>
              <w:right w:w="100" w:type="dxa"/>
            </w:tcMar>
          </w:tcPr>
          <w:p w14:paraId="26302EF2" w14:textId="77777777" w:rsidR="00425E97" w:rsidRDefault="00000000">
            <w:r>
              <w:t>RNF-03</w:t>
            </w:r>
          </w:p>
        </w:tc>
        <w:tc>
          <w:tcPr>
            <w:tcW w:w="2200" w:type="dxa"/>
            <w:tcMar>
              <w:top w:w="80" w:type="dxa"/>
              <w:left w:w="100" w:type="dxa"/>
              <w:bottom w:w="80" w:type="dxa"/>
              <w:right w:w="100" w:type="dxa"/>
            </w:tcMar>
          </w:tcPr>
          <w:p w14:paraId="2185D0C2" w14:textId="77777777" w:rsidR="00425E97" w:rsidRDefault="00000000">
            <w:r>
              <w:t>Trazabilidad y auditoría</w:t>
            </w:r>
          </w:p>
        </w:tc>
        <w:tc>
          <w:tcPr>
            <w:tcW w:w="6260" w:type="dxa"/>
            <w:tcMar>
              <w:top w:w="80" w:type="dxa"/>
              <w:left w:w="100" w:type="dxa"/>
              <w:bottom w:w="80" w:type="dxa"/>
              <w:right w:w="100" w:type="dxa"/>
            </w:tcMar>
          </w:tcPr>
          <w:p w14:paraId="25A669F6" w14:textId="77777777" w:rsidR="00425E97" w:rsidRDefault="00000000">
            <w:r>
              <w:t>Todo cambio de estatus de una solicitud y todo marcado de periodos en la cuenta individual deberá quedar bitacorizado con folio, fecha/hora y origen de la operación.</w:t>
            </w:r>
          </w:p>
        </w:tc>
      </w:tr>
      <w:tr w:rsidR="00425E97" w14:paraId="41F87FEA" w14:textId="77777777">
        <w:tc>
          <w:tcPr>
            <w:tcW w:w="900" w:type="dxa"/>
            <w:tcMar>
              <w:top w:w="80" w:type="dxa"/>
              <w:left w:w="100" w:type="dxa"/>
              <w:bottom w:w="80" w:type="dxa"/>
              <w:right w:w="100" w:type="dxa"/>
            </w:tcMar>
          </w:tcPr>
          <w:p w14:paraId="1B5F9E43" w14:textId="77777777" w:rsidR="00425E97" w:rsidRDefault="00000000">
            <w:r>
              <w:t>RNF-04</w:t>
            </w:r>
          </w:p>
        </w:tc>
        <w:tc>
          <w:tcPr>
            <w:tcW w:w="2200" w:type="dxa"/>
            <w:tcMar>
              <w:top w:w="80" w:type="dxa"/>
              <w:left w:w="100" w:type="dxa"/>
              <w:bottom w:w="80" w:type="dxa"/>
              <w:right w:w="100" w:type="dxa"/>
            </w:tcMar>
          </w:tcPr>
          <w:p w14:paraId="3E472F81" w14:textId="77777777" w:rsidR="00425E97" w:rsidRDefault="00000000">
            <w:r>
              <w:t>Integridad documental</w:t>
            </w:r>
          </w:p>
        </w:tc>
        <w:tc>
          <w:tcPr>
            <w:tcW w:w="6260" w:type="dxa"/>
            <w:tcMar>
              <w:top w:w="80" w:type="dxa"/>
              <w:left w:w="100" w:type="dxa"/>
              <w:bottom w:w="80" w:type="dxa"/>
              <w:right w:w="100" w:type="dxa"/>
            </w:tcMar>
          </w:tcPr>
          <w:p w14:paraId="4BF6466C" w14:textId="77777777" w:rsidR="00425E97" w:rsidRDefault="00000000">
            <w:r>
              <w:t>La Resolución de Transferencia de Derechos deberá incluir un sello digital encriptado, generado con un certificado propio del Instituto, que garantice su integridad.</w:t>
            </w:r>
          </w:p>
        </w:tc>
      </w:tr>
      <w:tr w:rsidR="00425E97" w14:paraId="361C4F9F" w14:textId="77777777">
        <w:tc>
          <w:tcPr>
            <w:tcW w:w="900" w:type="dxa"/>
            <w:tcMar>
              <w:top w:w="80" w:type="dxa"/>
              <w:left w:w="100" w:type="dxa"/>
              <w:bottom w:w="80" w:type="dxa"/>
              <w:right w:w="100" w:type="dxa"/>
            </w:tcMar>
          </w:tcPr>
          <w:p w14:paraId="75501650" w14:textId="77777777" w:rsidR="00425E97" w:rsidRDefault="00000000">
            <w:r>
              <w:t>RNF-05</w:t>
            </w:r>
          </w:p>
        </w:tc>
        <w:tc>
          <w:tcPr>
            <w:tcW w:w="2200" w:type="dxa"/>
            <w:tcMar>
              <w:top w:w="80" w:type="dxa"/>
              <w:left w:w="100" w:type="dxa"/>
              <w:bottom w:w="80" w:type="dxa"/>
              <w:right w:w="100" w:type="dxa"/>
            </w:tcMar>
          </w:tcPr>
          <w:p w14:paraId="1C74E0E4" w14:textId="77777777" w:rsidR="00425E97" w:rsidRDefault="00000000">
            <w:r>
              <w:t>Disponibilidad ante fallas de comunicación</w:t>
            </w:r>
          </w:p>
        </w:tc>
        <w:tc>
          <w:tcPr>
            <w:tcW w:w="6260" w:type="dxa"/>
            <w:tcMar>
              <w:top w:w="80" w:type="dxa"/>
              <w:left w:w="100" w:type="dxa"/>
              <w:bottom w:w="80" w:type="dxa"/>
              <w:right w:w="100" w:type="dxa"/>
            </w:tcMar>
          </w:tcPr>
          <w:p w14:paraId="4AE45EF9" w14:textId="77777777" w:rsidR="00425E97" w:rsidRDefault="00000000">
            <w:r>
              <w:t>El sistema deberá manejar de forma explícita y catalogada cada falla de comunicación con los servicios externos (RENAPO, IMSS, ProceSAR, CNSF, firma), informando al usuario sin perder la información ya capturada. Cuando el trámite se origina en ISSSTE, al ser un proceso secuencial no existe un tiempo de espera (SLA) entre estatus: cualquier falla o ausencia de respuesta de un servicio externo se interpreta como rechazo, con su motivo correspondiente.</w:t>
            </w:r>
          </w:p>
        </w:tc>
      </w:tr>
      <w:tr w:rsidR="00425E97" w14:paraId="4598DE6C" w14:textId="77777777">
        <w:tc>
          <w:tcPr>
            <w:tcW w:w="900" w:type="dxa"/>
            <w:tcMar>
              <w:top w:w="80" w:type="dxa"/>
              <w:left w:w="100" w:type="dxa"/>
              <w:bottom w:w="80" w:type="dxa"/>
              <w:right w:w="100" w:type="dxa"/>
            </w:tcMar>
          </w:tcPr>
          <w:p w14:paraId="77276671" w14:textId="77777777" w:rsidR="00425E97" w:rsidRDefault="00000000">
            <w:r>
              <w:t>RNF-06</w:t>
            </w:r>
          </w:p>
        </w:tc>
        <w:tc>
          <w:tcPr>
            <w:tcW w:w="2200" w:type="dxa"/>
            <w:tcMar>
              <w:top w:w="80" w:type="dxa"/>
              <w:left w:w="100" w:type="dxa"/>
              <w:bottom w:w="80" w:type="dxa"/>
              <w:right w:w="100" w:type="dxa"/>
            </w:tcMar>
          </w:tcPr>
          <w:p w14:paraId="3D91FB88" w14:textId="77777777" w:rsidR="00425E97" w:rsidRDefault="00000000">
            <w:r>
              <w:t>Cumplimiento normativo</w:t>
            </w:r>
          </w:p>
        </w:tc>
        <w:tc>
          <w:tcPr>
            <w:tcW w:w="6260" w:type="dxa"/>
            <w:tcMar>
              <w:top w:w="80" w:type="dxa"/>
              <w:left w:w="100" w:type="dxa"/>
              <w:bottom w:w="80" w:type="dxa"/>
              <w:right w:w="100" w:type="dxa"/>
            </w:tcMar>
          </w:tcPr>
          <w:p w14:paraId="246B5B43" w14:textId="77777777" w:rsidR="00425E97" w:rsidRDefault="00000000">
            <w:r>
              <w:t>El cálculo de tiempo cotizado, régimen y elegibilidad de pensión deberá alinearse a la normativa vigente en materia de portabilidad de derechos entre ISSSTE e IMSS.</w:t>
            </w:r>
          </w:p>
        </w:tc>
      </w:tr>
      <w:tr w:rsidR="00425E97" w14:paraId="1CC1500B" w14:textId="77777777">
        <w:tc>
          <w:tcPr>
            <w:tcW w:w="900" w:type="dxa"/>
            <w:tcMar>
              <w:top w:w="80" w:type="dxa"/>
              <w:left w:w="100" w:type="dxa"/>
              <w:bottom w:w="80" w:type="dxa"/>
              <w:right w:w="100" w:type="dxa"/>
            </w:tcMar>
          </w:tcPr>
          <w:p w14:paraId="1499C136" w14:textId="77777777" w:rsidR="00425E97" w:rsidRDefault="00000000">
            <w:r>
              <w:t>RNF-07</w:t>
            </w:r>
          </w:p>
        </w:tc>
        <w:tc>
          <w:tcPr>
            <w:tcW w:w="2200" w:type="dxa"/>
            <w:tcMar>
              <w:top w:w="80" w:type="dxa"/>
              <w:left w:w="100" w:type="dxa"/>
              <w:bottom w:w="80" w:type="dxa"/>
              <w:right w:w="100" w:type="dxa"/>
            </w:tcMar>
          </w:tcPr>
          <w:p w14:paraId="6995DE46" w14:textId="77777777" w:rsidR="00425E97" w:rsidRDefault="00000000">
            <w:r>
              <w:t>Usabilidad</w:t>
            </w:r>
          </w:p>
        </w:tc>
        <w:tc>
          <w:tcPr>
            <w:tcW w:w="6260" w:type="dxa"/>
            <w:tcMar>
              <w:top w:w="80" w:type="dxa"/>
              <w:left w:w="100" w:type="dxa"/>
              <w:bottom w:w="80" w:type="dxa"/>
              <w:right w:w="100" w:type="dxa"/>
            </w:tcMar>
          </w:tcPr>
          <w:p w14:paraId="357D2355" w14:textId="77777777" w:rsidR="00425E97" w:rsidRDefault="00000000">
            <w:r>
              <w:t>La interfaz de captura deberá presentar de forma guiada los datos recuperados automáticamente, minimizando la captura manual y el riesgo de error humano.</w:t>
            </w:r>
          </w:p>
        </w:tc>
      </w:tr>
    </w:tbl>
    <w:p w14:paraId="51A75E13" w14:textId="77777777" w:rsidR="006173E4" w:rsidRDefault="006173E4">
      <w:pPr>
        <w:pStyle w:val="Ttulo1"/>
        <w:spacing w:before="320" w:after="160"/>
      </w:pPr>
    </w:p>
    <w:p w14:paraId="16A6F9B4" w14:textId="77777777" w:rsidR="006173E4" w:rsidRDefault="006173E4">
      <w:pPr>
        <w:rPr>
          <w:b/>
          <w:bCs/>
          <w:color w:val="1F3864"/>
          <w:sz w:val="32"/>
          <w:szCs w:val="32"/>
        </w:rPr>
      </w:pPr>
      <w:r>
        <w:br w:type="page"/>
      </w:r>
    </w:p>
    <w:p w14:paraId="3F287982" w14:textId="1CD0F07F" w:rsidR="00425E97" w:rsidRDefault="00000000">
      <w:pPr>
        <w:pStyle w:val="Ttulo1"/>
        <w:spacing w:before="320" w:after="160"/>
      </w:pPr>
      <w:bookmarkStart w:id="3" w:name="_Toc240205203"/>
      <w:r>
        <w:lastRenderedPageBreak/>
        <w:t>2. Diagrama de casos de uso</w:t>
      </w:r>
      <w:bookmarkEnd w:id="3"/>
    </w:p>
    <w:p w14:paraId="0ECA3CF5" w14:textId="77777777" w:rsidR="00425E97" w:rsidRDefault="00000000">
      <w:pPr>
        <w:spacing w:after="60"/>
        <w:jc w:val="center"/>
      </w:pPr>
      <w:r>
        <w:rPr>
          <w:noProof/>
        </w:rPr>
        <w:drawing>
          <wp:inline distT="0" distB="0" distL="0" distR="0" wp14:anchorId="1D622E3B" wp14:editId="5A945F41">
            <wp:extent cx="5715000" cy="3943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43350"/>
                    </a:xfrm>
                    <a:prstGeom prst="rect">
                      <a:avLst/>
                    </a:prstGeom>
                  </pic:spPr>
                </pic:pic>
              </a:graphicData>
            </a:graphic>
          </wp:inline>
        </w:drawing>
      </w:r>
    </w:p>
    <w:p w14:paraId="7F91367A" w14:textId="77777777" w:rsidR="00425E97" w:rsidRDefault="00000000">
      <w:pPr>
        <w:spacing w:after="200"/>
        <w:jc w:val="center"/>
      </w:pPr>
      <w:r>
        <w:rPr>
          <w:i/>
          <w:iCs/>
          <w:color w:val="595959"/>
          <w:sz w:val="18"/>
          <w:szCs w:val="18"/>
        </w:rPr>
        <w:t>Diagrama de casos de uso del sistema</w:t>
      </w:r>
    </w:p>
    <w:p w14:paraId="00E3DE5C" w14:textId="77777777" w:rsidR="00425E97" w:rsidRDefault="00000000">
      <w:pPr>
        <w:pStyle w:val="Ttulo1"/>
        <w:spacing w:before="320" w:after="160"/>
      </w:pPr>
      <w:bookmarkStart w:id="4" w:name="_Toc240205204"/>
      <w:r>
        <w:t>3. Catálogo de casos de uso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0"/>
        <w:gridCol w:w="2460"/>
      </w:tblGrid>
      <w:tr w:rsidR="00425E97" w14:paraId="65B825A4" w14:textId="77777777">
        <w:trPr>
          <w:tblHeader/>
        </w:trPr>
        <w:tc>
          <w:tcPr>
            <w:tcW w:w="900" w:type="dxa"/>
            <w:shd w:val="clear" w:color="auto" w:fill="DCE6F1"/>
            <w:tcMar>
              <w:top w:w="80" w:type="dxa"/>
              <w:left w:w="100" w:type="dxa"/>
              <w:bottom w:w="80" w:type="dxa"/>
              <w:right w:w="100" w:type="dxa"/>
            </w:tcMar>
          </w:tcPr>
          <w:p w14:paraId="40D62299" w14:textId="77777777" w:rsidR="00425E97" w:rsidRDefault="00000000">
            <w:r>
              <w:rPr>
                <w:b/>
                <w:bCs/>
              </w:rPr>
              <w:t>ID</w:t>
            </w:r>
          </w:p>
        </w:tc>
        <w:tc>
          <w:tcPr>
            <w:tcW w:w="6000" w:type="dxa"/>
            <w:shd w:val="clear" w:color="auto" w:fill="DCE6F1"/>
            <w:tcMar>
              <w:top w:w="80" w:type="dxa"/>
              <w:left w:w="100" w:type="dxa"/>
              <w:bottom w:w="80" w:type="dxa"/>
              <w:right w:w="100" w:type="dxa"/>
            </w:tcMar>
          </w:tcPr>
          <w:p w14:paraId="71FA23BE" w14:textId="77777777" w:rsidR="00425E97" w:rsidRDefault="00000000">
            <w:r>
              <w:rPr>
                <w:b/>
                <w:bCs/>
              </w:rPr>
              <w:t>Nombre</w:t>
            </w:r>
          </w:p>
        </w:tc>
        <w:tc>
          <w:tcPr>
            <w:tcW w:w="2460" w:type="dxa"/>
            <w:shd w:val="clear" w:color="auto" w:fill="DCE6F1"/>
            <w:tcMar>
              <w:top w:w="80" w:type="dxa"/>
              <w:left w:w="100" w:type="dxa"/>
              <w:bottom w:w="80" w:type="dxa"/>
              <w:right w:w="100" w:type="dxa"/>
            </w:tcMar>
          </w:tcPr>
          <w:p w14:paraId="243A255D" w14:textId="77777777" w:rsidR="00425E97" w:rsidRDefault="00000000">
            <w:r>
              <w:rPr>
                <w:b/>
                <w:bCs/>
              </w:rPr>
              <w:t>Actor principal</w:t>
            </w:r>
          </w:p>
        </w:tc>
      </w:tr>
      <w:tr w:rsidR="00425E97" w14:paraId="2F66FC01" w14:textId="77777777">
        <w:tc>
          <w:tcPr>
            <w:tcW w:w="900" w:type="dxa"/>
            <w:tcMar>
              <w:top w:w="80" w:type="dxa"/>
              <w:left w:w="100" w:type="dxa"/>
              <w:bottom w:w="80" w:type="dxa"/>
              <w:right w:w="100" w:type="dxa"/>
            </w:tcMar>
          </w:tcPr>
          <w:p w14:paraId="64890202" w14:textId="77777777" w:rsidR="00425E97" w:rsidRDefault="00000000">
            <w:r>
              <w:t>UC-01</w:t>
            </w:r>
          </w:p>
        </w:tc>
        <w:tc>
          <w:tcPr>
            <w:tcW w:w="6000" w:type="dxa"/>
            <w:tcMar>
              <w:top w:w="80" w:type="dxa"/>
              <w:left w:w="100" w:type="dxa"/>
              <w:bottom w:w="80" w:type="dxa"/>
              <w:right w:w="100" w:type="dxa"/>
            </w:tcMar>
          </w:tcPr>
          <w:p w14:paraId="771EE31C" w14:textId="77777777" w:rsidR="00425E97" w:rsidRDefault="00000000">
            <w:r>
              <w:t>Registrar solicitud de portabilidad (proceso saliente)</w:t>
            </w:r>
          </w:p>
        </w:tc>
        <w:tc>
          <w:tcPr>
            <w:tcW w:w="2460" w:type="dxa"/>
            <w:tcMar>
              <w:top w:w="80" w:type="dxa"/>
              <w:left w:w="100" w:type="dxa"/>
              <w:bottom w:w="80" w:type="dxa"/>
              <w:right w:w="100" w:type="dxa"/>
            </w:tcMar>
          </w:tcPr>
          <w:p w14:paraId="76FBA7F3" w14:textId="77777777" w:rsidR="00425E97" w:rsidRDefault="00000000">
            <w:r>
              <w:t>Usuario de ventanilla ISSSTE</w:t>
            </w:r>
          </w:p>
        </w:tc>
      </w:tr>
      <w:tr w:rsidR="00425E97" w14:paraId="77AF9BDB" w14:textId="77777777">
        <w:tc>
          <w:tcPr>
            <w:tcW w:w="900" w:type="dxa"/>
            <w:tcMar>
              <w:top w:w="80" w:type="dxa"/>
              <w:left w:w="100" w:type="dxa"/>
              <w:bottom w:w="80" w:type="dxa"/>
              <w:right w:w="100" w:type="dxa"/>
            </w:tcMar>
          </w:tcPr>
          <w:p w14:paraId="1CDE8D67" w14:textId="77777777" w:rsidR="00425E97" w:rsidRDefault="00000000">
            <w:r>
              <w:t>UC-02</w:t>
            </w:r>
          </w:p>
        </w:tc>
        <w:tc>
          <w:tcPr>
            <w:tcW w:w="6000" w:type="dxa"/>
            <w:tcMar>
              <w:top w:w="80" w:type="dxa"/>
              <w:left w:w="100" w:type="dxa"/>
              <w:bottom w:w="80" w:type="dxa"/>
              <w:right w:w="100" w:type="dxa"/>
            </w:tcMar>
          </w:tcPr>
          <w:p w14:paraId="20E3767F" w14:textId="77777777" w:rsidR="00425E97" w:rsidRDefault="00000000">
            <w:r>
              <w:t>Consultar estatus y periodos ante IMSS y ProceSAR</w:t>
            </w:r>
          </w:p>
        </w:tc>
        <w:tc>
          <w:tcPr>
            <w:tcW w:w="2460" w:type="dxa"/>
            <w:tcMar>
              <w:top w:w="80" w:type="dxa"/>
              <w:left w:w="100" w:type="dxa"/>
              <w:bottom w:w="80" w:type="dxa"/>
              <w:right w:w="100" w:type="dxa"/>
            </w:tcMar>
          </w:tcPr>
          <w:p w14:paraId="5145A3F4" w14:textId="77777777" w:rsidR="00425E97" w:rsidRDefault="00000000">
            <w:r>
              <w:t>Sistema (automático)</w:t>
            </w:r>
          </w:p>
        </w:tc>
      </w:tr>
      <w:tr w:rsidR="00425E97" w14:paraId="72B6F254" w14:textId="77777777">
        <w:tc>
          <w:tcPr>
            <w:tcW w:w="900" w:type="dxa"/>
            <w:tcMar>
              <w:top w:w="80" w:type="dxa"/>
              <w:left w:w="100" w:type="dxa"/>
              <w:bottom w:w="80" w:type="dxa"/>
              <w:right w:w="100" w:type="dxa"/>
            </w:tcMar>
          </w:tcPr>
          <w:p w14:paraId="26FB270F" w14:textId="77777777" w:rsidR="00425E97" w:rsidRDefault="00000000">
            <w:r>
              <w:t>UC-03</w:t>
            </w:r>
          </w:p>
        </w:tc>
        <w:tc>
          <w:tcPr>
            <w:tcW w:w="6000" w:type="dxa"/>
            <w:tcMar>
              <w:top w:w="80" w:type="dxa"/>
              <w:left w:w="100" w:type="dxa"/>
              <w:bottom w:w="80" w:type="dxa"/>
              <w:right w:w="100" w:type="dxa"/>
            </w:tcMar>
          </w:tcPr>
          <w:p w14:paraId="0C161FBA" w14:textId="77777777" w:rsidR="00425E97" w:rsidRDefault="00000000">
            <w:r>
              <w:t>Atender consulta de portabilidad entrante de IMSS</w:t>
            </w:r>
          </w:p>
        </w:tc>
        <w:tc>
          <w:tcPr>
            <w:tcW w:w="2460" w:type="dxa"/>
            <w:tcMar>
              <w:top w:w="80" w:type="dxa"/>
              <w:left w:w="100" w:type="dxa"/>
              <w:bottom w:w="80" w:type="dxa"/>
              <w:right w:w="100" w:type="dxa"/>
            </w:tcMar>
          </w:tcPr>
          <w:p w14:paraId="47CBDBAA" w14:textId="77777777" w:rsidR="00425E97" w:rsidRDefault="00000000">
            <w:r>
              <w:t>IMSS</w:t>
            </w:r>
          </w:p>
        </w:tc>
      </w:tr>
      <w:tr w:rsidR="00425E97" w14:paraId="4462680B" w14:textId="77777777">
        <w:tc>
          <w:tcPr>
            <w:tcW w:w="900" w:type="dxa"/>
            <w:tcMar>
              <w:top w:w="80" w:type="dxa"/>
              <w:left w:w="100" w:type="dxa"/>
              <w:bottom w:w="80" w:type="dxa"/>
              <w:right w:w="100" w:type="dxa"/>
            </w:tcMar>
          </w:tcPr>
          <w:p w14:paraId="6F7B7E18" w14:textId="77777777" w:rsidR="00425E97" w:rsidRDefault="00000000">
            <w:r>
              <w:t>UC-04</w:t>
            </w:r>
          </w:p>
        </w:tc>
        <w:tc>
          <w:tcPr>
            <w:tcW w:w="6000" w:type="dxa"/>
            <w:tcMar>
              <w:top w:w="80" w:type="dxa"/>
              <w:left w:w="100" w:type="dxa"/>
              <w:bottom w:w="80" w:type="dxa"/>
              <w:right w:w="100" w:type="dxa"/>
            </w:tcMar>
          </w:tcPr>
          <w:p w14:paraId="6FA1490A" w14:textId="77777777" w:rsidR="00425E97" w:rsidRDefault="00000000">
            <w:r>
              <w:t>Emitir dictamen de beneficio pensionario y consultar saldos/CNSF</w:t>
            </w:r>
          </w:p>
        </w:tc>
        <w:tc>
          <w:tcPr>
            <w:tcW w:w="2460" w:type="dxa"/>
            <w:tcMar>
              <w:top w:w="80" w:type="dxa"/>
              <w:left w:w="100" w:type="dxa"/>
              <w:bottom w:w="80" w:type="dxa"/>
              <w:right w:w="100" w:type="dxa"/>
            </w:tcMar>
          </w:tcPr>
          <w:p w14:paraId="197BFB3F" w14:textId="77777777" w:rsidR="00425E97" w:rsidRDefault="00000000">
            <w:r>
              <w:t>Sistema (automático)</w:t>
            </w:r>
          </w:p>
        </w:tc>
      </w:tr>
      <w:tr w:rsidR="00425E97" w14:paraId="7BACFA77" w14:textId="77777777">
        <w:tc>
          <w:tcPr>
            <w:tcW w:w="900" w:type="dxa"/>
            <w:tcMar>
              <w:top w:w="80" w:type="dxa"/>
              <w:left w:w="100" w:type="dxa"/>
              <w:bottom w:w="80" w:type="dxa"/>
              <w:right w:w="100" w:type="dxa"/>
            </w:tcMar>
          </w:tcPr>
          <w:p w14:paraId="0E3E44C4" w14:textId="77777777" w:rsidR="00425E97" w:rsidRDefault="00000000">
            <w:r>
              <w:t>UC-05</w:t>
            </w:r>
          </w:p>
        </w:tc>
        <w:tc>
          <w:tcPr>
            <w:tcW w:w="6000" w:type="dxa"/>
            <w:tcMar>
              <w:top w:w="80" w:type="dxa"/>
              <w:left w:w="100" w:type="dxa"/>
              <w:bottom w:w="80" w:type="dxa"/>
              <w:right w:w="100" w:type="dxa"/>
            </w:tcMar>
          </w:tcPr>
          <w:p w14:paraId="05E0D3B8" w14:textId="77777777" w:rsidR="00425E97" w:rsidRDefault="00000000">
            <w:r>
              <w:t>Notificar conclusión de la portabilidad (procedente o cancelada)</w:t>
            </w:r>
          </w:p>
        </w:tc>
        <w:tc>
          <w:tcPr>
            <w:tcW w:w="2460" w:type="dxa"/>
            <w:tcMar>
              <w:top w:w="80" w:type="dxa"/>
              <w:left w:w="100" w:type="dxa"/>
              <w:bottom w:w="80" w:type="dxa"/>
              <w:right w:w="100" w:type="dxa"/>
            </w:tcMar>
          </w:tcPr>
          <w:p w14:paraId="1D26FC62" w14:textId="77777777" w:rsidR="00425E97" w:rsidRDefault="00000000">
            <w:r>
              <w:t>Sistema (automático)</w:t>
            </w:r>
          </w:p>
        </w:tc>
      </w:tr>
      <w:tr w:rsidR="00425E97" w14:paraId="45413DE5" w14:textId="77777777">
        <w:tc>
          <w:tcPr>
            <w:tcW w:w="900" w:type="dxa"/>
            <w:tcMar>
              <w:top w:w="80" w:type="dxa"/>
              <w:left w:w="100" w:type="dxa"/>
              <w:bottom w:w="80" w:type="dxa"/>
              <w:right w:w="100" w:type="dxa"/>
            </w:tcMar>
          </w:tcPr>
          <w:p w14:paraId="36119048" w14:textId="77777777" w:rsidR="00425E97" w:rsidRDefault="00000000">
            <w:r>
              <w:t>UC-06</w:t>
            </w:r>
          </w:p>
        </w:tc>
        <w:tc>
          <w:tcPr>
            <w:tcW w:w="6000" w:type="dxa"/>
            <w:tcMar>
              <w:top w:w="80" w:type="dxa"/>
              <w:left w:w="100" w:type="dxa"/>
              <w:bottom w:w="80" w:type="dxa"/>
              <w:right w:w="100" w:type="dxa"/>
            </w:tcMar>
          </w:tcPr>
          <w:p w14:paraId="5AD8E71B" w14:textId="77777777" w:rsidR="00425E97" w:rsidRDefault="00000000">
            <w:r>
              <w:t>Firmar electrónicamente y generar Solicitud/Resolución</w:t>
            </w:r>
          </w:p>
        </w:tc>
        <w:tc>
          <w:tcPr>
            <w:tcW w:w="2460" w:type="dxa"/>
            <w:tcMar>
              <w:top w:w="80" w:type="dxa"/>
              <w:left w:w="100" w:type="dxa"/>
              <w:bottom w:w="80" w:type="dxa"/>
              <w:right w:w="100" w:type="dxa"/>
            </w:tcMar>
          </w:tcPr>
          <w:p w14:paraId="4E26E58D" w14:textId="77777777" w:rsidR="00425E97" w:rsidRDefault="00000000">
            <w:r>
              <w:t>Usuario de ventanilla ISSSTE / Derechohabiente</w:t>
            </w:r>
          </w:p>
        </w:tc>
      </w:tr>
      <w:tr w:rsidR="00425E97" w14:paraId="16CED174" w14:textId="77777777">
        <w:tc>
          <w:tcPr>
            <w:tcW w:w="900" w:type="dxa"/>
            <w:tcMar>
              <w:top w:w="80" w:type="dxa"/>
              <w:left w:w="100" w:type="dxa"/>
              <w:bottom w:w="80" w:type="dxa"/>
              <w:right w:w="100" w:type="dxa"/>
            </w:tcMar>
          </w:tcPr>
          <w:p w14:paraId="72F054B4" w14:textId="77777777" w:rsidR="00425E97" w:rsidRDefault="00000000">
            <w:r>
              <w:t>UC-07</w:t>
            </w:r>
          </w:p>
        </w:tc>
        <w:tc>
          <w:tcPr>
            <w:tcW w:w="6000" w:type="dxa"/>
            <w:tcMar>
              <w:top w:w="80" w:type="dxa"/>
              <w:left w:w="100" w:type="dxa"/>
              <w:bottom w:w="80" w:type="dxa"/>
              <w:right w:w="100" w:type="dxa"/>
            </w:tcMar>
          </w:tcPr>
          <w:p w14:paraId="08EE676B" w14:textId="77777777" w:rsidR="00425E97" w:rsidRDefault="00000000">
            <w:r>
              <w:t>Consultar y descargar solicitudes previas</w:t>
            </w:r>
          </w:p>
        </w:tc>
        <w:tc>
          <w:tcPr>
            <w:tcW w:w="2460" w:type="dxa"/>
            <w:tcMar>
              <w:top w:w="80" w:type="dxa"/>
              <w:left w:w="100" w:type="dxa"/>
              <w:bottom w:w="80" w:type="dxa"/>
              <w:right w:w="100" w:type="dxa"/>
            </w:tcMar>
          </w:tcPr>
          <w:p w14:paraId="3D02283F" w14:textId="77777777" w:rsidR="00425E97" w:rsidRDefault="00000000">
            <w:r>
              <w:t>Derechohabiente</w:t>
            </w:r>
          </w:p>
        </w:tc>
      </w:tr>
      <w:tr w:rsidR="00425E97" w14:paraId="2988E15A" w14:textId="77777777">
        <w:tc>
          <w:tcPr>
            <w:tcW w:w="900" w:type="dxa"/>
            <w:tcMar>
              <w:top w:w="80" w:type="dxa"/>
              <w:left w:w="100" w:type="dxa"/>
              <w:bottom w:w="80" w:type="dxa"/>
              <w:right w:w="100" w:type="dxa"/>
            </w:tcMar>
          </w:tcPr>
          <w:p w14:paraId="17461D72" w14:textId="77777777" w:rsidR="00425E97" w:rsidRDefault="00000000">
            <w:r>
              <w:t>UC-08</w:t>
            </w:r>
          </w:p>
        </w:tc>
        <w:tc>
          <w:tcPr>
            <w:tcW w:w="6000" w:type="dxa"/>
            <w:tcMar>
              <w:top w:w="80" w:type="dxa"/>
              <w:left w:w="100" w:type="dxa"/>
              <w:bottom w:w="80" w:type="dxa"/>
              <w:right w:w="100" w:type="dxa"/>
            </w:tcMar>
          </w:tcPr>
          <w:p w14:paraId="77E44AC5" w14:textId="77777777" w:rsidR="00425E97" w:rsidRDefault="00000000">
            <w:r>
              <w:t>Rechazar solicitud por incumplimiento de reglas de elegibilidad</w:t>
            </w:r>
          </w:p>
        </w:tc>
        <w:tc>
          <w:tcPr>
            <w:tcW w:w="2460" w:type="dxa"/>
            <w:tcMar>
              <w:top w:w="80" w:type="dxa"/>
              <w:left w:w="100" w:type="dxa"/>
              <w:bottom w:w="80" w:type="dxa"/>
              <w:right w:w="100" w:type="dxa"/>
            </w:tcMar>
          </w:tcPr>
          <w:p w14:paraId="0C1555CA" w14:textId="77777777" w:rsidR="00425E97" w:rsidRDefault="00000000">
            <w:r>
              <w:t>Sistema (automático)</w:t>
            </w:r>
          </w:p>
        </w:tc>
      </w:tr>
      <w:tr w:rsidR="00425E97" w14:paraId="7909E735" w14:textId="77777777">
        <w:tc>
          <w:tcPr>
            <w:tcW w:w="900" w:type="dxa"/>
            <w:tcMar>
              <w:top w:w="80" w:type="dxa"/>
              <w:left w:w="100" w:type="dxa"/>
              <w:bottom w:w="80" w:type="dxa"/>
              <w:right w:w="100" w:type="dxa"/>
            </w:tcMar>
          </w:tcPr>
          <w:p w14:paraId="033A11AA" w14:textId="77777777" w:rsidR="00425E97" w:rsidRDefault="00000000">
            <w:r>
              <w:lastRenderedPageBreak/>
              <w:t>UC-09</w:t>
            </w:r>
          </w:p>
        </w:tc>
        <w:tc>
          <w:tcPr>
            <w:tcW w:w="6000" w:type="dxa"/>
            <w:tcMar>
              <w:top w:w="80" w:type="dxa"/>
              <w:left w:w="100" w:type="dxa"/>
              <w:bottom w:w="80" w:type="dxa"/>
              <w:right w:w="100" w:type="dxa"/>
            </w:tcMar>
          </w:tcPr>
          <w:p w14:paraId="65C463AC" w14:textId="77777777" w:rsidR="00425E97" w:rsidRDefault="00000000">
            <w:r>
              <w:t>Atender una re-portabilidad para un derechohabiente con trámite previo concluido</w:t>
            </w:r>
          </w:p>
        </w:tc>
        <w:tc>
          <w:tcPr>
            <w:tcW w:w="2460" w:type="dxa"/>
            <w:tcMar>
              <w:top w:w="80" w:type="dxa"/>
              <w:left w:w="100" w:type="dxa"/>
              <w:bottom w:w="80" w:type="dxa"/>
              <w:right w:w="100" w:type="dxa"/>
            </w:tcMar>
          </w:tcPr>
          <w:p w14:paraId="3A30B12D" w14:textId="77777777" w:rsidR="00425E97" w:rsidRDefault="00000000">
            <w:r>
              <w:t>IMSS</w:t>
            </w:r>
          </w:p>
        </w:tc>
      </w:tr>
    </w:tbl>
    <w:p w14:paraId="0BF7D09F" w14:textId="77777777" w:rsidR="00425E97" w:rsidRDefault="00000000">
      <w:pPr>
        <w:pStyle w:val="Ttulo1"/>
        <w:spacing w:before="320" w:after="160"/>
      </w:pPr>
      <w:bookmarkStart w:id="5" w:name="_Toc240205205"/>
      <w:r>
        <w:t>4. Casos de uso detallados</w:t>
      </w:r>
      <w:bookmarkEnd w:id="5"/>
    </w:p>
    <w:p w14:paraId="3D0B1AAF" w14:textId="77777777" w:rsidR="00425E97" w:rsidRDefault="00000000">
      <w:pPr>
        <w:pStyle w:val="Ttulo2"/>
        <w:spacing w:before="240" w:after="120"/>
      </w:pPr>
      <w:bookmarkStart w:id="6" w:name="_Toc240205206"/>
      <w:r>
        <w:t>4.1 UC-01 — Registrar solicitud de portabilidad (proceso saliente)</w:t>
      </w:r>
      <w:bookmarkEnd w:id="6"/>
    </w:p>
    <w:p w14:paraId="6E0B8AE1" w14:textId="77777777" w:rsidR="00425E97" w:rsidRDefault="00000000">
      <w:pPr>
        <w:pStyle w:val="Prrafodelista"/>
        <w:numPr>
          <w:ilvl w:val="0"/>
          <w:numId w:val="1"/>
        </w:numPr>
        <w:spacing w:after="60"/>
      </w:pPr>
      <w:r>
        <w:t>Actor principal: Usuario de ventanilla ISSSTE.</w:t>
      </w:r>
    </w:p>
    <w:p w14:paraId="4BDBDBBD" w14:textId="77777777" w:rsidR="00425E97" w:rsidRDefault="00000000">
      <w:pPr>
        <w:pStyle w:val="Prrafodelista"/>
        <w:numPr>
          <w:ilvl w:val="0"/>
          <w:numId w:val="1"/>
        </w:numPr>
        <w:spacing w:after="60"/>
      </w:pPr>
      <w:r>
        <w:t>Precondición: el derechohabiente cuenta con CURP válida y registro vigente ante ISSSTE.</w:t>
      </w:r>
    </w:p>
    <w:p w14:paraId="4C89C131" w14:textId="77777777" w:rsidR="00425E97" w:rsidRDefault="00000000">
      <w:pPr>
        <w:pStyle w:val="Prrafodelista"/>
        <w:numPr>
          <w:ilvl w:val="0"/>
          <w:numId w:val="1"/>
        </w:numPr>
        <w:spacing w:after="60"/>
      </w:pPr>
      <w:r>
        <w:t>Flujo principal: captura de CURP → recuperación automática de datos → validación contra RENAPO → captura de NSS/correo/teléfono → validación de campos → generación de folio → aplicación de reglas de elegibilidad → firma electrónica → registro de la solicitud.</w:t>
      </w:r>
    </w:p>
    <w:p w14:paraId="5BC56557" w14:textId="77777777" w:rsidR="00425E97" w:rsidRDefault="00000000">
      <w:pPr>
        <w:pStyle w:val="Prrafodelista"/>
        <w:numPr>
          <w:ilvl w:val="0"/>
          <w:numId w:val="1"/>
        </w:numPr>
        <w:spacing w:after="60"/>
      </w:pPr>
      <w:r>
        <w:t>Flujos alternos: CURP inválida o duplicada; regla de negocio incumplida (bifurca a UC-08).</w:t>
      </w:r>
    </w:p>
    <w:p w14:paraId="3ECDB411" w14:textId="77777777" w:rsidR="00425E97" w:rsidRDefault="00000000">
      <w:pPr>
        <w:pStyle w:val="Prrafodelista"/>
        <w:numPr>
          <w:ilvl w:val="0"/>
          <w:numId w:val="1"/>
        </w:numPr>
        <w:spacing w:after="60"/>
      </w:pPr>
      <w:r>
        <w:t>Postcondición: solicitud registrada con folio y estatus inicial.</w:t>
      </w:r>
    </w:p>
    <w:p w14:paraId="7481B482" w14:textId="77777777" w:rsidR="00425E97" w:rsidRDefault="00000000">
      <w:pPr>
        <w:pStyle w:val="Ttulo2"/>
        <w:spacing w:before="240" w:after="120"/>
      </w:pPr>
      <w:bookmarkStart w:id="7" w:name="_Toc240205207"/>
      <w:r>
        <w:t>4.2 UC-03 — Atender consulta de portabilidad entrante</w:t>
      </w:r>
      <w:bookmarkEnd w:id="7"/>
    </w:p>
    <w:p w14:paraId="2EF6D23E" w14:textId="77777777" w:rsidR="00425E97" w:rsidRDefault="00000000">
      <w:pPr>
        <w:pStyle w:val="Prrafodelista"/>
        <w:numPr>
          <w:ilvl w:val="0"/>
          <w:numId w:val="1"/>
        </w:numPr>
        <w:spacing w:after="60"/>
      </w:pPr>
      <w:r>
        <w:t>Actor principal: IMSS (mediante servicio web).</w:t>
      </w:r>
    </w:p>
    <w:p w14:paraId="4DEC6778" w14:textId="77777777" w:rsidR="00425E97" w:rsidRDefault="00000000">
      <w:pPr>
        <w:pStyle w:val="Prrafodelista"/>
        <w:numPr>
          <w:ilvl w:val="0"/>
          <w:numId w:val="1"/>
        </w:numPr>
        <w:spacing w:after="60"/>
      </w:pPr>
      <w:r>
        <w:t>Flujo principal: recepción de la petición → recuperación de datos por CURP → aplicación de reglas de elegibilidad → respuesta con código de resultado y datos de confirmación, incluyendo periodos si la consulta lo requiere.</w:t>
      </w:r>
    </w:p>
    <w:p w14:paraId="014A435C" w14:textId="77777777" w:rsidR="00425E97" w:rsidRDefault="00000000">
      <w:pPr>
        <w:pStyle w:val="Ttulo2"/>
        <w:spacing w:before="240" w:after="120"/>
      </w:pPr>
      <w:bookmarkStart w:id="8" w:name="_Toc240205208"/>
      <w:r>
        <w:t>4.3 UC-04 — Emitir dictamen de beneficio pensionario</w:t>
      </w:r>
      <w:bookmarkEnd w:id="8"/>
    </w:p>
    <w:p w14:paraId="1906CEF4" w14:textId="77777777" w:rsidR="00425E97" w:rsidRDefault="00000000">
      <w:pPr>
        <w:pStyle w:val="Prrafodelista"/>
        <w:numPr>
          <w:ilvl w:val="0"/>
          <w:numId w:val="1"/>
        </w:numPr>
        <w:spacing w:after="60"/>
      </w:pPr>
      <w:r>
        <w:t>Actor principal: Sistema (automático).</w:t>
      </w:r>
    </w:p>
    <w:p w14:paraId="353E38C4" w14:textId="77777777" w:rsidR="00425E97" w:rsidRDefault="00000000">
      <w:pPr>
        <w:pStyle w:val="Prrafodelista"/>
        <w:numPr>
          <w:ilvl w:val="0"/>
          <w:numId w:val="1"/>
        </w:numPr>
        <w:spacing w:after="60"/>
      </w:pPr>
      <w:r>
        <w:t>Flujo principal: recepción de tiempos cotizados de ambos institutos y salario promedio → cálculo de edad → aplicación de reglas de elegibilidad combinada → determinación de clave y descripción de beneficio → consulta de saldos preliminares y consumo del servicio de la CNSF cuando el dictamen es positivo.</w:t>
      </w:r>
    </w:p>
    <w:p w14:paraId="2F14792E" w14:textId="77777777" w:rsidR="00425E97" w:rsidRDefault="00000000">
      <w:pPr>
        <w:pStyle w:val="Ttulo2"/>
        <w:spacing w:before="240" w:after="120"/>
      </w:pPr>
      <w:bookmarkStart w:id="9" w:name="_Toc240205209"/>
      <w:r>
        <w:t>4.4 UC-09 — Atender una re-portabilidad</w:t>
      </w:r>
      <w:bookmarkEnd w:id="9"/>
    </w:p>
    <w:p w14:paraId="3F799DDC" w14:textId="77777777" w:rsidR="00425E97" w:rsidRDefault="00000000">
      <w:pPr>
        <w:pStyle w:val="Prrafodelista"/>
        <w:numPr>
          <w:ilvl w:val="0"/>
          <w:numId w:val="1"/>
        </w:numPr>
        <w:spacing w:after="60"/>
      </w:pPr>
      <w:r>
        <w:t>Actor principal: IMSS (mediante los servicios expuestos por ISSSTE).</w:t>
      </w:r>
    </w:p>
    <w:p w14:paraId="37A9CF56" w14:textId="77777777" w:rsidR="00425E97" w:rsidRDefault="00000000">
      <w:pPr>
        <w:pStyle w:val="Prrafodelista"/>
        <w:numPr>
          <w:ilvl w:val="0"/>
          <w:numId w:val="1"/>
        </w:numPr>
        <w:spacing w:after="60"/>
      </w:pPr>
      <w:r>
        <w:t>Precondición: el derechohabiente cuenta con al menos un trámite de portabilidad concluido previamente, con periodos marcados con clave 410 en su cuenta individual.</w:t>
      </w:r>
    </w:p>
    <w:p w14:paraId="0883E046" w14:textId="77777777" w:rsidR="00425E97" w:rsidRDefault="00000000">
      <w:pPr>
        <w:pStyle w:val="Prrafodelista"/>
        <w:numPr>
          <w:ilvl w:val="0"/>
          <w:numId w:val="1"/>
        </w:numPr>
        <w:spacing w:after="60"/>
      </w:pPr>
      <w:r>
        <w:t>Flujo principal: IMSS consulta el estatus básico del derechohabiente; ISSSTE responde sin considerar el trámite anterior como impedimento. IMSS consulta la robusta; ISSSTE incluye los periodos ya marcados con 410, junto con cualquier periodo nuevo sin marca. IMSS envía el aviso de estatus final; ISSSTE marca nuevamente los periodos correspondientes, sin duplicar la operación sobre los que ya tenían la marca 410.</w:t>
      </w:r>
    </w:p>
    <w:p w14:paraId="463FA297" w14:textId="77777777" w:rsidR="00425E97" w:rsidRDefault="00000000">
      <w:pPr>
        <w:pStyle w:val="Prrafodelista"/>
        <w:numPr>
          <w:ilvl w:val="0"/>
          <w:numId w:val="1"/>
        </w:numPr>
        <w:spacing w:after="60"/>
      </w:pPr>
      <w:r>
        <w:t>Postcondición: el nuevo trámite queda registrado y trazado de forma independiente, sin alterar el trámite anterior.</w:t>
      </w:r>
    </w:p>
    <w:p w14:paraId="31AF3797" w14:textId="77777777" w:rsidR="006173E4" w:rsidRDefault="006173E4">
      <w:pPr>
        <w:rPr>
          <w:b/>
          <w:bCs/>
          <w:color w:val="1F3864"/>
          <w:sz w:val="32"/>
          <w:szCs w:val="32"/>
        </w:rPr>
      </w:pPr>
      <w:r>
        <w:br w:type="page"/>
      </w:r>
    </w:p>
    <w:p w14:paraId="124D476F" w14:textId="1EC61F65" w:rsidR="00425E97" w:rsidRDefault="00000000">
      <w:pPr>
        <w:pStyle w:val="Ttulo1"/>
        <w:spacing w:before="320" w:after="160"/>
      </w:pPr>
      <w:bookmarkStart w:id="10" w:name="_Toc240205210"/>
      <w:r>
        <w:lastRenderedPageBreak/>
        <w:t>5. Vistas de secuencia</w:t>
      </w:r>
      <w:bookmarkEnd w:id="10"/>
    </w:p>
    <w:p w14:paraId="39BA393A" w14:textId="77777777" w:rsidR="00425E97" w:rsidRDefault="00000000">
      <w:pPr>
        <w:spacing w:after="140"/>
      </w:pPr>
      <w:r>
        <w:t>Las siguientes vistas ilustran, en formato de diagrama de secuencia, el orden de invocación de los servicios en cada proceso.</w:t>
      </w:r>
    </w:p>
    <w:p w14:paraId="38323FFC" w14:textId="77777777" w:rsidR="00425E97" w:rsidRDefault="00000000">
      <w:pPr>
        <w:pStyle w:val="Ttulo2"/>
        <w:spacing w:before="240" w:after="120"/>
      </w:pPr>
      <w:bookmarkStart w:id="11" w:name="_Toc240205211"/>
      <w:r>
        <w:t>5.1 Proceso saliente (ISSSTE inicia)</w:t>
      </w:r>
      <w:bookmarkEnd w:id="11"/>
    </w:p>
    <w:p w14:paraId="7ACD7F2F" w14:textId="77777777" w:rsidR="00425E97" w:rsidRDefault="00000000">
      <w:pPr>
        <w:spacing w:after="60"/>
        <w:jc w:val="center"/>
      </w:pPr>
      <w:r>
        <w:rPr>
          <w:noProof/>
        </w:rPr>
        <w:drawing>
          <wp:inline distT="0" distB="0" distL="0" distR="0" wp14:anchorId="091727F1" wp14:editId="58640E88">
            <wp:extent cx="6286500" cy="3162300"/>
            <wp:effectExtent l="0" t="0" r="0" b="0"/>
            <wp:docPr id="1267102965" name="Imagen 126710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3162300"/>
                    </a:xfrm>
                    <a:prstGeom prst="rect">
                      <a:avLst/>
                    </a:prstGeom>
                  </pic:spPr>
                </pic:pic>
              </a:graphicData>
            </a:graphic>
          </wp:inline>
        </w:drawing>
      </w:r>
    </w:p>
    <w:p w14:paraId="389529B5" w14:textId="77777777" w:rsidR="00425E97" w:rsidRDefault="00000000">
      <w:pPr>
        <w:spacing w:after="200"/>
        <w:jc w:val="center"/>
      </w:pPr>
      <w:r>
        <w:rPr>
          <w:i/>
          <w:iCs/>
          <w:color w:val="595959"/>
          <w:sz w:val="18"/>
          <w:szCs w:val="18"/>
        </w:rPr>
        <w:t>Diagrama de secuencia — Proceso saliente</w:t>
      </w:r>
    </w:p>
    <w:p w14:paraId="1FA4FE3F" w14:textId="77777777" w:rsidR="006173E4" w:rsidRDefault="006173E4">
      <w:pPr>
        <w:rPr>
          <w:b/>
          <w:bCs/>
          <w:color w:val="1F3864"/>
          <w:sz w:val="26"/>
          <w:szCs w:val="26"/>
        </w:rPr>
      </w:pPr>
      <w:r>
        <w:br w:type="page"/>
      </w:r>
    </w:p>
    <w:p w14:paraId="4D6DD381" w14:textId="29F463CA" w:rsidR="00425E97" w:rsidRDefault="00000000">
      <w:pPr>
        <w:pStyle w:val="Ttulo2"/>
        <w:spacing w:before="240" w:after="120"/>
      </w:pPr>
      <w:bookmarkStart w:id="12" w:name="_Toc240205212"/>
      <w:r>
        <w:lastRenderedPageBreak/>
        <w:t>5.2 Proceso entrante (IMSS inicia)</w:t>
      </w:r>
      <w:bookmarkEnd w:id="12"/>
    </w:p>
    <w:p w14:paraId="0957D209" w14:textId="77777777" w:rsidR="00425E97" w:rsidRDefault="00000000">
      <w:pPr>
        <w:spacing w:after="60"/>
        <w:jc w:val="center"/>
      </w:pPr>
      <w:r>
        <w:rPr>
          <w:noProof/>
        </w:rPr>
        <w:drawing>
          <wp:inline distT="0" distB="0" distL="0" distR="0" wp14:anchorId="118E6A46" wp14:editId="1F8FC45E">
            <wp:extent cx="5334000" cy="3429000"/>
            <wp:effectExtent l="0" t="0" r="0" b="0"/>
            <wp:docPr id="398011021" name="Imagen 3980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29000"/>
                    </a:xfrm>
                    <a:prstGeom prst="rect">
                      <a:avLst/>
                    </a:prstGeom>
                  </pic:spPr>
                </pic:pic>
              </a:graphicData>
            </a:graphic>
          </wp:inline>
        </w:drawing>
      </w:r>
    </w:p>
    <w:p w14:paraId="09215267" w14:textId="77777777" w:rsidR="00425E97" w:rsidRDefault="00000000">
      <w:pPr>
        <w:spacing w:after="200"/>
        <w:jc w:val="center"/>
      </w:pPr>
      <w:r>
        <w:rPr>
          <w:i/>
          <w:iCs/>
          <w:color w:val="595959"/>
          <w:sz w:val="18"/>
          <w:szCs w:val="18"/>
        </w:rPr>
        <w:t>Diagrama de secuencia — Proceso entrante</w:t>
      </w:r>
    </w:p>
    <w:p w14:paraId="5E62F68F" w14:textId="77777777" w:rsidR="00425E97" w:rsidRDefault="00000000">
      <w:pPr>
        <w:pStyle w:val="Ttulo2"/>
        <w:spacing w:before="240" w:after="120"/>
      </w:pPr>
      <w:bookmarkStart w:id="13" w:name="_Toc240205213"/>
      <w:r>
        <w:t>5.3 Habilitación de la re-portabilidad</w:t>
      </w:r>
      <w:bookmarkEnd w:id="13"/>
    </w:p>
    <w:p w14:paraId="6186DDD4" w14:textId="21623D96" w:rsidR="00F5286C" w:rsidRPr="00F5286C" w:rsidRDefault="00F5286C" w:rsidP="00F5286C">
      <w:pPr>
        <w:spacing w:after="60"/>
        <w:jc w:val="center"/>
      </w:pPr>
    </w:p>
    <w:p w14:paraId="294E549C" w14:textId="674A9CD3" w:rsidR="006B5535" w:rsidRPr="006B5535" w:rsidRDefault="006B5535" w:rsidP="006B5535">
      <w:pPr>
        <w:spacing w:after="60"/>
        <w:jc w:val="center"/>
      </w:pPr>
      <w:r w:rsidRPr="006B5535">
        <w:rPr>
          <w:noProof/>
        </w:rPr>
        <w:drawing>
          <wp:inline distT="0" distB="0" distL="0" distR="0" wp14:anchorId="431B60E2" wp14:editId="346F32F4">
            <wp:extent cx="4205288" cy="3069052"/>
            <wp:effectExtent l="0" t="0" r="5080" b="0"/>
            <wp:docPr id="10180869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2599" cy="3074387"/>
                    </a:xfrm>
                    <a:prstGeom prst="rect">
                      <a:avLst/>
                    </a:prstGeom>
                    <a:noFill/>
                    <a:ln>
                      <a:noFill/>
                    </a:ln>
                  </pic:spPr>
                </pic:pic>
              </a:graphicData>
            </a:graphic>
          </wp:inline>
        </w:drawing>
      </w:r>
    </w:p>
    <w:p w14:paraId="345B7492" w14:textId="6A340B85" w:rsidR="006B5535" w:rsidRPr="006B5535" w:rsidRDefault="006B5535" w:rsidP="006B5535">
      <w:pPr>
        <w:spacing w:after="60"/>
        <w:jc w:val="center"/>
      </w:pPr>
    </w:p>
    <w:p w14:paraId="1599AE2F" w14:textId="2A39E6A7" w:rsidR="00425E97" w:rsidRDefault="00425E97">
      <w:pPr>
        <w:spacing w:after="60"/>
        <w:jc w:val="center"/>
      </w:pPr>
    </w:p>
    <w:p w14:paraId="43BBF992" w14:textId="77777777" w:rsidR="00425E97" w:rsidRDefault="00000000">
      <w:pPr>
        <w:spacing w:after="200"/>
        <w:jc w:val="center"/>
      </w:pPr>
      <w:r>
        <w:rPr>
          <w:i/>
          <w:iCs/>
          <w:color w:val="595959"/>
          <w:sz w:val="18"/>
          <w:szCs w:val="18"/>
        </w:rPr>
        <w:t>Comparación del comportamiento antes y después de habilitar la re-portabilidad</w:t>
      </w:r>
    </w:p>
    <w:sectPr w:rsidR="00425E9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09E2" w14:textId="77777777" w:rsidR="0041447B" w:rsidRDefault="0041447B">
      <w:r>
        <w:separator/>
      </w:r>
    </w:p>
  </w:endnote>
  <w:endnote w:type="continuationSeparator" w:id="0">
    <w:p w14:paraId="26C98FF9" w14:textId="77777777" w:rsidR="0041447B" w:rsidRDefault="00414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04D1" w14:textId="77777777" w:rsidR="00425E97"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6173E4">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6173E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527D" w14:textId="77777777" w:rsidR="0041447B" w:rsidRDefault="0041447B">
      <w:r>
        <w:separator/>
      </w:r>
    </w:p>
  </w:footnote>
  <w:footnote w:type="continuationSeparator" w:id="0">
    <w:p w14:paraId="7297C5D8" w14:textId="77777777" w:rsidR="0041447B" w:rsidRDefault="00414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8F48" w14:textId="77777777" w:rsidR="00425E97" w:rsidRDefault="00000000">
    <w:pPr>
      <w:jc w:val="right"/>
    </w:pPr>
    <w:r>
      <w:rPr>
        <w:color w:val="808080"/>
        <w:sz w:val="16"/>
        <w:szCs w:val="16"/>
      </w:rPr>
      <w:t>FJL-F05-TD · Requerimientos Especiales y Casos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14B"/>
    <w:multiLevelType w:val="hybridMultilevel"/>
    <w:tmpl w:val="1994A462"/>
    <w:lvl w:ilvl="0" w:tplc="D972704E">
      <w:start w:val="1"/>
      <w:numFmt w:val="bullet"/>
      <w:lvlText w:val="•"/>
      <w:lvlJc w:val="left"/>
    </w:lvl>
    <w:lvl w:ilvl="1" w:tplc="F5F8ADD8">
      <w:numFmt w:val="decimal"/>
      <w:lvlText w:val=""/>
      <w:lvlJc w:val="left"/>
    </w:lvl>
    <w:lvl w:ilvl="2" w:tplc="DA569C04">
      <w:numFmt w:val="decimal"/>
      <w:lvlText w:val=""/>
      <w:lvlJc w:val="left"/>
    </w:lvl>
    <w:lvl w:ilvl="3" w:tplc="C798B3BC">
      <w:numFmt w:val="decimal"/>
      <w:lvlText w:val=""/>
      <w:lvlJc w:val="left"/>
    </w:lvl>
    <w:lvl w:ilvl="4" w:tplc="BC8E48D8">
      <w:numFmt w:val="decimal"/>
      <w:lvlText w:val=""/>
      <w:lvlJc w:val="left"/>
    </w:lvl>
    <w:lvl w:ilvl="5" w:tplc="09EAD4D8">
      <w:numFmt w:val="decimal"/>
      <w:lvlText w:val=""/>
      <w:lvlJc w:val="left"/>
    </w:lvl>
    <w:lvl w:ilvl="6" w:tplc="EEB67B0C">
      <w:numFmt w:val="decimal"/>
      <w:lvlText w:val=""/>
      <w:lvlJc w:val="left"/>
    </w:lvl>
    <w:lvl w:ilvl="7" w:tplc="FB220398">
      <w:numFmt w:val="decimal"/>
      <w:lvlText w:val=""/>
      <w:lvlJc w:val="left"/>
    </w:lvl>
    <w:lvl w:ilvl="8" w:tplc="37901A44">
      <w:numFmt w:val="decimal"/>
      <w:lvlText w:val=""/>
      <w:lvlJc w:val="left"/>
    </w:lvl>
  </w:abstractNum>
  <w:abstractNum w:abstractNumId="1" w15:restartNumberingAfterBreak="0">
    <w:nsid w:val="496C6BB6"/>
    <w:multiLevelType w:val="hybridMultilevel"/>
    <w:tmpl w:val="F8C8D75A"/>
    <w:lvl w:ilvl="0" w:tplc="486A8DF2">
      <w:start w:val="1"/>
      <w:numFmt w:val="bullet"/>
      <w:lvlText w:val="●"/>
      <w:lvlJc w:val="left"/>
      <w:pPr>
        <w:ind w:left="720" w:hanging="360"/>
      </w:pPr>
    </w:lvl>
    <w:lvl w:ilvl="1" w:tplc="1CA44AC4">
      <w:start w:val="1"/>
      <w:numFmt w:val="bullet"/>
      <w:lvlText w:val="○"/>
      <w:lvlJc w:val="left"/>
      <w:pPr>
        <w:ind w:left="1440" w:hanging="360"/>
      </w:pPr>
    </w:lvl>
    <w:lvl w:ilvl="2" w:tplc="9376B878">
      <w:start w:val="1"/>
      <w:numFmt w:val="bullet"/>
      <w:lvlText w:val="■"/>
      <w:lvlJc w:val="left"/>
      <w:pPr>
        <w:ind w:left="2160" w:hanging="360"/>
      </w:pPr>
    </w:lvl>
    <w:lvl w:ilvl="3" w:tplc="815C4018">
      <w:start w:val="1"/>
      <w:numFmt w:val="bullet"/>
      <w:lvlText w:val="●"/>
      <w:lvlJc w:val="left"/>
      <w:pPr>
        <w:ind w:left="2880" w:hanging="360"/>
      </w:pPr>
    </w:lvl>
    <w:lvl w:ilvl="4" w:tplc="55FC23A8">
      <w:start w:val="1"/>
      <w:numFmt w:val="bullet"/>
      <w:lvlText w:val="○"/>
      <w:lvlJc w:val="left"/>
      <w:pPr>
        <w:ind w:left="3600" w:hanging="360"/>
      </w:pPr>
    </w:lvl>
    <w:lvl w:ilvl="5" w:tplc="2DA2E8F8">
      <w:start w:val="1"/>
      <w:numFmt w:val="bullet"/>
      <w:lvlText w:val="■"/>
      <w:lvlJc w:val="left"/>
      <w:pPr>
        <w:ind w:left="4320" w:hanging="360"/>
      </w:pPr>
    </w:lvl>
    <w:lvl w:ilvl="6" w:tplc="063A48F2">
      <w:start w:val="1"/>
      <w:numFmt w:val="bullet"/>
      <w:lvlText w:val="●"/>
      <w:lvlJc w:val="left"/>
      <w:pPr>
        <w:ind w:left="5040" w:hanging="360"/>
      </w:pPr>
    </w:lvl>
    <w:lvl w:ilvl="7" w:tplc="016A8C4E">
      <w:start w:val="1"/>
      <w:numFmt w:val="bullet"/>
      <w:lvlText w:val="●"/>
      <w:lvlJc w:val="left"/>
      <w:pPr>
        <w:ind w:left="5760" w:hanging="360"/>
      </w:pPr>
    </w:lvl>
    <w:lvl w:ilvl="8" w:tplc="F73C77BC">
      <w:start w:val="1"/>
      <w:numFmt w:val="bullet"/>
      <w:lvlText w:val="●"/>
      <w:lvlJc w:val="left"/>
      <w:pPr>
        <w:ind w:left="6480" w:hanging="360"/>
      </w:pPr>
    </w:lvl>
  </w:abstractNum>
  <w:num w:numId="1" w16cid:durableId="1420298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97"/>
    <w:rsid w:val="00195E8A"/>
    <w:rsid w:val="00280981"/>
    <w:rsid w:val="0041447B"/>
    <w:rsid w:val="00425E97"/>
    <w:rsid w:val="005E755A"/>
    <w:rsid w:val="006173E4"/>
    <w:rsid w:val="00656359"/>
    <w:rsid w:val="006B5535"/>
    <w:rsid w:val="00B35C5A"/>
    <w:rsid w:val="00F5286C"/>
    <w:rsid w:val="00F62A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0830"/>
  <w15:docId w15:val="{BDB1AAF5-DDA3-4AB9-A9BF-9C9BE861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173E4"/>
    <w:pPr>
      <w:spacing w:after="100"/>
    </w:pPr>
  </w:style>
  <w:style w:type="paragraph" w:styleId="TDC2">
    <w:name w:val="toc 2"/>
    <w:basedOn w:val="Normal"/>
    <w:next w:val="Normal"/>
    <w:autoRedefine/>
    <w:uiPriority w:val="39"/>
    <w:unhideWhenUsed/>
    <w:rsid w:val="006173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65F950D60E1834B8D83E3E9E2A9DDAD" ma:contentTypeVersion="14" ma:contentTypeDescription="Crear nuevo documento." ma:contentTypeScope="" ma:versionID="fa98f095a7816ddf207bcd4a9b2efae3">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732c2389252d2adffbc15801921660d1"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2EE60E-F403-4BC4-B486-454E0848A7D4}">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customXml/itemProps2.xml><?xml version="1.0" encoding="utf-8"?>
<ds:datastoreItem xmlns:ds="http://schemas.openxmlformats.org/officeDocument/2006/customXml" ds:itemID="{80BFF023-5485-4850-B30E-29FA31E8A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D85EF1-0CB8-4E3B-A641-705493B95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1131</Words>
  <Characters>6224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FJL-F05-TD · Requerimientos Especiales y Casos de Uso</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FJL-F05-TD · Requerimientos Especiales y Casos de Uso</dc:title>
  <dc:subject>Documentación oficial del proyecto</dc:subject>
  <dc:creator>Carlos Quintero (carlos.quintero@4js.com)</dc:creator>
  <dc:description>Portabilidad de Derechos Pensionarios entre ISSSTE e IMSS</dc:description>
  <cp:lastModifiedBy>Carlos Quintero</cp:lastModifiedBy>
  <cp:revision>4</cp:revision>
  <dcterms:created xsi:type="dcterms:W3CDTF">2026-07-29T18:20:00Z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ies>
</file>