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2880000" cy="771317"/>
            <wp:docPr id="1" name="Picture 1"/>
            <wp:cNvGraphicFramePr>
              <a:graphicFrameLocks noChangeAspect="1"/>
            </wp:cNvGraphicFramePr>
            <a:graphic>
              <a:graphicData uri="http://schemas.openxmlformats.org/drawingml/2006/picture">
                <pic:pic>
                  <pic:nvPicPr>
                    <pic:cNvPr id="0" name="logo-cgr.png"/>
                    <pic:cNvPicPr/>
                  </pic:nvPicPr>
                  <pic:blipFill>
                    <a:blip r:embed="rId9"/>
                    <a:stretch>
                      <a:fillRect/>
                    </a:stretch>
                  </pic:blipFill>
                  <pic:spPr>
                    <a:xfrm>
                      <a:off x="0" y="0"/>
                      <a:ext cx="2880000" cy="771317"/>
                    </a:xfrm>
                    <a:prstGeom prst="rect"/>
                  </pic:spPr>
                </pic:pic>
              </a:graphicData>
            </a:graphic>
          </wp:inline>
        </w:drawing>
      </w:r>
    </w:p>
    <w:p>
      <w:pPr>
        <w:spacing w:after="160"/>
        <w:jc w:val="center"/>
      </w:pPr>
      <w:r>
        <w:drawing>
          <wp:inline xmlns:a="http://schemas.openxmlformats.org/drawingml/2006/main" xmlns:pic="http://schemas.openxmlformats.org/drawingml/2006/picture">
            <wp:extent cx="1080000" cy="1080000"/>
            <wp:docPr id="2" name="Picture 2"/>
            <wp:cNvGraphicFramePr>
              <a:graphicFrameLocks noChangeAspect="1"/>
            </wp:cNvGraphicFramePr>
            <a:graphic>
              <a:graphicData uri="http://schemas.openxmlformats.org/drawingml/2006/picture">
                <pic:pic>
                  <pic:nvPicPr>
                    <pic:cNvPr id="0" name="logo-cecilia.png"/>
                    <pic:cNvPicPr/>
                  </pic:nvPicPr>
                  <pic:blipFill>
                    <a:blip r:embed="rId10"/>
                    <a:stretch>
                      <a:fillRect/>
                    </a:stretch>
                  </pic:blipFill>
                  <pic:spPr>
                    <a:xfrm>
                      <a:off x="0" y="0"/>
                      <a:ext cx="1080000" cy="1080000"/>
                    </a:xfrm>
                    <a:prstGeom prst="rect"/>
                  </pic:spPr>
                </pic:pic>
              </a:graphicData>
            </a:graphic>
          </wp:inline>
        </w:drawing>
      </w:r>
    </w:p>
    <w:p>
      <w:pPr>
        <w:spacing w:before="400"/>
        <w:jc w:val="center"/>
      </w:pPr>
      <w:r>
        <w:rPr>
          <w:rFonts w:ascii="Georgia" w:hAnsi="Georgia"/>
          <w:b/>
          <w:color w:val="1A5276"/>
          <w:sz w:val="44"/>
        </w:rPr>
        <w:t>MANUAL DE USUARIO DE CECILIA V2</w:t>
      </w:r>
    </w:p>
    <w:p>
      <w:pPr>
        <w:spacing w:before="120"/>
        <w:jc w:val="center"/>
      </w:pPr>
      <w:r>
        <w:rPr>
          <w:rFonts w:ascii="Calibri" w:hAnsi="Calibri"/>
          <w:color w:val="5F6368"/>
          <w:sz w:val="28"/>
        </w:rPr>
        <w:t>Guia completa para auditores y funcionarios de la CGR</w:t>
      </w:r>
    </w:p>
    <w:p>
      <w:pPr>
        <w:spacing w:before="80" w:after="80"/>
        <w:jc w:val="center"/>
      </w:pPr>
      <w:r>
        <w:rPr>
          <w:color w:val="C9A84C"/>
          <w:sz w:val="12"/>
        </w:rPr>
        <w:t>________________________________________________________________________________</w:t>
      </w:r>
    </w:p>
    <w:p>
      <w:pPr>
        <w:spacing w:before="0" w:after="40"/>
        <w:jc w:val="center"/>
      </w:pPr>
      <w:r>
        <w:rPr>
          <w:rFonts w:ascii="Calibri" w:hAnsi="Calibri"/>
          <w:b/>
          <w:sz w:val="24"/>
        </w:rPr>
        <w:t>Contraloria General de la Republica</w:t>
      </w:r>
    </w:p>
    <w:p>
      <w:pPr>
        <w:spacing w:before="0" w:after="40"/>
        <w:jc w:val="center"/>
      </w:pPr>
      <w:r>
        <w:rPr>
          <w:rFonts w:ascii="Calibri" w:hAnsi="Calibri"/>
          <w:b w:val="0"/>
          <w:sz w:val="20"/>
        </w:rPr>
        <w:t>Contraloria Delegada para el Sector TIC — CD-TIC</w:t>
      </w:r>
    </w:p>
    <w:p>
      <w:pPr>
        <w:spacing w:before="0" w:after="40"/>
        <w:jc w:val="center"/>
      </w:pPr>
    </w:p>
    <w:p>
      <w:pPr>
        <w:spacing w:before="0" w:after="40"/>
        <w:jc w:val="center"/>
      </w:pPr>
      <w:r>
        <w:rPr>
          <w:rFonts w:ascii="Calibri" w:hAnsi="Calibri"/>
          <w:b w:val="0"/>
          <w:sz w:val="18"/>
        </w:rPr>
        <w:t>Proyecto concebido e impulsado por el</w:t>
      </w:r>
    </w:p>
    <w:p>
      <w:pPr>
        <w:spacing w:before="0" w:after="40"/>
        <w:jc w:val="center"/>
      </w:pPr>
      <w:r>
        <w:rPr>
          <w:rFonts w:ascii="Calibri" w:hAnsi="Calibri"/>
          <w:b/>
          <w:sz w:val="20"/>
        </w:rPr>
        <w:t>Dr. Omar Javier Contreras Socarras</w:t>
      </w:r>
    </w:p>
    <w:p>
      <w:pPr>
        <w:spacing w:before="0" w:after="40"/>
        <w:jc w:val="center"/>
      </w:pPr>
      <w:r>
        <w:rPr>
          <w:rFonts w:ascii="Calibri" w:hAnsi="Calibri"/>
          <w:b w:val="0"/>
          <w:sz w:val="18"/>
        </w:rPr>
        <w:t>Contralor Delegado TIC</w:t>
      </w:r>
    </w:p>
    <w:p>
      <w:pPr>
        <w:spacing w:before="0" w:after="40"/>
        <w:jc w:val="center"/>
      </w:pPr>
    </w:p>
    <w:p>
      <w:pPr>
        <w:spacing w:before="0" w:after="40"/>
        <w:jc w:val="center"/>
      </w:pPr>
      <w:r>
        <w:rPr>
          <w:rFonts w:ascii="Calibri" w:hAnsi="Calibri"/>
          <w:b w:val="0"/>
          <w:color w:val="C9A84C"/>
          <w:sz w:val="20"/>
        </w:rPr>
        <w:t>Version 1.0 — Abril 2026</w:t>
      </w:r>
    </w:p>
    <w:p>
      <w:pPr>
        <w:spacing w:before="0" w:after="40"/>
        <w:jc w:val="center"/>
      </w:pPr>
      <w:r>
        <w:rPr>
          <w:rFonts w:ascii="Calibri" w:hAnsi="Calibri"/>
          <w:b w:val="0"/>
          <w:i/>
          <w:color w:val="5F6368"/>
          <w:sz w:val="16"/>
        </w:rPr>
        <w:t>DOCUMENTO DE USO INTERNO — EQUIPO TECNICO PILOTO CECILIA</w:t>
      </w:r>
    </w:p>
    <w:p>
      <w:r>
        <w:br w:type="page"/>
      </w:r>
    </w:p>
    <w:p>
      <w:pPr>
        <w:spacing w:after="80"/>
        <w:jc w:val="center"/>
      </w:pPr>
      <w:r>
        <w:drawing>
          <wp:inline xmlns:a="http://schemas.openxmlformats.org/drawingml/2006/main" xmlns:pic="http://schemas.openxmlformats.org/drawingml/2006/picture">
            <wp:extent cx="1800000" cy="482073"/>
            <wp:docPr id="3" name="Picture 3"/>
            <wp:cNvGraphicFramePr>
              <a:graphicFrameLocks noChangeAspect="1"/>
            </wp:cNvGraphicFramePr>
            <a:graphic>
              <a:graphicData uri="http://schemas.openxmlformats.org/drawingml/2006/picture">
                <pic:pic>
                  <pic:nvPicPr>
                    <pic:cNvPr id="0" name="logo-cgr.png"/>
                    <pic:cNvPicPr/>
                  </pic:nvPicPr>
                  <pic:blipFill>
                    <a:blip r:embed="rId9"/>
                    <a:stretch>
                      <a:fillRect/>
                    </a:stretch>
                  </pic:blipFill>
                  <pic:spPr>
                    <a:xfrm>
                      <a:off x="0" y="0"/>
                      <a:ext cx="1800000" cy="482073"/>
                    </a:xfrm>
                    <a:prstGeom prst="rect"/>
                  </pic:spPr>
                </pic:pic>
              </a:graphicData>
            </a:graphic>
          </wp:inline>
        </w:drawing>
      </w:r>
    </w:p>
    <w:p>
      <w:pPr>
        <w:jc w:val="center"/>
      </w:pPr>
      <w:r>
        <w:rPr>
          <w:rFonts w:ascii="Georgia" w:hAnsi="Georgia"/>
          <w:b/>
          <w:color w:val="1A5276"/>
          <w:sz w:val="28"/>
        </w:rPr>
        <w:t>CONTRALORIA GENERAL DE LA REPUBLICA</w:t>
      </w:r>
    </w:p>
    <w:p>
      <w:pPr>
        <w:spacing w:after="40"/>
        <w:jc w:val="center"/>
      </w:pPr>
      <w:r>
        <w:rPr>
          <w:rFonts w:ascii="Calibri" w:hAnsi="Calibri"/>
          <w:sz w:val="22"/>
        </w:rPr>
        <w:t>Contraloria Delegada para el Sector TIC — CD-TIC</w:t>
      </w:r>
    </w:p>
    <w:p>
      <w:pPr>
        <w:spacing w:after="80"/>
        <w:jc w:val="center"/>
      </w:pPr>
      <w:r>
        <w:rPr>
          <w:rFonts w:ascii="Calibri" w:hAnsi="Calibri"/>
          <w:i/>
          <w:color w:val="5F6368"/>
          <w:sz w:val="20"/>
        </w:rPr>
        <w:t>Piloto de Inteligencia Artificial CecilIA</w:t>
      </w:r>
    </w:p>
    <w:p>
      <w:pPr>
        <w:spacing w:before="80" w:after="80"/>
        <w:jc w:val="center"/>
      </w:pPr>
      <w:r>
        <w:rPr>
          <w:color w:val="C9A84C"/>
          <w:sz w:val="12"/>
        </w:rPr>
        <w:t>________________________________________________________________________________</w:t>
      </w:r>
    </w:p>
    <w:p>
      <w:pPr>
        <w:keepNext/>
        <w:spacing w:before="320" w:after="160"/>
      </w:pPr>
      <w:r>
        <w:rPr>
          <w:rFonts w:ascii="Georgia" w:hAnsi="Georgia"/>
          <w:b/>
          <w:color w:val="1A5276"/>
          <w:sz w:val="28"/>
        </w:rPr>
        <w:t>1. Introduccion</w:t>
      </w:r>
    </w:p>
    <w:p>
      <w:pPr>
        <w:keepNext/>
        <w:spacing w:before="240" w:after="120"/>
      </w:pPr>
      <w:r>
        <w:rPr>
          <w:rFonts w:ascii="Georgia" w:hAnsi="Georgia"/>
          <w:b/>
          <w:color w:val="0A0F1A"/>
          <w:sz w:val="24"/>
        </w:rPr>
        <w:t>1.1 Que es CecilIA?</w:t>
      </w:r>
    </w:p>
    <w:p>
      <w:pPr>
        <w:jc w:val="both"/>
      </w:pPr>
      <w:r>
        <w:rPr>
          <w:rFonts w:ascii="Calibri" w:hAnsi="Calibri"/>
          <w:sz w:val="22"/>
        </w:rPr>
        <w:t>CecilIA v2 es el Sistema de Inteligencia Artificial para Control Fiscal de la Contraloria General de la Republica de Colombia (CGR), desarrollado por la Contraloria Delegada para el Sector TIC (CD-TIC). El nombre CecilIA deriva del latin caecus — 'aquel que no se deslumbra por lo superficial' — simbolizando objetividad y analisis basado en datos.</w:t>
      </w:r>
    </w:p>
    <w:p>
      <w:pPr>
        <w:jc w:val="both"/>
      </w:pPr>
      <w:r>
        <w:rPr>
          <w:rFonts w:ascii="Calibri" w:hAnsi="Calibri"/>
          <w:sz w:val="22"/>
        </w:rPr>
        <w:t>CecilIA asiste a auditores de dos direcciones: DES (Direccion de Estudios Sectoriales) para control fiscal macro, y DVF (Direccion de Vigilancia Fiscal) para control fiscal micro. CecilIA es un asistente, nunca un reemplazo del auditor. Genera borradores y sugerencias que el ser humano revisa, modifica y valida.</w:t>
      </w:r>
    </w:p>
    <w:p>
      <w:pPr>
        <w:keepNext/>
        <w:spacing w:before="240" w:after="120"/>
      </w:pPr>
      <w:r>
        <w:rPr>
          <w:rFonts w:ascii="Georgia" w:hAnsi="Georgia"/>
          <w:b/>
          <w:color w:val="0A0F1A"/>
          <w:sz w:val="24"/>
        </w:rPr>
        <w:t>1.2 Para quien es este manual?</w:t>
      </w:r>
    </w:p>
    <w:p>
      <w:pPr>
        <w:jc w:val="both"/>
      </w:pPr>
      <w:r>
        <w:rPr>
          <w:rFonts w:ascii="Calibri" w:hAnsi="Calibri"/>
          <w:sz w:val="22"/>
        </w:rPr>
        <w:t>Este manual esta dirigido a todos los usuarios del sistema CecilIA v2:</w:t>
      </w:r>
    </w:p>
    <w:p>
      <w:pPr>
        <w:spacing w:before="20" w:after="20"/>
        <w:ind w:left="567"/>
      </w:pPr>
      <w:r>
        <w:rPr>
          <w:rFonts w:ascii="Calibri" w:hAnsi="Calibri"/>
          <w:sz w:val="22"/>
        </w:rPr>
        <w:t>- Auditores DES y DVF: uso diario del chat, formatos y hallazgos</w:t>
      </w:r>
    </w:p>
    <w:p>
      <w:pPr>
        <w:spacing w:before="20" w:after="20"/>
        <w:ind w:left="567"/>
      </w:pPr>
      <w:r>
        <w:rPr>
          <w:rFonts w:ascii="Calibri" w:hAnsi="Calibri"/>
          <w:sz w:val="22"/>
        </w:rPr>
        <w:t>- Directores: supervision, aprobacion y analitica</w:t>
      </w:r>
    </w:p>
    <w:p>
      <w:pPr>
        <w:spacing w:before="20" w:after="20"/>
        <w:ind w:left="567"/>
      </w:pPr>
      <w:r>
        <w:rPr>
          <w:rFonts w:ascii="Calibri" w:hAnsi="Calibri"/>
          <w:sz w:val="22"/>
        </w:rPr>
        <w:t>- Coordinadores: gestion de politicas y auditorias</w:t>
      </w:r>
    </w:p>
    <w:p>
      <w:pPr>
        <w:spacing w:before="20" w:after="20"/>
        <w:ind w:left="567"/>
      </w:pPr>
      <w:r>
        <w:rPr>
          <w:rFonts w:ascii="Calibri" w:hAnsi="Calibri"/>
          <w:sz w:val="22"/>
        </w:rPr>
        <w:t>- Aprendices: modulo de capacitacion y tutoria</w:t>
      </w:r>
    </w:p>
    <w:p>
      <w:pPr>
        <w:spacing w:before="20" w:after="20"/>
        <w:ind w:left="567"/>
      </w:pPr>
      <w:r>
        <w:rPr>
          <w:rFonts w:ascii="Calibri" w:hAnsi="Calibri"/>
          <w:sz w:val="22"/>
        </w:rPr>
        <w:t>- Administradores: configuracion del sistema</w:t>
      </w:r>
    </w:p>
    <w:p>
      <w:pPr>
        <w:keepNext/>
        <w:spacing w:before="240" w:after="120"/>
      </w:pPr>
      <w:r>
        <w:rPr>
          <w:rFonts w:ascii="Georgia" w:hAnsi="Georgia"/>
          <w:b/>
          <w:color w:val="0A0F1A"/>
          <w:sz w:val="24"/>
        </w:rPr>
        <w:t>1.3 Requisitos de acceso</w:t>
      </w:r>
    </w:p>
    <w:tbl>
      <w:tblPr>
        <w:tblW w:type="auto" w:w="0"/>
        <w:jc w:val="center"/>
        <w:tblLook w:firstColumn="1" w:firstRow="1" w:lastColumn="0" w:lastRow="0" w:noHBand="0" w:noVBand="1" w:val="04A0"/>
      </w:tblPr>
      <w:tblGrid>
        <w:gridCol w:w="4819"/>
        <w:gridCol w:w="4819"/>
      </w:tblGrid>
      <w:tr>
        <w:tc>
          <w:tcPr>
            <w:tcW w:type="dxa" w:w="4819"/>
            <w:shd w:fill="1A5276" w:val="clear"/>
          </w:tcPr>
          <w:p>
            <w:r/>
            <w:r>
              <w:rPr>
                <w:rFonts w:ascii="Calibri" w:hAnsi="Calibri"/>
                <w:b/>
                <w:color w:val="FFFFFF"/>
                <w:sz w:val="18"/>
              </w:rPr>
              <w:t>Requisito</w:t>
            </w:r>
          </w:p>
        </w:tc>
        <w:tc>
          <w:tcPr>
            <w:tcW w:type="dxa" w:w="4819"/>
            <w:shd w:fill="1A5276" w:val="clear"/>
          </w:tcPr>
          <w:p>
            <w:r/>
            <w:r>
              <w:rPr>
                <w:rFonts w:ascii="Calibri" w:hAnsi="Calibri"/>
                <w:b/>
                <w:color w:val="FFFFFF"/>
                <w:sz w:val="18"/>
              </w:rPr>
              <w:t>Detalle</w:t>
            </w:r>
          </w:p>
        </w:tc>
      </w:tr>
      <w:tr>
        <w:tc>
          <w:tcPr>
            <w:tcW w:type="dxa" w:w="4819"/>
            <w:shd w:fill="EBF5FB" w:val="clear"/>
          </w:tcPr>
          <w:p>
            <w:r/>
            <w:r>
              <w:rPr>
                <w:rFonts w:ascii="Calibri" w:hAnsi="Calibri"/>
                <w:sz w:val="18"/>
              </w:rPr>
              <w:t>Navegador</w:t>
            </w:r>
          </w:p>
        </w:tc>
        <w:tc>
          <w:tcPr>
            <w:tcW w:type="dxa" w:w="4819"/>
            <w:shd w:fill="EBF5FB" w:val="clear"/>
          </w:tcPr>
          <w:p>
            <w:r/>
            <w:r>
              <w:rPr>
                <w:rFonts w:ascii="Calibri" w:hAnsi="Calibri"/>
                <w:sz w:val="18"/>
              </w:rPr>
              <w:t>Chrome 90+, Firefox 88+, Edge 90+ (actualizados)</w:t>
            </w:r>
          </w:p>
        </w:tc>
      </w:tr>
      <w:tr>
        <w:tc>
          <w:tcPr>
            <w:tcW w:type="dxa" w:w="4819"/>
          </w:tcPr>
          <w:p>
            <w:r/>
            <w:r>
              <w:rPr>
                <w:rFonts w:ascii="Calibri" w:hAnsi="Calibri"/>
                <w:sz w:val="18"/>
              </w:rPr>
              <w:t>Resolucion</w:t>
            </w:r>
          </w:p>
        </w:tc>
        <w:tc>
          <w:tcPr>
            <w:tcW w:type="dxa" w:w="4819"/>
          </w:tcPr>
          <w:p>
            <w:r/>
            <w:r>
              <w:rPr>
                <w:rFonts w:ascii="Calibri" w:hAnsi="Calibri"/>
                <w:sz w:val="18"/>
              </w:rPr>
              <w:t>Minimo 1280x720 — Recomendado 1920x1080</w:t>
            </w:r>
          </w:p>
        </w:tc>
      </w:tr>
      <w:tr>
        <w:tc>
          <w:tcPr>
            <w:tcW w:type="dxa" w:w="4819"/>
            <w:shd w:fill="EBF5FB" w:val="clear"/>
          </w:tcPr>
          <w:p>
            <w:r/>
            <w:r>
              <w:rPr>
                <w:rFonts w:ascii="Calibri" w:hAnsi="Calibri"/>
                <w:sz w:val="18"/>
              </w:rPr>
              <w:t>Red</w:t>
            </w:r>
          </w:p>
        </w:tc>
        <w:tc>
          <w:tcPr>
            <w:tcW w:type="dxa" w:w="4819"/>
            <w:shd w:fill="EBF5FB" w:val="clear"/>
          </w:tcPr>
          <w:p>
            <w:r/>
            <w:r>
              <w:rPr>
                <w:rFonts w:ascii="Calibri" w:hAnsi="Calibri"/>
                <w:sz w:val="18"/>
              </w:rPr>
              <w:t>Conexion a la red interna CGR o VPN autorizada</w:t>
            </w:r>
          </w:p>
        </w:tc>
      </w:tr>
      <w:tr>
        <w:tc>
          <w:tcPr>
            <w:tcW w:type="dxa" w:w="4819"/>
          </w:tcPr>
          <w:p>
            <w:r/>
            <w:r>
              <w:rPr>
                <w:rFonts w:ascii="Calibri" w:hAnsi="Calibri"/>
                <w:sz w:val="18"/>
              </w:rPr>
              <w:t>Credenciales</w:t>
            </w:r>
          </w:p>
        </w:tc>
        <w:tc>
          <w:tcPr>
            <w:tcW w:type="dxa" w:w="4819"/>
          </w:tcPr>
          <w:p>
            <w:r/>
            <w:r>
              <w:rPr>
                <w:rFonts w:ascii="Calibri" w:hAnsi="Calibri"/>
                <w:sz w:val="18"/>
              </w:rPr>
              <w:t>Usuario y contrasena proporcionados por el administrador</w:t>
            </w:r>
          </w:p>
        </w:tc>
      </w:tr>
    </w:tbl>
    <w:p/>
    <w:p>
      <w:pPr>
        <w:keepNext/>
        <w:spacing w:before="320" w:after="160"/>
      </w:pPr>
      <w:r>
        <w:rPr>
          <w:rFonts w:ascii="Georgia" w:hAnsi="Georgia"/>
          <w:b/>
          <w:color w:val="1A5276"/>
          <w:sz w:val="28"/>
        </w:rPr>
        <w:t>2. Acceso al sistema</w:t>
      </w:r>
    </w:p>
    <w:p>
      <w:pPr>
        <w:keepNext/>
        <w:spacing w:before="240" w:after="120"/>
      </w:pPr>
      <w:r>
        <w:rPr>
          <w:rFonts w:ascii="Georgia" w:hAnsi="Georgia"/>
          <w:b/>
          <w:color w:val="0A0F1A"/>
          <w:sz w:val="24"/>
        </w:rPr>
        <w:t>2.1 Como iniciar sesion</w:t>
      </w:r>
    </w:p>
    <w:p>
      <w:pPr>
        <w:jc w:val="both"/>
      </w:pPr>
      <w:r>
        <w:rPr>
          <w:rFonts w:ascii="Calibri" w:hAnsi="Calibri"/>
          <w:sz w:val="22"/>
        </w:rPr>
        <w:t>Ingrese a la URL del sistema (proporcionada por el area de TIC). En la pantalla de login, ingrese su nombre de usuario y contrasena. Haga clic en 'Iniciar sesion'.</w:t>
      </w:r>
    </w:p>
    <w:p>
      <w:pPr>
        <w:jc w:val="both"/>
      </w:pPr>
      <w:r>
        <w:rPr>
          <w:rFonts w:ascii="Calibri" w:hAnsi="Calibri"/>
          <w:sz w:val="22"/>
        </w:rPr>
        <w:t>La pantalla de login muestra los logos institucionales de la CGR y CecilIA, asi como la mencion al Dr. Omar Javier Contreras Socarras, impulsor del proyecto.</w:t>
      </w:r>
    </w:p>
    <w:p>
      <w:pPr>
        <w:keepNext/>
        <w:spacing w:before="240" w:after="120"/>
      </w:pPr>
      <w:r>
        <w:rPr>
          <w:rFonts w:ascii="Georgia" w:hAnsi="Georgia"/>
          <w:b/>
          <w:color w:val="0A0F1A"/>
          <w:sz w:val="24"/>
        </w:rPr>
        <w:t>2.2 Seleccion de direccion de trabajo (DES/DVF)</w:t>
      </w:r>
    </w:p>
    <w:p>
      <w:pPr>
        <w:jc w:val="both"/>
      </w:pPr>
      <w:r>
        <w:rPr>
          <w:rFonts w:ascii="Calibri" w:hAnsi="Calibri"/>
          <w:sz w:val="22"/>
        </w:rPr>
        <w:t>Despues de iniciar sesion, se le presentara una pantalla para seleccionar su direccion de trabajo. Si su rol solo tiene acceso a una direccion, sera redirigido automaticamente. Los usuarios con acceso dual (admin, lider tecnico, coordinador) veran ambas opciones.</w:t>
      </w:r>
    </w:p>
    <w:p>
      <w:pPr>
        <w:keepNext/>
        <w:spacing w:before="240" w:after="120"/>
      </w:pPr>
      <w:r>
        <w:rPr>
          <w:rFonts w:ascii="Georgia" w:hAnsi="Georgia"/>
          <w:b/>
          <w:color w:val="0A0F1A"/>
          <w:sz w:val="24"/>
        </w:rPr>
        <w:t>2.3 Descripcion de la interfaz principal</w:t>
      </w:r>
    </w:p>
    <w:p>
      <w:pPr>
        <w:jc w:val="both"/>
      </w:pPr>
      <w:r>
        <w:rPr>
          <w:rFonts w:ascii="Calibri" w:hAnsi="Calibri"/>
          <w:sz w:val="22"/>
        </w:rPr>
        <w:t>La interfaz principal consta de: Sidebar izquierdo con navegacion a todos los modulos (Chat IA, Capacitacion, Workspace, Auditorias, Hallazgos, Formatos, Observatorio, Analitica); Header superior con estado de conexion, modelo LLM activo y datos del usuario; Area central de contenido que cambia segun el modulo seleccionado; Footer con informacion legal y creditos del proyecto.</w:t>
      </w:r>
    </w:p>
    <w:p>
      <w:pPr>
        <w:keepNext/>
        <w:spacing w:before="240" w:after="120"/>
      </w:pPr>
      <w:r>
        <w:rPr>
          <w:rFonts w:ascii="Georgia" w:hAnsi="Georgia"/>
          <w:b/>
          <w:color w:val="0A0F1A"/>
          <w:sz w:val="24"/>
        </w:rPr>
        <w:t>2.4 Declaracion de responsabilidad — Circular 023</w:t>
      </w:r>
    </w:p>
    <w:p>
      <w:pPr>
        <w:jc w:val="both"/>
      </w:pPr>
      <w:r>
        <w:rPr>
          <w:rFonts w:ascii="Calibri" w:hAnsi="Calibri"/>
          <w:sz w:val="22"/>
        </w:rPr>
        <w:t>Al iniciar sesion por primera vez, se mostrara un modal con la declaracion de responsabilidad conforme a la Circular 023 de la CGR. El usuario debe leer y aceptar esta declaracion, que establece que CecilIA es un asistente y toda respuesta debe ser validada por el auditor.</w:t>
      </w:r>
    </w:p>
    <w:p>
      <w:pPr>
        <w:keepNext/>
        <w:spacing w:before="320" w:after="160"/>
      </w:pPr>
      <w:r>
        <w:rPr>
          <w:rFonts w:ascii="Georgia" w:hAnsi="Georgia"/>
          <w:b/>
          <w:color w:val="1A5276"/>
          <w:sz w:val="28"/>
        </w:rPr>
        <w:t>3. Modulo de Chat con CecilIA</w:t>
      </w:r>
    </w:p>
    <w:p>
      <w:pPr>
        <w:keepNext/>
        <w:spacing w:before="240" w:after="120"/>
      </w:pPr>
      <w:r>
        <w:rPr>
          <w:rFonts w:ascii="Georgia" w:hAnsi="Georgia"/>
          <w:b/>
          <w:color w:val="0A0F1A"/>
          <w:sz w:val="24"/>
        </w:rPr>
        <w:t>3.1 Como hacer preguntas efectivas</w:t>
      </w:r>
    </w:p>
    <w:p>
      <w:pPr>
        <w:jc w:val="both"/>
      </w:pPr>
      <w:r>
        <w:rPr>
          <w:rFonts w:ascii="Calibri" w:hAnsi="Calibri"/>
          <w:sz w:val="22"/>
        </w:rPr>
        <w:t>CecilIA funciona mejor con preguntas claras y especificas. Incluya contexto relevante como la entidad auditada, la vigencia, y el tipo de auditoria. Ejemplos de buenas preguntas:</w:t>
      </w:r>
    </w:p>
    <w:p>
      <w:pPr>
        <w:spacing w:before="20" w:after="20"/>
        <w:ind w:left="567"/>
      </w:pPr>
      <w:r>
        <w:rPr>
          <w:rFonts w:ascii="Calibri" w:hAnsi="Calibri"/>
          <w:sz w:val="22"/>
        </w:rPr>
        <w:t>- Que normatividad aplica para auditar la contratacion publica de una entidad territorial?</w:t>
      </w:r>
    </w:p>
    <w:p>
      <w:pPr>
        <w:spacing w:before="20" w:after="20"/>
        <w:ind w:left="567"/>
      </w:pPr>
      <w:r>
        <w:rPr>
          <w:rFonts w:ascii="Calibri" w:hAnsi="Calibri"/>
          <w:sz w:val="22"/>
        </w:rPr>
        <w:t>- Genera un borrador de hallazgo administrativo sobre falta de publicacion en SECOP</w:t>
      </w:r>
    </w:p>
    <w:p>
      <w:pPr>
        <w:spacing w:before="20" w:after="20"/>
        <w:ind w:left="567"/>
      </w:pPr>
      <w:r>
        <w:rPr>
          <w:rFonts w:ascii="Calibri" w:hAnsi="Calibri"/>
          <w:sz w:val="22"/>
        </w:rPr>
        <w:t>- Cual es la estructura del Formato F14 de observaciones?</w:t>
      </w:r>
    </w:p>
    <w:p>
      <w:pPr>
        <w:spacing w:before="20" w:after="20"/>
        <w:ind w:left="567"/>
      </w:pPr>
      <w:r>
        <w:rPr>
          <w:rFonts w:ascii="Calibri" w:hAnsi="Calibri"/>
          <w:sz w:val="22"/>
        </w:rPr>
        <w:t>- Explica el concepto de materialidad segun la NIA 320</w:t>
      </w:r>
    </w:p>
    <w:p>
      <w:pPr>
        <w:keepNext/>
        <w:spacing w:before="240" w:after="120"/>
      </w:pPr>
      <w:r>
        <w:rPr>
          <w:rFonts w:ascii="Georgia" w:hAnsi="Georgia"/>
          <w:b/>
          <w:color w:val="0A0F1A"/>
          <w:sz w:val="24"/>
        </w:rPr>
        <w:t>3.2 Acciones rapidas segun su rol</w:t>
      </w:r>
    </w:p>
    <w:p>
      <w:pPr>
        <w:jc w:val="both"/>
      </w:pPr>
      <w:r>
        <w:rPr>
          <w:rFonts w:ascii="Calibri" w:hAnsi="Calibri"/>
          <w:sz w:val="22"/>
        </w:rPr>
        <w:t>El chat presenta acciones rapidas personalizadas segun la direccion activa:</w:t>
      </w:r>
    </w:p>
    <w:tbl>
      <w:tblPr>
        <w:tblW w:type="auto" w:w="0"/>
        <w:jc w:val="center"/>
        <w:tblLook w:firstColumn="1" w:firstRow="1" w:lastColumn="0" w:lastRow="0" w:noHBand="0" w:noVBand="1" w:val="04A0"/>
      </w:tblPr>
      <w:tblGrid>
        <w:gridCol w:w="4819"/>
        <w:gridCol w:w="4819"/>
      </w:tblGrid>
      <w:tr>
        <w:tc>
          <w:tcPr>
            <w:tcW w:type="dxa" w:w="4819"/>
            <w:shd w:fill="1A5276" w:val="clear"/>
          </w:tcPr>
          <w:p>
            <w:r/>
            <w:r>
              <w:rPr>
                <w:rFonts w:ascii="Calibri" w:hAnsi="Calibri"/>
                <w:b/>
                <w:color w:val="FFFFFF"/>
                <w:sz w:val="18"/>
              </w:rPr>
              <w:t>Direccion</w:t>
            </w:r>
          </w:p>
        </w:tc>
        <w:tc>
          <w:tcPr>
            <w:tcW w:type="dxa" w:w="4819"/>
            <w:shd w:fill="1A5276" w:val="clear"/>
          </w:tcPr>
          <w:p>
            <w:r/>
            <w:r>
              <w:rPr>
                <w:rFonts w:ascii="Calibri" w:hAnsi="Calibri"/>
                <w:b/>
                <w:color w:val="FFFFFF"/>
                <w:sz w:val="18"/>
              </w:rPr>
              <w:t>Acciones rapidas</w:t>
            </w:r>
          </w:p>
        </w:tc>
      </w:tr>
      <w:tr>
        <w:tc>
          <w:tcPr>
            <w:tcW w:type="dxa" w:w="4819"/>
            <w:shd w:fill="EBF5FB" w:val="clear"/>
          </w:tcPr>
          <w:p>
            <w:r/>
            <w:r>
              <w:rPr>
                <w:rFonts w:ascii="Calibri" w:hAnsi="Calibri"/>
                <w:sz w:val="18"/>
              </w:rPr>
              <w:t>DVF</w:t>
            </w:r>
          </w:p>
        </w:tc>
        <w:tc>
          <w:tcPr>
            <w:tcW w:type="dxa" w:w="4819"/>
            <w:shd w:fill="EBF5FB" w:val="clear"/>
          </w:tcPr>
          <w:p>
            <w:r/>
            <w:r>
              <w:rPr>
                <w:rFonts w:ascii="Calibri" w:hAnsi="Calibri"/>
                <w:sz w:val="18"/>
              </w:rPr>
              <w:t>Pre-planeacion, Materialidad, Hallazgo, Formato CGR</w:t>
            </w:r>
          </w:p>
        </w:tc>
      </w:tr>
      <w:tr>
        <w:tc>
          <w:tcPr>
            <w:tcW w:type="dxa" w:w="4819"/>
          </w:tcPr>
          <w:p>
            <w:r/>
            <w:r>
              <w:rPr>
                <w:rFonts w:ascii="Calibri" w:hAnsi="Calibri"/>
                <w:sz w:val="18"/>
              </w:rPr>
              <w:t>DES</w:t>
            </w:r>
          </w:p>
        </w:tc>
        <w:tc>
          <w:tcPr>
            <w:tcW w:type="dxa" w:w="4819"/>
          </w:tcPr>
          <w:p>
            <w:r/>
            <w:r>
              <w:rPr>
                <w:rFonts w:ascii="Calibri" w:hAnsi="Calibri"/>
                <w:sz w:val="18"/>
              </w:rPr>
              <w:t>Analisis presupuestal, Regalias, Politica publica, Alertas sectoriales</w:t>
            </w:r>
          </w:p>
        </w:tc>
      </w:tr>
    </w:tbl>
    <w:p/>
    <w:p>
      <w:pPr>
        <w:keepNext/>
        <w:spacing w:before="240" w:after="120"/>
      </w:pPr>
      <w:r>
        <w:rPr>
          <w:rFonts w:ascii="Georgia" w:hAnsi="Georgia"/>
          <w:b/>
          <w:color w:val="0A0F1A"/>
          <w:sz w:val="24"/>
        </w:rPr>
        <w:t>3.3 Como interpretar las fuentes consultadas</w:t>
      </w:r>
    </w:p>
    <w:p>
      <w:pPr>
        <w:jc w:val="both"/>
      </w:pPr>
      <w:r>
        <w:rPr>
          <w:rFonts w:ascii="Calibri" w:hAnsi="Calibri"/>
          <w:sz w:val="22"/>
        </w:rPr>
        <w:t>Cada respuesta de CecilIA incluye las fuentes consultadas del RAG (Retrieval-Augmented Generation). Las fuentes se muestran al final de la respuesta con el nombre del documento, la coleccion y un indicador de relevancia. Esto permite al auditor verificar la informacion.</w:t>
      </w:r>
    </w:p>
    <w:p>
      <w:pPr>
        <w:keepNext/>
        <w:spacing w:before="240" w:after="120"/>
      </w:pPr>
      <w:r>
        <w:rPr>
          <w:rFonts w:ascii="Georgia" w:hAnsi="Georgia"/>
          <w:b/>
          <w:color w:val="0A0F1A"/>
          <w:sz w:val="24"/>
        </w:rPr>
        <w:t>3.4 Gestion de conversaciones</w:t>
      </w:r>
    </w:p>
    <w:p>
      <w:pPr>
        <w:jc w:val="both"/>
      </w:pPr>
      <w:r>
        <w:rPr>
          <w:rFonts w:ascii="Calibri" w:hAnsi="Calibri"/>
          <w:sz w:val="22"/>
        </w:rPr>
        <w:t>El panel izquierdo del chat muestra el historial de conversaciones. Puede crear nuevas conversaciones, renombrar las existentes haciendo clic en el icono de edicion, o eliminarlas con el icono de papelera.</w:t>
      </w:r>
    </w:p>
    <w:p>
      <w:pPr>
        <w:keepNext/>
        <w:spacing w:before="320" w:after="160"/>
      </w:pPr>
      <w:r>
        <w:rPr>
          <w:rFonts w:ascii="Georgia" w:hAnsi="Georgia"/>
          <w:b/>
          <w:color w:val="1A5276"/>
          <w:sz w:val="28"/>
        </w:rPr>
        <w:t>4. Modulo de Formatos CGR (solo DVF)</w:t>
      </w:r>
    </w:p>
    <w:p>
      <w:pPr>
        <w:keepNext/>
        <w:spacing w:before="240" w:after="120"/>
      </w:pPr>
      <w:r>
        <w:rPr>
          <w:rFonts w:ascii="Georgia" w:hAnsi="Georgia"/>
          <w:b/>
          <w:color w:val="0A0F1A"/>
          <w:sz w:val="24"/>
        </w:rPr>
        <w:t>4.1 Formatos disponibles por fase</w:t>
      </w:r>
    </w:p>
    <w:p>
      <w:pPr>
        <w:jc w:val="both"/>
      </w:pPr>
      <w:r>
        <w:rPr>
          <w:rFonts w:ascii="Calibri" w:hAnsi="Calibri"/>
          <w:sz w:val="22"/>
        </w:rPr>
        <w:t>CecilIA puede generar 30 formatos de la Guia de Auditoria Financiera (GAF) de la CGR, organizados por las 5 fases del proceso auditor.</w:t>
      </w:r>
    </w:p>
    <w:tbl>
      <w:tblPr>
        <w:tblW w:type="auto" w:w="0"/>
        <w:jc w:val="center"/>
        <w:tblLook w:firstColumn="1" w:firstRow="1" w:lastColumn="0" w:lastRow="0" w:noHBand="0" w:noVBand="1" w:val="04A0"/>
      </w:tblPr>
      <w:tblGrid>
        <w:gridCol w:w="3213"/>
        <w:gridCol w:w="3213"/>
        <w:gridCol w:w="3213"/>
      </w:tblGrid>
      <w:tr>
        <w:tc>
          <w:tcPr>
            <w:tcW w:type="dxa" w:w="3213"/>
            <w:shd w:fill="1A5276" w:val="clear"/>
          </w:tcPr>
          <w:p>
            <w:r/>
            <w:r>
              <w:rPr>
                <w:rFonts w:ascii="Calibri" w:hAnsi="Calibri"/>
                <w:b/>
                <w:color w:val="FFFFFF"/>
                <w:sz w:val="18"/>
              </w:rPr>
              <w:t>Fase</w:t>
            </w:r>
          </w:p>
        </w:tc>
        <w:tc>
          <w:tcPr>
            <w:tcW w:type="dxa" w:w="3213"/>
            <w:shd w:fill="1A5276" w:val="clear"/>
          </w:tcPr>
          <w:p>
            <w:r/>
            <w:r>
              <w:rPr>
                <w:rFonts w:ascii="Calibri" w:hAnsi="Calibri"/>
                <w:b/>
                <w:color w:val="FFFFFF"/>
                <w:sz w:val="18"/>
              </w:rPr>
              <w:t>Formatos</w:t>
            </w:r>
          </w:p>
        </w:tc>
        <w:tc>
          <w:tcPr>
            <w:tcW w:type="dxa" w:w="3213"/>
            <w:shd w:fill="1A5276" w:val="clear"/>
          </w:tcPr>
          <w:p>
            <w:r/>
            <w:r>
              <w:rPr>
                <w:rFonts w:ascii="Calibri" w:hAnsi="Calibri"/>
                <w:b/>
                <w:color w:val="FFFFFF"/>
                <w:sz w:val="18"/>
              </w:rPr>
              <w:t>Cantidad</w:t>
            </w:r>
          </w:p>
        </w:tc>
      </w:tr>
      <w:tr>
        <w:tc>
          <w:tcPr>
            <w:tcW w:type="dxa" w:w="3213"/>
            <w:shd w:fill="EBF5FB" w:val="clear"/>
          </w:tcPr>
          <w:p>
            <w:r/>
            <w:r>
              <w:rPr>
                <w:rFonts w:ascii="Calibri" w:hAnsi="Calibri"/>
                <w:sz w:val="18"/>
              </w:rPr>
              <w:t>Pre-planeacion</w:t>
            </w:r>
          </w:p>
        </w:tc>
        <w:tc>
          <w:tcPr>
            <w:tcW w:type="dxa" w:w="3213"/>
            <w:shd w:fill="EBF5FB" w:val="clear"/>
          </w:tcPr>
          <w:p>
            <w:r/>
            <w:r>
              <w:rPr>
                <w:rFonts w:ascii="Calibri" w:hAnsi="Calibri"/>
                <w:sz w:val="18"/>
              </w:rPr>
              <w:t>F01 a F06</w:t>
            </w:r>
          </w:p>
        </w:tc>
        <w:tc>
          <w:tcPr>
            <w:tcW w:type="dxa" w:w="3213"/>
            <w:shd w:fill="EBF5FB" w:val="clear"/>
          </w:tcPr>
          <w:p>
            <w:r/>
            <w:r>
              <w:rPr>
                <w:rFonts w:ascii="Calibri" w:hAnsi="Calibri"/>
                <w:sz w:val="18"/>
              </w:rPr>
              <w:t>6</w:t>
            </w:r>
          </w:p>
        </w:tc>
      </w:tr>
      <w:tr>
        <w:tc>
          <w:tcPr>
            <w:tcW w:type="dxa" w:w="3213"/>
          </w:tcPr>
          <w:p>
            <w:r/>
            <w:r>
              <w:rPr>
                <w:rFonts w:ascii="Calibri" w:hAnsi="Calibri"/>
                <w:sz w:val="18"/>
              </w:rPr>
              <w:t>Planeacion</w:t>
            </w:r>
          </w:p>
        </w:tc>
        <w:tc>
          <w:tcPr>
            <w:tcW w:type="dxa" w:w="3213"/>
          </w:tcPr>
          <w:p>
            <w:r/>
            <w:r>
              <w:rPr>
                <w:rFonts w:ascii="Calibri" w:hAnsi="Calibri"/>
                <w:sz w:val="18"/>
              </w:rPr>
              <w:t>F07 a F13</w:t>
            </w:r>
          </w:p>
        </w:tc>
        <w:tc>
          <w:tcPr>
            <w:tcW w:type="dxa" w:w="3213"/>
          </w:tcPr>
          <w:p>
            <w:r/>
            <w:r>
              <w:rPr>
                <w:rFonts w:ascii="Calibri" w:hAnsi="Calibri"/>
                <w:sz w:val="18"/>
              </w:rPr>
              <w:t>7</w:t>
            </w:r>
          </w:p>
        </w:tc>
      </w:tr>
      <w:tr>
        <w:tc>
          <w:tcPr>
            <w:tcW w:type="dxa" w:w="3213"/>
            <w:shd w:fill="EBF5FB" w:val="clear"/>
          </w:tcPr>
          <w:p>
            <w:r/>
            <w:r>
              <w:rPr>
                <w:rFonts w:ascii="Calibri" w:hAnsi="Calibri"/>
                <w:sz w:val="18"/>
              </w:rPr>
              <w:t>Ejecucion</w:t>
            </w:r>
          </w:p>
        </w:tc>
        <w:tc>
          <w:tcPr>
            <w:tcW w:type="dxa" w:w="3213"/>
            <w:shd w:fill="EBF5FB" w:val="clear"/>
          </w:tcPr>
          <w:p>
            <w:r/>
            <w:r>
              <w:rPr>
                <w:rFonts w:ascii="Calibri" w:hAnsi="Calibri"/>
                <w:sz w:val="18"/>
              </w:rPr>
              <w:t>F14 a F22</w:t>
            </w:r>
          </w:p>
        </w:tc>
        <w:tc>
          <w:tcPr>
            <w:tcW w:type="dxa" w:w="3213"/>
            <w:shd w:fill="EBF5FB" w:val="clear"/>
          </w:tcPr>
          <w:p>
            <w:r/>
            <w:r>
              <w:rPr>
                <w:rFonts w:ascii="Calibri" w:hAnsi="Calibri"/>
                <w:sz w:val="18"/>
              </w:rPr>
              <w:t>9</w:t>
            </w:r>
          </w:p>
        </w:tc>
      </w:tr>
      <w:tr>
        <w:tc>
          <w:tcPr>
            <w:tcW w:type="dxa" w:w="3213"/>
          </w:tcPr>
          <w:p>
            <w:r/>
            <w:r>
              <w:rPr>
                <w:rFonts w:ascii="Calibri" w:hAnsi="Calibri"/>
                <w:sz w:val="18"/>
              </w:rPr>
              <w:t>Informe</w:t>
            </w:r>
          </w:p>
        </w:tc>
        <w:tc>
          <w:tcPr>
            <w:tcW w:type="dxa" w:w="3213"/>
          </w:tcPr>
          <w:p>
            <w:r/>
            <w:r>
              <w:rPr>
                <w:rFonts w:ascii="Calibri" w:hAnsi="Calibri"/>
                <w:sz w:val="18"/>
              </w:rPr>
              <w:t>F23 a F27</w:t>
            </w:r>
          </w:p>
        </w:tc>
        <w:tc>
          <w:tcPr>
            <w:tcW w:type="dxa" w:w="3213"/>
          </w:tcPr>
          <w:p>
            <w:r/>
            <w:r>
              <w:rPr>
                <w:rFonts w:ascii="Calibri" w:hAnsi="Calibri"/>
                <w:sz w:val="18"/>
              </w:rPr>
              <w:t>5</w:t>
            </w:r>
          </w:p>
        </w:tc>
      </w:tr>
      <w:tr>
        <w:tc>
          <w:tcPr>
            <w:tcW w:type="dxa" w:w="3213"/>
            <w:shd w:fill="EBF5FB" w:val="clear"/>
          </w:tcPr>
          <w:p>
            <w:r/>
            <w:r>
              <w:rPr>
                <w:rFonts w:ascii="Calibri" w:hAnsi="Calibri"/>
                <w:sz w:val="18"/>
              </w:rPr>
              <w:t>Seguimiento</w:t>
            </w:r>
          </w:p>
        </w:tc>
        <w:tc>
          <w:tcPr>
            <w:tcW w:type="dxa" w:w="3213"/>
            <w:shd w:fill="EBF5FB" w:val="clear"/>
          </w:tcPr>
          <w:p>
            <w:r/>
            <w:r>
              <w:rPr>
                <w:rFonts w:ascii="Calibri" w:hAnsi="Calibri"/>
                <w:sz w:val="18"/>
              </w:rPr>
              <w:t>F28 a F30</w:t>
            </w:r>
          </w:p>
        </w:tc>
        <w:tc>
          <w:tcPr>
            <w:tcW w:type="dxa" w:w="3213"/>
            <w:shd w:fill="EBF5FB" w:val="clear"/>
          </w:tcPr>
          <w:p>
            <w:r/>
            <w:r>
              <w:rPr>
                <w:rFonts w:ascii="Calibri" w:hAnsi="Calibri"/>
                <w:sz w:val="18"/>
              </w:rPr>
              <w:t>3</w:t>
            </w:r>
          </w:p>
        </w:tc>
      </w:tr>
    </w:tbl>
    <w:p/>
    <w:p>
      <w:pPr>
        <w:keepNext/>
        <w:spacing w:before="240" w:after="120"/>
      </w:pPr>
      <w:r>
        <w:rPr>
          <w:rFonts w:ascii="Georgia" w:hAnsi="Georgia"/>
          <w:b/>
          <w:color w:val="0A0F1A"/>
          <w:sz w:val="24"/>
        </w:rPr>
        <w:t>4.2 Como generar un formato</w:t>
      </w:r>
    </w:p>
    <w:p>
      <w:pPr>
        <w:jc w:val="both"/>
      </w:pPr>
      <w:r>
        <w:rPr>
          <w:rFonts w:ascii="Calibri" w:hAnsi="Calibri"/>
          <w:sz w:val="22"/>
        </w:rPr>
        <w:t>Navegue al modulo 'Formatos' en el sidebar. Seleccione el formato deseado de la lista organizada por fases. Complete los campos requeridos (entidad, vigencia, datos de auditoria) y haga clic en 'Generar'. El sistema creara un documento DOCX con encabezado institucional CGR.</w:t>
      </w:r>
    </w:p>
    <w:p>
      <w:pPr>
        <w:keepNext/>
        <w:spacing w:before="240" w:after="120"/>
      </w:pPr>
      <w:r>
        <w:rPr>
          <w:rFonts w:ascii="Georgia" w:hAnsi="Georgia"/>
          <w:b/>
          <w:color w:val="0A0F1A"/>
          <w:sz w:val="24"/>
        </w:rPr>
        <w:t>4.3 Descarga y verificacion</w:t>
      </w:r>
    </w:p>
    <w:p>
      <w:pPr>
        <w:jc w:val="both"/>
      </w:pPr>
      <w:r>
        <w:rPr>
          <w:rFonts w:ascii="Calibri" w:hAnsi="Calibri"/>
          <w:sz w:val="22"/>
        </w:rPr>
        <w:t>Antes de descargar cualquier formato, debe marcar el checkbox 'He revisado y valido este documento' conforme a la Circular 023. El archivo DOCX incluye pie de pagina con disclaimer de IA.</w:t>
      </w:r>
    </w:p>
    <w:p>
      <w:pPr>
        <w:keepNext/>
        <w:spacing w:before="320" w:after="160"/>
      </w:pPr>
      <w:r>
        <w:rPr>
          <w:rFonts w:ascii="Georgia" w:hAnsi="Georgia"/>
          <w:b/>
          <w:color w:val="1A5276"/>
          <w:sz w:val="28"/>
        </w:rPr>
        <w:t>5. Modulo de Hallazgos (solo DVF)</w:t>
      </w:r>
    </w:p>
    <w:p>
      <w:pPr>
        <w:keepNext/>
        <w:spacing w:before="240" w:after="120"/>
      </w:pPr>
      <w:r>
        <w:rPr>
          <w:rFonts w:ascii="Georgia" w:hAnsi="Georgia"/>
          <w:b/>
          <w:color w:val="0A0F1A"/>
          <w:sz w:val="24"/>
        </w:rPr>
        <w:t>5.1 Como crear un hallazgo</w:t>
      </w:r>
    </w:p>
    <w:p>
      <w:pPr>
        <w:jc w:val="both"/>
      </w:pPr>
      <w:r>
        <w:rPr>
          <w:rFonts w:ascii="Calibri" w:hAnsi="Calibri"/>
          <w:sz w:val="22"/>
        </w:rPr>
        <w:t>Navegue a 'Hallazgos' en el sidebar y haga clic en 'Nuevo hallazgo'. Complete los campos obligatorios incluyendo los 4 elementos del hallazgo.</w:t>
      </w:r>
    </w:p>
    <w:p>
      <w:pPr>
        <w:keepNext/>
        <w:spacing w:before="240" w:after="120"/>
      </w:pPr>
      <w:r>
        <w:rPr>
          <w:rFonts w:ascii="Georgia" w:hAnsi="Georgia"/>
          <w:b/>
          <w:color w:val="0A0F1A"/>
          <w:sz w:val="24"/>
        </w:rPr>
        <w:t>5.2 Los 4 elementos obligatorios</w:t>
      </w:r>
    </w:p>
    <w:tbl>
      <w:tblPr>
        <w:tblW w:type="auto" w:w="0"/>
        <w:jc w:val="center"/>
        <w:tblLook w:firstColumn="1" w:firstRow="1" w:lastColumn="0" w:lastRow="0" w:noHBand="0" w:noVBand="1" w:val="04A0"/>
      </w:tblPr>
      <w:tblGrid>
        <w:gridCol w:w="4819"/>
        <w:gridCol w:w="4819"/>
      </w:tblGrid>
      <w:tr>
        <w:tc>
          <w:tcPr>
            <w:tcW w:type="dxa" w:w="4819"/>
            <w:shd w:fill="1A5276" w:val="clear"/>
          </w:tcPr>
          <w:p>
            <w:r/>
            <w:r>
              <w:rPr>
                <w:rFonts w:ascii="Calibri" w:hAnsi="Calibri"/>
                <w:b/>
                <w:color w:val="FFFFFF"/>
                <w:sz w:val="18"/>
              </w:rPr>
              <w:t>Elemento</w:t>
            </w:r>
          </w:p>
        </w:tc>
        <w:tc>
          <w:tcPr>
            <w:tcW w:type="dxa" w:w="4819"/>
            <w:shd w:fill="1A5276" w:val="clear"/>
          </w:tcPr>
          <w:p>
            <w:r/>
            <w:r>
              <w:rPr>
                <w:rFonts w:ascii="Calibri" w:hAnsi="Calibri"/>
                <w:b/>
                <w:color w:val="FFFFFF"/>
                <w:sz w:val="18"/>
              </w:rPr>
              <w:t>Descripcion</w:t>
            </w:r>
          </w:p>
        </w:tc>
      </w:tr>
      <w:tr>
        <w:tc>
          <w:tcPr>
            <w:tcW w:type="dxa" w:w="4819"/>
            <w:shd w:fill="EBF5FB" w:val="clear"/>
          </w:tcPr>
          <w:p>
            <w:r/>
            <w:r>
              <w:rPr>
                <w:rFonts w:ascii="Calibri" w:hAnsi="Calibri"/>
                <w:sz w:val="18"/>
              </w:rPr>
              <w:t>Condicion</w:t>
            </w:r>
          </w:p>
        </w:tc>
        <w:tc>
          <w:tcPr>
            <w:tcW w:type="dxa" w:w="4819"/>
            <w:shd w:fill="EBF5FB" w:val="clear"/>
          </w:tcPr>
          <w:p>
            <w:r/>
            <w:r>
              <w:rPr>
                <w:rFonts w:ascii="Calibri" w:hAnsi="Calibri"/>
                <w:sz w:val="18"/>
              </w:rPr>
              <w:t>Lo que el auditor encontro (situacion actual)</w:t>
            </w:r>
          </w:p>
        </w:tc>
      </w:tr>
      <w:tr>
        <w:tc>
          <w:tcPr>
            <w:tcW w:type="dxa" w:w="4819"/>
          </w:tcPr>
          <w:p>
            <w:r/>
            <w:r>
              <w:rPr>
                <w:rFonts w:ascii="Calibri" w:hAnsi="Calibri"/>
                <w:sz w:val="18"/>
              </w:rPr>
              <w:t>Criterio</w:t>
            </w:r>
          </w:p>
        </w:tc>
        <w:tc>
          <w:tcPr>
            <w:tcW w:type="dxa" w:w="4819"/>
          </w:tcPr>
          <w:p>
            <w:r/>
            <w:r>
              <w:rPr>
                <w:rFonts w:ascii="Calibri" w:hAnsi="Calibri"/>
                <w:sz w:val="18"/>
              </w:rPr>
              <w:t>La norma o regla contra la cual se evalua</w:t>
            </w:r>
          </w:p>
        </w:tc>
      </w:tr>
      <w:tr>
        <w:tc>
          <w:tcPr>
            <w:tcW w:type="dxa" w:w="4819"/>
            <w:shd w:fill="EBF5FB" w:val="clear"/>
          </w:tcPr>
          <w:p>
            <w:r/>
            <w:r>
              <w:rPr>
                <w:rFonts w:ascii="Calibri" w:hAnsi="Calibri"/>
                <w:sz w:val="18"/>
              </w:rPr>
              <w:t>Causa</w:t>
            </w:r>
          </w:p>
        </w:tc>
        <w:tc>
          <w:tcPr>
            <w:tcW w:type="dxa" w:w="4819"/>
            <w:shd w:fill="EBF5FB" w:val="clear"/>
          </w:tcPr>
          <w:p>
            <w:r/>
            <w:r>
              <w:rPr>
                <w:rFonts w:ascii="Calibri" w:hAnsi="Calibri"/>
                <w:sz w:val="18"/>
              </w:rPr>
              <w:t>Por que se produjo la diferencia</w:t>
            </w:r>
          </w:p>
        </w:tc>
      </w:tr>
      <w:tr>
        <w:tc>
          <w:tcPr>
            <w:tcW w:type="dxa" w:w="4819"/>
          </w:tcPr>
          <w:p>
            <w:r/>
            <w:r>
              <w:rPr>
                <w:rFonts w:ascii="Calibri" w:hAnsi="Calibri"/>
                <w:sz w:val="18"/>
              </w:rPr>
              <w:t>Efecto</w:t>
            </w:r>
          </w:p>
        </w:tc>
        <w:tc>
          <w:tcPr>
            <w:tcW w:type="dxa" w:w="4819"/>
          </w:tcPr>
          <w:p>
            <w:r/>
            <w:r>
              <w:rPr>
                <w:rFonts w:ascii="Calibri" w:hAnsi="Calibri"/>
                <w:sz w:val="18"/>
              </w:rPr>
              <w:t>Consecuencia o impacto de la irregularidad</w:t>
            </w:r>
          </w:p>
        </w:tc>
      </w:tr>
    </w:tbl>
    <w:p/>
    <w:p>
      <w:pPr>
        <w:keepNext/>
        <w:spacing w:before="240" w:after="120"/>
      </w:pPr>
      <w:r>
        <w:rPr>
          <w:rFonts w:ascii="Georgia" w:hAnsi="Georgia"/>
          <w:b/>
          <w:color w:val="0A0F1A"/>
          <w:sz w:val="24"/>
        </w:rPr>
        <w:t>5.3 Connotaciones</w:t>
      </w:r>
    </w:p>
    <w:p>
      <w:pPr>
        <w:spacing w:before="20" w:after="20"/>
        <w:ind w:left="567"/>
      </w:pPr>
      <w:r>
        <w:rPr>
          <w:rFonts w:ascii="Calibri" w:hAnsi="Calibri"/>
          <w:sz w:val="22"/>
        </w:rPr>
        <w:t>- Administrativa: Incumplimiento de funciones o deberes</w:t>
      </w:r>
    </w:p>
    <w:p>
      <w:pPr>
        <w:spacing w:before="20" w:after="20"/>
        <w:ind w:left="567"/>
      </w:pPr>
      <w:r>
        <w:rPr>
          <w:rFonts w:ascii="Calibri" w:hAnsi="Calibri"/>
          <w:sz w:val="22"/>
        </w:rPr>
        <w:t>- Fiscal: Presunto dano patrimonial al Estado</w:t>
      </w:r>
    </w:p>
    <w:p>
      <w:pPr>
        <w:spacing w:before="20" w:after="20"/>
        <w:ind w:left="567"/>
      </w:pPr>
      <w:r>
        <w:rPr>
          <w:rFonts w:ascii="Calibri" w:hAnsi="Calibri"/>
          <w:sz w:val="22"/>
        </w:rPr>
        <w:t>- Disciplinaria: Falta disciplinaria del servidor publico</w:t>
      </w:r>
    </w:p>
    <w:p>
      <w:pPr>
        <w:spacing w:before="20" w:after="20"/>
        <w:ind w:left="567"/>
      </w:pPr>
      <w:r>
        <w:rPr>
          <w:rFonts w:ascii="Calibri" w:hAnsi="Calibri"/>
          <w:sz w:val="22"/>
        </w:rPr>
        <w:t>- Penal: Presunta conducta delictiva</w:t>
      </w:r>
    </w:p>
    <w:p>
      <w:pPr>
        <w:keepNext/>
        <w:spacing w:before="240" w:after="120"/>
      </w:pPr>
      <w:r>
        <w:rPr>
          <w:rFonts w:ascii="Georgia" w:hAnsi="Georgia"/>
          <w:b/>
          <w:color w:val="0A0F1A"/>
          <w:sz w:val="24"/>
        </w:rPr>
        <w:t>5.4 Workflow de aprobacion</w:t>
      </w:r>
    </w:p>
    <w:p>
      <w:pPr>
        <w:jc w:val="both"/>
      </w:pPr>
      <w:r>
        <w:rPr>
          <w:rFonts w:ascii="Calibri" w:hAnsi="Calibri"/>
          <w:sz w:val="22"/>
        </w:rPr>
        <w:t>Los hallazgos siguen un flujo: Borrador → En revision → Aprobado. Solo los directores pueden aprobar hallazgos para su inclusion en el informe final.</w:t>
      </w:r>
    </w:p>
    <w:p>
      <w:pPr>
        <w:keepNext/>
        <w:spacing w:before="320" w:after="160"/>
      </w:pPr>
      <w:r>
        <w:rPr>
          <w:rFonts w:ascii="Georgia" w:hAnsi="Georgia"/>
          <w:b/>
          <w:color w:val="1A5276"/>
          <w:sz w:val="28"/>
        </w:rPr>
        <w:t>6. Modulo de Capacitacion</w:t>
      </w:r>
    </w:p>
    <w:p>
      <w:pPr>
        <w:keepNext/>
        <w:spacing w:before="240" w:after="120"/>
      </w:pPr>
      <w:r>
        <w:rPr>
          <w:rFonts w:ascii="Georgia" w:hAnsi="Georgia"/>
          <w:b/>
          <w:color w:val="0A0F1A"/>
          <w:sz w:val="24"/>
        </w:rPr>
        <w:t>6.1 Rutas de aprendizaje</w:t>
      </w:r>
    </w:p>
    <w:p>
      <w:pPr>
        <w:jc w:val="both"/>
      </w:pPr>
      <w:r>
        <w:rPr>
          <w:rFonts w:ascii="Calibri" w:hAnsi="Calibri"/>
          <w:sz w:val="22"/>
        </w:rPr>
        <w:t>CecilIA ofrece 4 rutas de aprendizaje adaptativas:</w:t>
      </w:r>
    </w:p>
    <w:p>
      <w:pPr>
        <w:spacing w:before="20" w:after="20"/>
        <w:ind w:left="567"/>
      </w:pPr>
      <w:r>
        <w:rPr>
          <w:rFonts w:ascii="Calibri" w:hAnsi="Calibri"/>
          <w:sz w:val="22"/>
        </w:rPr>
        <w:t>- Conoce la CGR: Historia, estructura y mision de la Contraloria</w:t>
      </w:r>
    </w:p>
    <w:p>
      <w:pPr>
        <w:spacing w:before="20" w:after="20"/>
        <w:ind w:left="567"/>
      </w:pPr>
      <w:r>
        <w:rPr>
          <w:rFonts w:ascii="Calibri" w:hAnsi="Calibri"/>
          <w:sz w:val="22"/>
        </w:rPr>
        <w:t>- Auditoria DVF: Paso a paso del proceso auditor micro</w:t>
      </w:r>
    </w:p>
    <w:p>
      <w:pPr>
        <w:spacing w:before="20" w:after="20"/>
        <w:ind w:left="567"/>
      </w:pPr>
      <w:r>
        <w:rPr>
          <w:rFonts w:ascii="Calibri" w:hAnsi="Calibri"/>
          <w:sz w:val="22"/>
        </w:rPr>
        <w:t>- Estudios Sectoriales DES: Metodologia de control fiscal macro</w:t>
      </w:r>
    </w:p>
    <w:p>
      <w:pPr>
        <w:spacing w:before="20" w:after="20"/>
        <w:ind w:left="567"/>
      </w:pPr>
      <w:r>
        <w:rPr>
          <w:rFonts w:ascii="Calibri" w:hAnsi="Calibri"/>
          <w:sz w:val="22"/>
        </w:rPr>
        <w:t>- Normativa Esencial: Leyes, decretos y circular 023</w:t>
      </w:r>
    </w:p>
    <w:p>
      <w:pPr>
        <w:keepNext/>
        <w:spacing w:before="240" w:after="120"/>
      </w:pPr>
      <w:r>
        <w:rPr>
          <w:rFonts w:ascii="Georgia" w:hAnsi="Georgia"/>
          <w:b/>
          <w:color w:val="0A0F1A"/>
          <w:sz w:val="24"/>
        </w:rPr>
        <w:t>6.2 Sistema de aprendizaje adaptativo</w:t>
      </w:r>
    </w:p>
    <w:p>
      <w:pPr>
        <w:jc w:val="both"/>
      </w:pPr>
      <w:r>
        <w:rPr>
          <w:rFonts w:ascii="Calibri" w:hAnsi="Calibri"/>
          <w:sz w:val="22"/>
        </w:rPr>
        <w:t>Al ingresar al modulo, puede completar un cuestionario VARK para determinar su estilo de aprendizaje (lector, auditivo, visual o kinestesico). CecilIA adaptara el contenido de las lecciones segun su estilo predominante.</w:t>
      </w:r>
    </w:p>
    <w:p>
      <w:pPr>
        <w:keepNext/>
        <w:spacing w:before="240" w:after="120"/>
      </w:pPr>
      <w:r>
        <w:rPr>
          <w:rFonts w:ascii="Georgia" w:hAnsi="Georgia"/>
          <w:b/>
          <w:color w:val="0A0F1A"/>
          <w:sz w:val="24"/>
        </w:rPr>
        <w:t>6.3 Gamificacion</w:t>
      </w:r>
    </w:p>
    <w:p>
      <w:pPr>
        <w:jc w:val="both"/>
      </w:pPr>
      <w:r>
        <w:rPr>
          <w:rFonts w:ascii="Calibri" w:hAnsi="Calibri"/>
          <w:sz w:val="22"/>
        </w:rPr>
        <w:t>El sistema incluye gamificacion con puntos XP, niveles (Practicante, Asistente, Analista, Auditor, Experto), rachas de estudio diario e insignias por logros especificos.</w:t>
      </w:r>
    </w:p>
    <w:p>
      <w:pPr>
        <w:keepNext/>
        <w:spacing w:before="240" w:after="120"/>
      </w:pPr>
      <w:r>
        <w:rPr>
          <w:rFonts w:ascii="Georgia" w:hAnsi="Georgia"/>
          <w:b/>
          <w:color w:val="0A0F1A"/>
          <w:sz w:val="24"/>
        </w:rPr>
        <w:t>6.4 Biblioteca de recursos</w:t>
      </w:r>
    </w:p>
    <w:p>
      <w:pPr>
        <w:jc w:val="both"/>
      </w:pPr>
      <w:r>
        <w:rPr>
          <w:rFonts w:ascii="Calibri" w:hAnsi="Calibri"/>
          <w:sz w:val="22"/>
        </w:rPr>
        <w:t>La biblioteca genera contenido educativo con IA: podcasts con 2 voces colombianas, flashcards con taxonomia de Bloom, infografias renderizadas y manuales DOCX con logos CGR.</w:t>
      </w:r>
    </w:p>
    <w:p>
      <w:pPr>
        <w:keepNext/>
        <w:spacing w:before="320" w:after="160"/>
      </w:pPr>
      <w:r>
        <w:rPr>
          <w:rFonts w:ascii="Georgia" w:hAnsi="Georgia"/>
          <w:b/>
          <w:color w:val="1A5276"/>
          <w:sz w:val="28"/>
        </w:rPr>
        <w:t>7. Modulo de Observatorio TIC (solo DES)</w:t>
      </w:r>
    </w:p>
    <w:p>
      <w:pPr>
        <w:jc w:val="both"/>
      </w:pPr>
      <w:r>
        <w:rPr>
          <w:rFonts w:ascii="Calibri" w:hAnsi="Calibri"/>
          <w:sz w:val="22"/>
        </w:rPr>
        <w:t>El Observatorio TIC monitorea automaticamente fuentes del sector TIC (MinTIC, CRC, ANE) y clasifica alertas por nivel de relevancia usando IA. Los directores DES pueden iniciar analisis desde cualquier alerta detectada.</w:t>
      </w:r>
    </w:p>
    <w:p>
      <w:pPr>
        <w:keepNext/>
        <w:spacing w:before="320" w:after="160"/>
      </w:pPr>
      <w:r>
        <w:rPr>
          <w:rFonts w:ascii="Georgia" w:hAnsi="Georgia"/>
          <w:b/>
          <w:color w:val="1A5276"/>
          <w:sz w:val="28"/>
        </w:rPr>
        <w:t>8. Modulo de Analitica (solo Directores)</w:t>
      </w:r>
    </w:p>
    <w:p>
      <w:pPr>
        <w:jc w:val="both"/>
      </w:pPr>
      <w:r>
        <w:rPr>
          <w:rFonts w:ascii="Calibri" w:hAnsi="Calibri"/>
          <w:sz w:val="22"/>
        </w:rPr>
        <w:t>Dashboard ejecutivo con metricas de uso del sistema: total de consultas, formatos generados, hallazgos creados, tiempo promedio de respuesta y tendencias mensuales. Permite exportar informes periodicos.</w:t>
      </w:r>
    </w:p>
    <w:p>
      <w:pPr>
        <w:keepNext/>
        <w:spacing w:before="320" w:after="160"/>
      </w:pPr>
      <w:r>
        <w:rPr>
          <w:rFonts w:ascii="Georgia" w:hAnsi="Georgia"/>
          <w:b/>
          <w:color w:val="1A5276"/>
          <w:sz w:val="28"/>
        </w:rPr>
        <w:t>9. Workspace</w:t>
      </w:r>
    </w:p>
    <w:p>
      <w:pPr>
        <w:jc w:val="both"/>
      </w:pPr>
      <w:r>
        <w:rPr>
          <w:rFonts w:ascii="Calibri" w:hAnsi="Calibri"/>
          <w:sz w:val="22"/>
        </w:rPr>
        <w:t>El Workspace permite cargar documentos para analisis. Tipos soportados: PDF, DOCX, XLSX, CSV, TXT. Los documentos cargados se procesan y quedan disponibles para consulta en el chat.</w:t>
      </w:r>
    </w:p>
    <w:p>
      <w:pPr>
        <w:keepNext/>
        <w:spacing w:before="320" w:after="160"/>
      </w:pPr>
      <w:r>
        <w:rPr>
          <w:rFonts w:ascii="Georgia" w:hAnsi="Georgia"/>
          <w:b/>
          <w:color w:val="1A5276"/>
          <w:sz w:val="28"/>
        </w:rPr>
        <w:t>10. Mi Perfil y Configuracion</w:t>
      </w:r>
    </w:p>
    <w:p>
      <w:pPr>
        <w:jc w:val="both"/>
      </w:pPr>
      <w:r>
        <w:rPr>
          <w:rFonts w:ascii="Calibri" w:hAnsi="Calibri"/>
          <w:sz w:val="22"/>
        </w:rPr>
        <w:t>Desde el menu de perfil puede ver sus datos, cambiar contrasena y configurar preferencias del sistema como la direccion activa por defecto.</w:t>
      </w:r>
    </w:p>
    <w:p>
      <w:pPr>
        <w:keepNext/>
        <w:spacing w:before="320" w:after="160"/>
      </w:pPr>
      <w:r>
        <w:rPr>
          <w:rFonts w:ascii="Georgia" w:hAnsi="Georgia"/>
          <w:b/>
          <w:color w:val="1A5276"/>
          <w:sz w:val="28"/>
        </w:rPr>
        <w:t>11. Preguntas Frecuentes</w:t>
      </w:r>
    </w:p>
    <w:p>
      <w:pPr>
        <w:spacing w:before="160" w:after="80"/>
      </w:pPr>
      <w:r>
        <w:rPr>
          <w:rFonts w:ascii="Calibri" w:hAnsi="Calibri"/>
          <w:b/>
          <w:color w:val="1A5276"/>
          <w:sz w:val="22"/>
        </w:rPr>
        <w:t>P: CecilIA reemplaza al auditor?</w:t>
      </w:r>
    </w:p>
    <w:p>
      <w:pPr>
        <w:jc w:val="both"/>
      </w:pPr>
      <w:r>
        <w:rPr>
          <w:rFonts w:ascii="Calibri" w:hAnsi="Calibri"/>
          <w:sz w:val="22"/>
        </w:rPr>
        <w:t>R: No. CecilIA es un asistente que genera borradores y sugerencias. Toda respuesta debe ser validada por el auditor conforme a la Circular 023.</w:t>
      </w:r>
    </w:p>
    <w:p>
      <w:pPr>
        <w:spacing w:before="160" w:after="80"/>
      </w:pPr>
      <w:r>
        <w:rPr>
          <w:rFonts w:ascii="Calibri" w:hAnsi="Calibri"/>
          <w:b/>
          <w:color w:val="1A5276"/>
          <w:sz w:val="22"/>
        </w:rPr>
        <w:t>P: Puedo confiar en las respuestas de CecilIA?</w:t>
      </w:r>
    </w:p>
    <w:p>
      <w:pPr>
        <w:jc w:val="both"/>
      </w:pPr>
      <w:r>
        <w:rPr>
          <w:rFonts w:ascii="Calibri" w:hAnsi="Calibri"/>
          <w:sz w:val="22"/>
        </w:rPr>
        <w:t>R: CecilIA consulta fuentes normativas reales pero puede cometer errores. Siempre verifique contra la norma original.</w:t>
      </w:r>
    </w:p>
    <w:p>
      <w:pPr>
        <w:spacing w:before="160" w:after="80"/>
      </w:pPr>
      <w:r>
        <w:rPr>
          <w:rFonts w:ascii="Calibri" w:hAnsi="Calibri"/>
          <w:b/>
          <w:color w:val="1A5276"/>
          <w:sz w:val="22"/>
        </w:rPr>
        <w:t>P: Mis datos estan seguros?</w:t>
      </w:r>
    </w:p>
    <w:p>
      <w:pPr>
        <w:jc w:val="both"/>
      </w:pPr>
      <w:r>
        <w:rPr>
          <w:rFonts w:ascii="Calibri" w:hAnsi="Calibri"/>
          <w:sz w:val="22"/>
        </w:rPr>
        <w:t>R: Si. Los datos se procesan en servidores institucionales con cifrado AES-256 y TLS 1.3.</w:t>
      </w:r>
    </w:p>
    <w:p>
      <w:pPr>
        <w:spacing w:before="160" w:after="80"/>
      </w:pPr>
      <w:r>
        <w:rPr>
          <w:rFonts w:ascii="Calibri" w:hAnsi="Calibri"/>
          <w:b/>
          <w:color w:val="1A5276"/>
          <w:sz w:val="22"/>
        </w:rPr>
        <w:t>P: Que hago si CecilIA da una respuesta incorrecta?</w:t>
      </w:r>
    </w:p>
    <w:p>
      <w:pPr>
        <w:jc w:val="both"/>
      </w:pPr>
      <w:r>
        <w:rPr>
          <w:rFonts w:ascii="Calibri" w:hAnsi="Calibri"/>
          <w:sz w:val="22"/>
        </w:rPr>
        <w:t>R: Use los botones de feedback (pulgar arriba/abajo) y reporte al equipo tecnico.</w:t>
      </w:r>
    </w:p>
    <w:p>
      <w:pPr>
        <w:spacing w:before="160" w:after="80"/>
      </w:pPr>
      <w:r>
        <w:rPr>
          <w:rFonts w:ascii="Calibri" w:hAnsi="Calibri"/>
          <w:b/>
          <w:color w:val="1A5276"/>
          <w:sz w:val="22"/>
        </w:rPr>
        <w:t>P: Puedo usar CecilIA para generar informes finales?</w:t>
      </w:r>
    </w:p>
    <w:p>
      <w:pPr>
        <w:jc w:val="both"/>
      </w:pPr>
      <w:r>
        <w:rPr>
          <w:rFonts w:ascii="Calibri" w:hAnsi="Calibri"/>
          <w:sz w:val="22"/>
        </w:rPr>
        <w:t>R: No. La Circular 023 limita el uso de IA a borradores y sugerencias, nunca como producto final.</w:t>
      </w:r>
    </w:p>
    <w:p>
      <w:pPr>
        <w:spacing w:before="160" w:after="80"/>
      </w:pPr>
      <w:r>
        <w:rPr>
          <w:rFonts w:ascii="Calibri" w:hAnsi="Calibri"/>
          <w:b/>
          <w:color w:val="1A5276"/>
          <w:sz w:val="22"/>
        </w:rPr>
        <w:t>P: Como actualizo mis credenciales?</w:t>
      </w:r>
    </w:p>
    <w:p>
      <w:pPr>
        <w:jc w:val="both"/>
      </w:pPr>
      <w:r>
        <w:rPr>
          <w:rFonts w:ascii="Calibri" w:hAnsi="Calibri"/>
          <w:sz w:val="22"/>
        </w:rPr>
        <w:t>R: Contacte al administrador del sistema o use la opcion de cambio de contrasena en su perfil.</w:t>
      </w:r>
    </w:p>
    <w:p>
      <w:pPr>
        <w:spacing w:before="160" w:after="80"/>
      </w:pPr>
      <w:r>
        <w:rPr>
          <w:rFonts w:ascii="Calibri" w:hAnsi="Calibri"/>
          <w:b/>
          <w:color w:val="1A5276"/>
          <w:sz w:val="22"/>
        </w:rPr>
        <w:t>P: CecilIA funciona sin internet?</w:t>
      </w:r>
    </w:p>
    <w:p>
      <w:pPr>
        <w:jc w:val="both"/>
      </w:pPr>
      <w:r>
        <w:rPr>
          <w:rFonts w:ascii="Calibri" w:hAnsi="Calibri"/>
          <w:sz w:val="22"/>
        </w:rPr>
        <w:t>R: En la red interna CGR si. El Desktop Agent (futuro) permitira uso local.</w:t>
      </w:r>
    </w:p>
    <w:p>
      <w:pPr>
        <w:spacing w:before="160" w:after="80"/>
      </w:pPr>
      <w:r>
        <w:rPr>
          <w:rFonts w:ascii="Calibri" w:hAnsi="Calibri"/>
          <w:b/>
          <w:color w:val="1A5276"/>
          <w:sz w:val="22"/>
        </w:rPr>
        <w:t>P: Puedo adjuntar documentos al chat?</w:t>
      </w:r>
    </w:p>
    <w:p>
      <w:pPr>
        <w:jc w:val="both"/>
      </w:pPr>
      <w:r>
        <w:rPr>
          <w:rFonts w:ascii="Calibri" w:hAnsi="Calibri"/>
          <w:sz w:val="22"/>
        </w:rPr>
        <w:t>R: Si, a traves del modulo Workspace puede cargar documentos para analisis.</w:t>
      </w:r>
    </w:p>
    <w:p>
      <w:pPr>
        <w:spacing w:before="160" w:after="80"/>
      </w:pPr>
      <w:r>
        <w:rPr>
          <w:rFonts w:ascii="Calibri" w:hAnsi="Calibri"/>
          <w:b/>
          <w:color w:val="1A5276"/>
          <w:sz w:val="22"/>
        </w:rPr>
        <w:t>P: Cuantos formatos puede generar CecilIA?</w:t>
      </w:r>
    </w:p>
    <w:p>
      <w:pPr>
        <w:jc w:val="both"/>
      </w:pPr>
      <w:r>
        <w:rPr>
          <w:rFonts w:ascii="Calibri" w:hAnsi="Calibri"/>
          <w:sz w:val="22"/>
        </w:rPr>
        <w:t>R: Los 30 formatos de la Guia de Auditoria Financiera (GAF) de la CGR.</w:t>
      </w:r>
    </w:p>
    <w:p>
      <w:pPr>
        <w:spacing w:before="160" w:after="80"/>
      </w:pPr>
      <w:r>
        <w:rPr>
          <w:rFonts w:ascii="Calibri" w:hAnsi="Calibri"/>
          <w:b/>
          <w:color w:val="1A5276"/>
          <w:sz w:val="22"/>
        </w:rPr>
        <w:t>P: Que es el RAG?</w:t>
      </w:r>
    </w:p>
    <w:p>
      <w:pPr>
        <w:jc w:val="both"/>
      </w:pPr>
      <w:r>
        <w:rPr>
          <w:rFonts w:ascii="Calibri" w:hAnsi="Calibri"/>
          <w:sz w:val="22"/>
        </w:rPr>
        <w:t>R: Retrieval-Augmented Generation: CecilIA busca en su base de documentos antes de responder, citando fuentes.</w:t>
      </w:r>
    </w:p>
    <w:p>
      <w:pPr>
        <w:keepNext/>
        <w:spacing w:before="320" w:after="160"/>
      </w:pPr>
      <w:r>
        <w:rPr>
          <w:rFonts w:ascii="Georgia" w:hAnsi="Georgia"/>
          <w:b/>
          <w:color w:val="1A5276"/>
          <w:sz w:val="28"/>
        </w:rPr>
        <w:t>12. Glosario de Terminos de Control Fiscal</w:t>
      </w:r>
    </w:p>
    <w:tbl>
      <w:tblPr>
        <w:tblW w:type="auto" w:w="0"/>
        <w:jc w:val="center"/>
        <w:tblLook w:firstColumn="1" w:firstRow="1" w:lastColumn="0" w:lastRow="0" w:noHBand="0" w:noVBand="1" w:val="04A0"/>
      </w:tblPr>
      <w:tblGrid>
        <w:gridCol w:w="4819"/>
        <w:gridCol w:w="4819"/>
      </w:tblGrid>
      <w:tr>
        <w:tc>
          <w:tcPr>
            <w:tcW w:type="dxa" w:w="4819"/>
            <w:shd w:fill="1A5276" w:val="clear"/>
          </w:tcPr>
          <w:p>
            <w:r/>
            <w:r>
              <w:rPr>
                <w:rFonts w:ascii="Calibri" w:hAnsi="Calibri"/>
                <w:b/>
                <w:color w:val="FFFFFF"/>
                <w:sz w:val="18"/>
              </w:rPr>
              <w:t>Termino</w:t>
            </w:r>
          </w:p>
        </w:tc>
        <w:tc>
          <w:tcPr>
            <w:tcW w:type="dxa" w:w="4819"/>
            <w:shd w:fill="1A5276" w:val="clear"/>
          </w:tcPr>
          <w:p>
            <w:r/>
            <w:r>
              <w:rPr>
                <w:rFonts w:ascii="Calibri" w:hAnsi="Calibri"/>
                <w:b/>
                <w:color w:val="FFFFFF"/>
                <w:sz w:val="18"/>
              </w:rPr>
              <w:t>Definicion</w:t>
            </w:r>
          </w:p>
        </w:tc>
      </w:tr>
      <w:tr>
        <w:tc>
          <w:tcPr>
            <w:tcW w:type="dxa" w:w="4819"/>
            <w:shd w:fill="EBF5FB" w:val="clear"/>
          </w:tcPr>
          <w:p>
            <w:r/>
            <w:r>
              <w:rPr>
                <w:rFonts w:ascii="Calibri" w:hAnsi="Calibri"/>
                <w:sz w:val="18"/>
              </w:rPr>
              <w:t>Auditoria</w:t>
            </w:r>
          </w:p>
        </w:tc>
        <w:tc>
          <w:tcPr>
            <w:tcW w:type="dxa" w:w="4819"/>
            <w:shd w:fill="EBF5FB" w:val="clear"/>
          </w:tcPr>
          <w:p>
            <w:r/>
            <w:r>
              <w:rPr>
                <w:rFonts w:ascii="Calibri" w:hAnsi="Calibri"/>
                <w:sz w:val="18"/>
              </w:rPr>
              <w:t>Proceso sistematico de evaluacion de la gestion fiscal de una entidad</w:t>
            </w:r>
          </w:p>
        </w:tc>
      </w:tr>
      <w:tr>
        <w:tc>
          <w:tcPr>
            <w:tcW w:type="dxa" w:w="4819"/>
          </w:tcPr>
          <w:p>
            <w:r/>
            <w:r>
              <w:rPr>
                <w:rFonts w:ascii="Calibri" w:hAnsi="Calibri"/>
                <w:sz w:val="18"/>
              </w:rPr>
              <w:t>CGR</w:t>
            </w:r>
          </w:p>
        </w:tc>
        <w:tc>
          <w:tcPr>
            <w:tcW w:type="dxa" w:w="4819"/>
          </w:tcPr>
          <w:p>
            <w:r/>
            <w:r>
              <w:rPr>
                <w:rFonts w:ascii="Calibri" w:hAnsi="Calibri"/>
                <w:sz w:val="18"/>
              </w:rPr>
              <w:t>Contraloria General de la Republica de Colombia</w:t>
            </w:r>
          </w:p>
        </w:tc>
      </w:tr>
      <w:tr>
        <w:tc>
          <w:tcPr>
            <w:tcW w:type="dxa" w:w="4819"/>
            <w:shd w:fill="EBF5FB" w:val="clear"/>
          </w:tcPr>
          <w:p>
            <w:r/>
            <w:r>
              <w:rPr>
                <w:rFonts w:ascii="Calibri" w:hAnsi="Calibri"/>
                <w:sz w:val="18"/>
              </w:rPr>
              <w:t>Circular 023</w:t>
            </w:r>
          </w:p>
        </w:tc>
        <w:tc>
          <w:tcPr>
            <w:tcW w:type="dxa" w:w="4819"/>
            <w:shd w:fill="EBF5FB" w:val="clear"/>
          </w:tcPr>
          <w:p>
            <w:r/>
            <w:r>
              <w:rPr>
                <w:rFonts w:ascii="Calibri" w:hAnsi="Calibri"/>
                <w:sz w:val="18"/>
              </w:rPr>
              <w:t>Directriz del Contralor General sobre uso responsable de IA</w:t>
            </w:r>
          </w:p>
        </w:tc>
      </w:tr>
      <w:tr>
        <w:tc>
          <w:tcPr>
            <w:tcW w:type="dxa" w:w="4819"/>
          </w:tcPr>
          <w:p>
            <w:r/>
            <w:r>
              <w:rPr>
                <w:rFonts w:ascii="Calibri" w:hAnsi="Calibri"/>
                <w:sz w:val="18"/>
              </w:rPr>
              <w:t>Condicion</w:t>
            </w:r>
          </w:p>
        </w:tc>
        <w:tc>
          <w:tcPr>
            <w:tcW w:type="dxa" w:w="4819"/>
          </w:tcPr>
          <w:p>
            <w:r/>
            <w:r>
              <w:rPr>
                <w:rFonts w:ascii="Calibri" w:hAnsi="Calibri"/>
                <w:sz w:val="18"/>
              </w:rPr>
              <w:t>Situacion actual encontrada por el auditor en la entidad</w:t>
            </w:r>
          </w:p>
        </w:tc>
      </w:tr>
      <w:tr>
        <w:tc>
          <w:tcPr>
            <w:tcW w:type="dxa" w:w="4819"/>
            <w:shd w:fill="EBF5FB" w:val="clear"/>
          </w:tcPr>
          <w:p>
            <w:r/>
            <w:r>
              <w:rPr>
                <w:rFonts w:ascii="Calibri" w:hAnsi="Calibri"/>
                <w:sz w:val="18"/>
              </w:rPr>
              <w:t>Control fiscal</w:t>
            </w:r>
          </w:p>
        </w:tc>
        <w:tc>
          <w:tcPr>
            <w:tcW w:type="dxa" w:w="4819"/>
            <w:shd w:fill="EBF5FB" w:val="clear"/>
          </w:tcPr>
          <w:p>
            <w:r/>
            <w:r>
              <w:rPr>
                <w:rFonts w:ascii="Calibri" w:hAnsi="Calibri"/>
                <w:sz w:val="18"/>
              </w:rPr>
              <w:t>Funcion publica de vigilancia de la gestion fiscal del Estado</w:t>
            </w:r>
          </w:p>
        </w:tc>
      </w:tr>
      <w:tr>
        <w:tc>
          <w:tcPr>
            <w:tcW w:type="dxa" w:w="4819"/>
          </w:tcPr>
          <w:p>
            <w:r/>
            <w:r>
              <w:rPr>
                <w:rFonts w:ascii="Calibri" w:hAnsi="Calibri"/>
                <w:sz w:val="18"/>
              </w:rPr>
              <w:t>Criterio</w:t>
            </w:r>
          </w:p>
        </w:tc>
        <w:tc>
          <w:tcPr>
            <w:tcW w:type="dxa" w:w="4819"/>
          </w:tcPr>
          <w:p>
            <w:r/>
            <w:r>
              <w:rPr>
                <w:rFonts w:ascii="Calibri" w:hAnsi="Calibri"/>
                <w:sz w:val="18"/>
              </w:rPr>
              <w:t>Norma, ley o regla contra la cual se evalua la condicion</w:t>
            </w:r>
          </w:p>
        </w:tc>
      </w:tr>
      <w:tr>
        <w:tc>
          <w:tcPr>
            <w:tcW w:type="dxa" w:w="4819"/>
            <w:shd w:fill="EBF5FB" w:val="clear"/>
          </w:tcPr>
          <w:p>
            <w:r/>
            <w:r>
              <w:rPr>
                <w:rFonts w:ascii="Calibri" w:hAnsi="Calibri"/>
                <w:sz w:val="18"/>
              </w:rPr>
              <w:t>DES</w:t>
            </w:r>
          </w:p>
        </w:tc>
        <w:tc>
          <w:tcPr>
            <w:tcW w:type="dxa" w:w="4819"/>
            <w:shd w:fill="EBF5FB" w:val="clear"/>
          </w:tcPr>
          <w:p>
            <w:r/>
            <w:r>
              <w:rPr>
                <w:rFonts w:ascii="Calibri" w:hAnsi="Calibri"/>
                <w:sz w:val="18"/>
              </w:rPr>
              <w:t>Direccion de Estudios Sectoriales — control fiscal macro</w:t>
            </w:r>
          </w:p>
        </w:tc>
      </w:tr>
      <w:tr>
        <w:tc>
          <w:tcPr>
            <w:tcW w:type="dxa" w:w="4819"/>
          </w:tcPr>
          <w:p>
            <w:r/>
            <w:r>
              <w:rPr>
                <w:rFonts w:ascii="Calibri" w:hAnsi="Calibri"/>
                <w:sz w:val="18"/>
              </w:rPr>
              <w:t>Dictamen</w:t>
            </w:r>
          </w:p>
        </w:tc>
        <w:tc>
          <w:tcPr>
            <w:tcW w:type="dxa" w:w="4819"/>
          </w:tcPr>
          <w:p>
            <w:r/>
            <w:r>
              <w:rPr>
                <w:rFonts w:ascii="Calibri" w:hAnsi="Calibri"/>
                <w:sz w:val="18"/>
              </w:rPr>
              <w:t>Opinion del auditor sobre los estados financieros</w:t>
            </w:r>
          </w:p>
        </w:tc>
      </w:tr>
      <w:tr>
        <w:tc>
          <w:tcPr>
            <w:tcW w:type="dxa" w:w="4819"/>
            <w:shd w:fill="EBF5FB" w:val="clear"/>
          </w:tcPr>
          <w:p>
            <w:r/>
            <w:r>
              <w:rPr>
                <w:rFonts w:ascii="Calibri" w:hAnsi="Calibri"/>
                <w:sz w:val="18"/>
              </w:rPr>
              <w:t>DVF</w:t>
            </w:r>
          </w:p>
        </w:tc>
        <w:tc>
          <w:tcPr>
            <w:tcW w:type="dxa" w:w="4819"/>
            <w:shd w:fill="EBF5FB" w:val="clear"/>
          </w:tcPr>
          <w:p>
            <w:r/>
            <w:r>
              <w:rPr>
                <w:rFonts w:ascii="Calibri" w:hAnsi="Calibri"/>
                <w:sz w:val="18"/>
              </w:rPr>
              <w:t>Direccion de Vigilancia Fiscal — control fiscal micro</w:t>
            </w:r>
          </w:p>
        </w:tc>
      </w:tr>
      <w:tr>
        <w:tc>
          <w:tcPr>
            <w:tcW w:type="dxa" w:w="4819"/>
          </w:tcPr>
          <w:p>
            <w:r/>
            <w:r>
              <w:rPr>
                <w:rFonts w:ascii="Calibri" w:hAnsi="Calibri"/>
                <w:sz w:val="18"/>
              </w:rPr>
              <w:t>Efecto</w:t>
            </w:r>
          </w:p>
        </w:tc>
        <w:tc>
          <w:tcPr>
            <w:tcW w:type="dxa" w:w="4819"/>
          </w:tcPr>
          <w:p>
            <w:r/>
            <w:r>
              <w:rPr>
                <w:rFonts w:ascii="Calibri" w:hAnsi="Calibri"/>
                <w:sz w:val="18"/>
              </w:rPr>
              <w:t>Consecuencia o impacto de la irregularidad encontrada</w:t>
            </w:r>
          </w:p>
        </w:tc>
      </w:tr>
      <w:tr>
        <w:tc>
          <w:tcPr>
            <w:tcW w:type="dxa" w:w="4819"/>
            <w:shd w:fill="EBF5FB" w:val="clear"/>
          </w:tcPr>
          <w:p>
            <w:r/>
            <w:r>
              <w:rPr>
                <w:rFonts w:ascii="Calibri" w:hAnsi="Calibri"/>
                <w:sz w:val="18"/>
              </w:rPr>
              <w:t>GAF</w:t>
            </w:r>
          </w:p>
        </w:tc>
        <w:tc>
          <w:tcPr>
            <w:tcW w:type="dxa" w:w="4819"/>
            <w:shd w:fill="EBF5FB" w:val="clear"/>
          </w:tcPr>
          <w:p>
            <w:r/>
            <w:r>
              <w:rPr>
                <w:rFonts w:ascii="Calibri" w:hAnsi="Calibri"/>
                <w:sz w:val="18"/>
              </w:rPr>
              <w:t>Guia de Auditoria Financiera de la CGR</w:t>
            </w:r>
          </w:p>
        </w:tc>
      </w:tr>
      <w:tr>
        <w:tc>
          <w:tcPr>
            <w:tcW w:type="dxa" w:w="4819"/>
          </w:tcPr>
          <w:p>
            <w:r/>
            <w:r>
              <w:rPr>
                <w:rFonts w:ascii="Calibri" w:hAnsi="Calibri"/>
                <w:sz w:val="18"/>
              </w:rPr>
              <w:t>Hallazgo</w:t>
            </w:r>
          </w:p>
        </w:tc>
        <w:tc>
          <w:tcPr>
            <w:tcW w:type="dxa" w:w="4819"/>
          </w:tcPr>
          <w:p>
            <w:r/>
            <w:r>
              <w:rPr>
                <w:rFonts w:ascii="Calibri" w:hAnsi="Calibri"/>
                <w:sz w:val="18"/>
              </w:rPr>
              <w:t>Diferencia significativa entre lo esperado y lo encontrado</w:t>
            </w:r>
          </w:p>
        </w:tc>
      </w:tr>
      <w:tr>
        <w:tc>
          <w:tcPr>
            <w:tcW w:type="dxa" w:w="4819"/>
            <w:shd w:fill="EBF5FB" w:val="clear"/>
          </w:tcPr>
          <w:p>
            <w:r/>
            <w:r>
              <w:rPr>
                <w:rFonts w:ascii="Calibri" w:hAnsi="Calibri"/>
                <w:sz w:val="18"/>
              </w:rPr>
              <w:t>ISSAI</w:t>
            </w:r>
          </w:p>
        </w:tc>
        <w:tc>
          <w:tcPr>
            <w:tcW w:type="dxa" w:w="4819"/>
            <w:shd w:fill="EBF5FB" w:val="clear"/>
          </w:tcPr>
          <w:p>
            <w:r/>
            <w:r>
              <w:rPr>
                <w:rFonts w:ascii="Calibri" w:hAnsi="Calibri"/>
                <w:sz w:val="18"/>
              </w:rPr>
              <w:t>International Standards of Supreme Audit Institutions</w:t>
            </w:r>
          </w:p>
        </w:tc>
      </w:tr>
      <w:tr>
        <w:tc>
          <w:tcPr>
            <w:tcW w:type="dxa" w:w="4819"/>
          </w:tcPr>
          <w:p>
            <w:r/>
            <w:r>
              <w:rPr>
                <w:rFonts w:ascii="Calibri" w:hAnsi="Calibri"/>
                <w:sz w:val="18"/>
              </w:rPr>
              <w:t>Materialidad</w:t>
            </w:r>
          </w:p>
        </w:tc>
        <w:tc>
          <w:tcPr>
            <w:tcW w:type="dxa" w:w="4819"/>
          </w:tcPr>
          <w:p>
            <w:r/>
            <w:r>
              <w:rPr>
                <w:rFonts w:ascii="Calibri" w:hAnsi="Calibri"/>
                <w:sz w:val="18"/>
              </w:rPr>
              <w:t>Umbral de importancia relativa para errores significativos</w:t>
            </w:r>
          </w:p>
        </w:tc>
      </w:tr>
      <w:tr>
        <w:tc>
          <w:tcPr>
            <w:tcW w:type="dxa" w:w="4819"/>
            <w:shd w:fill="EBF5FB" w:val="clear"/>
          </w:tcPr>
          <w:p>
            <w:r/>
            <w:r>
              <w:rPr>
                <w:rFonts w:ascii="Calibri" w:hAnsi="Calibri"/>
                <w:sz w:val="18"/>
              </w:rPr>
              <w:t>NIA</w:t>
            </w:r>
          </w:p>
        </w:tc>
        <w:tc>
          <w:tcPr>
            <w:tcW w:type="dxa" w:w="4819"/>
            <w:shd w:fill="EBF5FB" w:val="clear"/>
          </w:tcPr>
          <w:p>
            <w:r/>
            <w:r>
              <w:rPr>
                <w:rFonts w:ascii="Calibri" w:hAnsi="Calibri"/>
                <w:sz w:val="18"/>
              </w:rPr>
              <w:t>Normas Internacionales de Auditoria</w:t>
            </w:r>
          </w:p>
        </w:tc>
      </w:tr>
      <w:tr>
        <w:tc>
          <w:tcPr>
            <w:tcW w:type="dxa" w:w="4819"/>
          </w:tcPr>
          <w:p>
            <w:r/>
            <w:r>
              <w:rPr>
                <w:rFonts w:ascii="Calibri" w:hAnsi="Calibri"/>
                <w:sz w:val="18"/>
              </w:rPr>
              <w:t>RAG</w:t>
            </w:r>
          </w:p>
        </w:tc>
        <w:tc>
          <w:tcPr>
            <w:tcW w:type="dxa" w:w="4819"/>
          </w:tcPr>
          <w:p>
            <w:r/>
            <w:r>
              <w:rPr>
                <w:rFonts w:ascii="Calibri" w:hAnsi="Calibri"/>
                <w:sz w:val="18"/>
              </w:rPr>
              <w:t>Retrieval-Augmented Generation — busqueda semantica en documentos</w:t>
            </w:r>
          </w:p>
        </w:tc>
      </w:tr>
      <w:tr>
        <w:tc>
          <w:tcPr>
            <w:tcW w:type="dxa" w:w="4819"/>
            <w:shd w:fill="EBF5FB" w:val="clear"/>
          </w:tcPr>
          <w:p>
            <w:r/>
            <w:r>
              <w:rPr>
                <w:rFonts w:ascii="Calibri" w:hAnsi="Calibri"/>
                <w:sz w:val="18"/>
              </w:rPr>
              <w:t>Responsabilidad fiscal</w:t>
            </w:r>
          </w:p>
        </w:tc>
        <w:tc>
          <w:tcPr>
            <w:tcW w:type="dxa" w:w="4819"/>
            <w:shd w:fill="EBF5FB" w:val="clear"/>
          </w:tcPr>
          <w:p>
            <w:r/>
            <w:r>
              <w:rPr>
                <w:rFonts w:ascii="Calibri" w:hAnsi="Calibri"/>
                <w:sz w:val="18"/>
              </w:rPr>
              <w:t>Proceso para determinar dano patrimonial</w:t>
            </w:r>
          </w:p>
        </w:tc>
      </w:tr>
      <w:tr>
        <w:tc>
          <w:tcPr>
            <w:tcW w:type="dxa" w:w="4819"/>
          </w:tcPr>
          <w:p>
            <w:r/>
            <w:r>
              <w:rPr>
                <w:rFonts w:ascii="Calibri" w:hAnsi="Calibri"/>
                <w:sz w:val="18"/>
              </w:rPr>
              <w:t>SECOP</w:t>
            </w:r>
          </w:p>
        </w:tc>
        <w:tc>
          <w:tcPr>
            <w:tcW w:type="dxa" w:w="4819"/>
          </w:tcPr>
          <w:p>
            <w:r/>
            <w:r>
              <w:rPr>
                <w:rFonts w:ascii="Calibri" w:hAnsi="Calibri"/>
                <w:sz w:val="18"/>
              </w:rPr>
              <w:t>Sistema Electronico de Contratacion Publica</w:t>
            </w:r>
          </w:p>
        </w:tc>
      </w:tr>
    </w:tbl>
    <w:p/>
    <w:p>
      <w:pPr>
        <w:keepNext/>
        <w:spacing w:before="320" w:after="160"/>
      </w:pPr>
      <w:r>
        <w:rPr>
          <w:rFonts w:ascii="Georgia" w:hAnsi="Georgia"/>
          <w:b/>
          <w:color w:val="1A5276"/>
          <w:sz w:val="28"/>
        </w:rPr>
        <w:t>13. Contacto de soporte tecnico</w:t>
      </w:r>
    </w:p>
    <w:p>
      <w:pPr>
        <w:jc w:val="both"/>
      </w:pPr>
      <w:r>
        <w:rPr>
          <w:rFonts w:ascii="Calibri" w:hAnsi="Calibri"/>
          <w:sz w:val="22"/>
        </w:rPr>
        <w:t>Para asistencia tecnica con CecilIA v2, contacte al equipo de CD-TIC-CGR:</w:t>
      </w:r>
    </w:p>
    <w:tbl>
      <w:tblPr>
        <w:tblW w:type="auto" w:w="0"/>
        <w:jc w:val="center"/>
        <w:tblLook w:firstColumn="1" w:firstRow="1" w:lastColumn="0" w:lastRow="0" w:noHBand="0" w:noVBand="1" w:val="04A0"/>
      </w:tblPr>
      <w:tblGrid>
        <w:gridCol w:w="4819"/>
        <w:gridCol w:w="4819"/>
      </w:tblGrid>
      <w:tr>
        <w:tc>
          <w:tcPr>
            <w:tcW w:type="dxa" w:w="4819"/>
            <w:shd w:fill="1A5276" w:val="clear"/>
          </w:tcPr>
          <w:p>
            <w:r/>
            <w:r>
              <w:rPr>
                <w:rFonts w:ascii="Calibri" w:hAnsi="Calibri"/>
                <w:b/>
                <w:color w:val="FFFFFF"/>
                <w:sz w:val="18"/>
              </w:rPr>
              <w:t>Canal</w:t>
            </w:r>
          </w:p>
        </w:tc>
        <w:tc>
          <w:tcPr>
            <w:tcW w:type="dxa" w:w="4819"/>
            <w:shd w:fill="1A5276" w:val="clear"/>
          </w:tcPr>
          <w:p>
            <w:r/>
            <w:r>
              <w:rPr>
                <w:rFonts w:ascii="Calibri" w:hAnsi="Calibri"/>
                <w:b/>
                <w:color w:val="FFFFFF"/>
                <w:sz w:val="18"/>
              </w:rPr>
              <w:t>Detalle</w:t>
            </w:r>
          </w:p>
        </w:tc>
      </w:tr>
      <w:tr>
        <w:tc>
          <w:tcPr>
            <w:tcW w:type="dxa" w:w="4819"/>
            <w:shd w:fill="EBF5FB" w:val="clear"/>
          </w:tcPr>
          <w:p>
            <w:r/>
            <w:r>
              <w:rPr>
                <w:rFonts w:ascii="Calibri" w:hAnsi="Calibri"/>
                <w:sz w:val="18"/>
              </w:rPr>
              <w:t>Lider Tecnico</w:t>
            </w:r>
          </w:p>
        </w:tc>
        <w:tc>
          <w:tcPr>
            <w:tcW w:type="dxa" w:w="4819"/>
            <w:shd w:fill="EBF5FB" w:val="clear"/>
          </w:tcPr>
          <w:p>
            <w:r/>
            <w:r>
              <w:rPr>
                <w:rFonts w:ascii="Calibri" w:hAnsi="Calibri"/>
                <w:sz w:val="18"/>
              </w:rPr>
              <w:t>Ing. Gustavo Adolfo Castillo Romero</w:t>
            </w:r>
          </w:p>
        </w:tc>
      </w:tr>
      <w:tr>
        <w:tc>
          <w:tcPr>
            <w:tcW w:type="dxa" w:w="4819"/>
          </w:tcPr>
          <w:p>
            <w:r/>
            <w:r>
              <w:rPr>
                <w:rFonts w:ascii="Calibri" w:hAnsi="Calibri"/>
                <w:sz w:val="18"/>
              </w:rPr>
              <w:t>Correo</w:t>
            </w:r>
          </w:p>
        </w:tc>
        <w:tc>
          <w:tcPr>
            <w:tcW w:type="dxa" w:w="4819"/>
          </w:tcPr>
          <w:p>
            <w:r/>
            <w:r>
              <w:rPr>
                <w:rFonts w:ascii="Calibri" w:hAnsi="Calibri"/>
                <w:sz w:val="18"/>
              </w:rPr>
              <w:t>soporte.cecilia@contraloria.gov.co</w:t>
            </w:r>
          </w:p>
        </w:tc>
      </w:tr>
      <w:tr>
        <w:tc>
          <w:tcPr>
            <w:tcW w:type="dxa" w:w="4819"/>
            <w:shd w:fill="EBF5FB" w:val="clear"/>
          </w:tcPr>
          <w:p>
            <w:r/>
            <w:r>
              <w:rPr>
                <w:rFonts w:ascii="Calibri" w:hAnsi="Calibri"/>
                <w:sz w:val="18"/>
              </w:rPr>
              <w:t>Horario</w:t>
            </w:r>
          </w:p>
        </w:tc>
        <w:tc>
          <w:tcPr>
            <w:tcW w:type="dxa" w:w="4819"/>
            <w:shd w:fill="EBF5FB" w:val="clear"/>
          </w:tcPr>
          <w:p>
            <w:r/>
            <w:r>
              <w:rPr>
                <w:rFonts w:ascii="Calibri" w:hAnsi="Calibri"/>
                <w:sz w:val="18"/>
              </w:rPr>
              <w:t>Lunes a viernes, 8:00 a 17:00</w:t>
            </w:r>
          </w:p>
        </w:tc>
      </w:tr>
    </w:tbl>
    <w:p/>
    <w:p>
      <w:pPr>
        <w:spacing w:before="240"/>
        <w:jc w:val="center"/>
      </w:pPr>
      <w:r>
        <w:rPr>
          <w:rFonts w:ascii="Calibri" w:hAnsi="Calibri"/>
          <w:i/>
          <w:color w:val="5F6368"/>
          <w:sz w:val="16"/>
        </w:rPr>
        <w:t>Este documento fue generado con asistencia de inteligencia artificial (CecilIA v2). Todos los datos, analisis y conclusiones deben ser verificados y validados por el equipo auditor antes de su uso oficial, conforme a lo establecido en la Circular 023 de la CGR.</w:t>
      </w:r>
    </w:p>
    <w:p>
      <w:r>
        <w:br w:type="page"/>
      </w:r>
    </w:p>
    <w:p>
      <w:pPr>
        <w:spacing w:before="1200"/>
        <w:jc w:val="center"/>
      </w:pPr>
      <w:r>
        <w:rPr>
          <w:rFonts w:ascii="Georgia" w:hAnsi="Georgia"/>
          <w:b/>
          <w:color w:val="1A5276"/>
          <w:sz w:val="32"/>
        </w:rPr>
        <w:t>Equipo Tecnico Piloto CecilIA</w:t>
      </w:r>
    </w:p>
    <w:p>
      <w:pPr>
        <w:spacing w:before="80" w:after="80"/>
        <w:jc w:val="center"/>
      </w:pPr>
      <w:r>
        <w:rPr>
          <w:color w:val="C9A84C"/>
          <w:sz w:val="12"/>
        </w:rPr>
        <w:t>________________________________________________________________________________</w:t>
      </w:r>
    </w:p>
    <w:tbl>
      <w:tblPr>
        <w:tblW w:type="auto" w:w="0"/>
        <w:jc w:val="center"/>
        <w:tblLook w:firstColumn="1" w:firstRow="1" w:lastColumn="0" w:lastRow="0" w:noHBand="0" w:noVBand="1" w:val="04A0"/>
      </w:tblPr>
      <w:tblGrid>
        <w:gridCol w:w="3213"/>
        <w:gridCol w:w="3213"/>
        <w:gridCol w:w="3213"/>
      </w:tblGrid>
      <w:tr>
        <w:tc>
          <w:tcPr>
            <w:tcW w:type="dxa" w:w="3213"/>
            <w:shd w:fill="1A5276" w:val="clear"/>
          </w:tcPr>
          <w:p>
            <w:r/>
            <w:r>
              <w:rPr>
                <w:rFonts w:ascii="Calibri" w:hAnsi="Calibri"/>
                <w:b/>
                <w:color w:val="FFFFFF"/>
                <w:sz w:val="18"/>
              </w:rPr>
              <w:t>Nombre</w:t>
            </w:r>
          </w:p>
        </w:tc>
        <w:tc>
          <w:tcPr>
            <w:tcW w:type="dxa" w:w="3213"/>
            <w:shd w:fill="1A5276" w:val="clear"/>
          </w:tcPr>
          <w:p>
            <w:r/>
            <w:r>
              <w:rPr>
                <w:rFonts w:ascii="Calibri" w:hAnsi="Calibri"/>
                <w:b/>
                <w:color w:val="FFFFFF"/>
                <w:sz w:val="18"/>
              </w:rPr>
              <w:t>Cargo</w:t>
            </w:r>
          </w:p>
        </w:tc>
        <w:tc>
          <w:tcPr>
            <w:tcW w:type="dxa" w:w="3213"/>
            <w:shd w:fill="1A5276" w:val="clear"/>
          </w:tcPr>
          <w:p>
            <w:r/>
            <w:r>
              <w:rPr>
                <w:rFonts w:ascii="Calibri" w:hAnsi="Calibri"/>
                <w:b/>
                <w:color w:val="FFFFFF"/>
                <w:sz w:val="18"/>
              </w:rPr>
              <w:t>Rol en el proyecto</w:t>
            </w:r>
          </w:p>
        </w:tc>
      </w:tr>
      <w:tr>
        <w:tc>
          <w:tcPr>
            <w:tcW w:type="dxa" w:w="3213"/>
            <w:shd w:fill="EBF5FB" w:val="clear"/>
          </w:tcPr>
          <w:p>
            <w:r/>
            <w:r>
              <w:rPr>
                <w:rFonts w:ascii="Calibri" w:hAnsi="Calibri"/>
                <w:sz w:val="18"/>
              </w:rPr>
              <w:t>Dr. Omar Javier Contreras Socarras</w:t>
            </w:r>
          </w:p>
        </w:tc>
        <w:tc>
          <w:tcPr>
            <w:tcW w:type="dxa" w:w="3213"/>
            <w:shd w:fill="EBF5FB" w:val="clear"/>
          </w:tcPr>
          <w:p>
            <w:r/>
            <w:r>
              <w:rPr>
                <w:rFonts w:ascii="Calibri" w:hAnsi="Calibri"/>
                <w:sz w:val="18"/>
              </w:rPr>
              <w:t>Impulsor del proyecto</w:t>
            </w:r>
          </w:p>
        </w:tc>
        <w:tc>
          <w:tcPr>
            <w:tcW w:type="dxa" w:w="3213"/>
            <w:shd w:fill="EBF5FB" w:val="clear"/>
          </w:tcPr>
          <w:p>
            <w:r/>
            <w:r>
              <w:rPr>
                <w:rFonts w:ascii="Calibri" w:hAnsi="Calibri"/>
                <w:sz w:val="18"/>
              </w:rPr>
              <w:t>Contralor Delegado TIC (Concepcion)</w:t>
            </w:r>
          </w:p>
        </w:tc>
      </w:tr>
      <w:tr>
        <w:tc>
          <w:tcPr>
            <w:tcW w:type="dxa" w:w="3213"/>
          </w:tcPr>
          <w:p>
            <w:r/>
            <w:r>
              <w:rPr>
                <w:rFonts w:ascii="Calibri" w:hAnsi="Calibri"/>
                <w:sz w:val="18"/>
              </w:rPr>
              <w:t>Dr. Hector Hernan Gonzalez Naranjo</w:t>
            </w:r>
          </w:p>
        </w:tc>
        <w:tc>
          <w:tcPr>
            <w:tcW w:type="dxa" w:w="3213"/>
          </w:tcPr>
          <w:p>
            <w:r/>
            <w:r>
              <w:rPr>
                <w:rFonts w:ascii="Calibri" w:hAnsi="Calibri"/>
                <w:sz w:val="18"/>
              </w:rPr>
              <w:t>Contralor Delegado TIC</w:t>
            </w:r>
          </w:p>
        </w:tc>
        <w:tc>
          <w:tcPr>
            <w:tcW w:type="dxa" w:w="3213"/>
          </w:tcPr>
          <w:p>
            <w:r/>
            <w:r>
              <w:rPr>
                <w:rFonts w:ascii="Calibri" w:hAnsi="Calibri"/>
                <w:sz w:val="18"/>
              </w:rPr>
              <w:t>Direccion operativa</w:t>
            </w:r>
          </w:p>
        </w:tc>
      </w:tr>
      <w:tr>
        <w:tc>
          <w:tcPr>
            <w:tcW w:type="dxa" w:w="3213"/>
            <w:shd w:fill="EBF5FB" w:val="clear"/>
          </w:tcPr>
          <w:p>
            <w:r/>
            <w:r>
              <w:rPr>
                <w:rFonts w:ascii="Calibri" w:hAnsi="Calibri"/>
                <w:sz w:val="18"/>
              </w:rPr>
              <w:t>Dr. Juan Carlos Cobo Gomez</w:t>
            </w:r>
          </w:p>
        </w:tc>
        <w:tc>
          <w:tcPr>
            <w:tcW w:type="dxa" w:w="3213"/>
            <w:shd w:fill="EBF5FB" w:val="clear"/>
          </w:tcPr>
          <w:p>
            <w:r/>
            <w:r>
              <w:rPr>
                <w:rFonts w:ascii="Calibri" w:hAnsi="Calibri"/>
                <w:sz w:val="18"/>
              </w:rPr>
              <w:t>Director DES</w:t>
            </w:r>
          </w:p>
        </w:tc>
        <w:tc>
          <w:tcPr>
            <w:tcW w:type="dxa" w:w="3213"/>
            <w:shd w:fill="EBF5FB" w:val="clear"/>
          </w:tcPr>
          <w:p>
            <w:r/>
            <w:r>
              <w:rPr>
                <w:rFonts w:ascii="Calibri" w:hAnsi="Calibri"/>
                <w:sz w:val="18"/>
              </w:rPr>
              <w:t>Control fiscal macro</w:t>
            </w:r>
          </w:p>
        </w:tc>
      </w:tr>
      <w:tr>
        <w:tc>
          <w:tcPr>
            <w:tcW w:type="dxa" w:w="3213"/>
          </w:tcPr>
          <w:p>
            <w:r/>
            <w:r>
              <w:rPr>
                <w:rFonts w:ascii="Calibri" w:hAnsi="Calibri"/>
                <w:sz w:val="18"/>
              </w:rPr>
              <w:t>Dr. Jose Fernando Ramirez Munoz</w:t>
            </w:r>
          </w:p>
        </w:tc>
        <w:tc>
          <w:tcPr>
            <w:tcW w:type="dxa" w:w="3213"/>
          </w:tcPr>
          <w:p>
            <w:r/>
            <w:r>
              <w:rPr>
                <w:rFonts w:ascii="Calibri" w:hAnsi="Calibri"/>
                <w:sz w:val="18"/>
              </w:rPr>
              <w:t>Director DVF</w:t>
            </w:r>
          </w:p>
        </w:tc>
        <w:tc>
          <w:tcPr>
            <w:tcW w:type="dxa" w:w="3213"/>
          </w:tcPr>
          <w:p>
            <w:r/>
            <w:r>
              <w:rPr>
                <w:rFonts w:ascii="Calibri" w:hAnsi="Calibri"/>
                <w:sz w:val="18"/>
              </w:rPr>
              <w:t>Control fiscal micro</w:t>
            </w:r>
          </w:p>
        </w:tc>
      </w:tr>
      <w:tr>
        <w:tc>
          <w:tcPr>
            <w:tcW w:type="dxa" w:w="3213"/>
            <w:shd w:fill="EBF5FB" w:val="clear"/>
          </w:tcPr>
          <w:p>
            <w:r/>
            <w:r>
              <w:rPr>
                <w:rFonts w:ascii="Calibri" w:hAnsi="Calibri"/>
                <w:sz w:val="18"/>
              </w:rPr>
              <w:t>Dra. Karen Tatiana Suevis Gomez</w:t>
            </w:r>
          </w:p>
        </w:tc>
        <w:tc>
          <w:tcPr>
            <w:tcW w:type="dxa" w:w="3213"/>
            <w:shd w:fill="EBF5FB" w:val="clear"/>
          </w:tcPr>
          <w:p>
            <w:r/>
            <w:r>
              <w:rPr>
                <w:rFonts w:ascii="Calibri" w:hAnsi="Calibri"/>
                <w:sz w:val="18"/>
              </w:rPr>
              <w:t>Coordinadora Juridica</w:t>
            </w:r>
          </w:p>
        </w:tc>
        <w:tc>
          <w:tcPr>
            <w:tcW w:type="dxa" w:w="3213"/>
            <w:shd w:fill="EBF5FB" w:val="clear"/>
          </w:tcPr>
          <w:p>
            <w:r/>
            <w:r>
              <w:rPr>
                <w:rFonts w:ascii="Calibri" w:hAnsi="Calibri"/>
                <w:sz w:val="18"/>
              </w:rPr>
              <w:t>Marco legal y etica</w:t>
            </w:r>
          </w:p>
        </w:tc>
      </w:tr>
      <w:tr>
        <w:tc>
          <w:tcPr>
            <w:tcW w:type="dxa" w:w="3213"/>
          </w:tcPr>
          <w:p>
            <w:r/>
            <w:r>
              <w:rPr>
                <w:rFonts w:ascii="Calibri" w:hAnsi="Calibri"/>
                <w:sz w:val="18"/>
              </w:rPr>
              <w:t>Ing. Gustavo Adolfo Castillo Romero</w:t>
            </w:r>
          </w:p>
        </w:tc>
        <w:tc>
          <w:tcPr>
            <w:tcW w:type="dxa" w:w="3213"/>
          </w:tcPr>
          <w:p>
            <w:r/>
            <w:r>
              <w:rPr>
                <w:rFonts w:ascii="Calibri" w:hAnsi="Calibri"/>
                <w:sz w:val="18"/>
              </w:rPr>
              <w:t>Lider Tecnico</w:t>
            </w:r>
          </w:p>
        </w:tc>
        <w:tc>
          <w:tcPr>
            <w:tcW w:type="dxa" w:w="3213"/>
          </w:tcPr>
          <w:p>
            <w:r/>
            <w:r>
              <w:rPr>
                <w:rFonts w:ascii="Calibri" w:hAnsi="Calibri"/>
                <w:sz w:val="18"/>
              </w:rPr>
              <w:t>Arquitectura y desarrollo</w:t>
            </w:r>
          </w:p>
        </w:tc>
      </w:tr>
    </w:tbl>
    <w:p/>
    <w:p>
      <w:pPr>
        <w:spacing w:before="240"/>
        <w:jc w:val="center"/>
      </w:pPr>
      <w:r>
        <w:rPr>
          <w:rFonts w:ascii="Calibri" w:hAnsi="Calibri"/>
          <w:b/>
          <w:sz w:val="22"/>
        </w:rPr>
        <w:t>Contraloria Delegada para el Sector TIC — CD-TIC-CGR</w:t>
      </w:r>
    </w:p>
    <w:p>
      <w:pPr>
        <w:spacing w:before="240"/>
        <w:jc w:val="center"/>
      </w:pPr>
      <w:r>
        <w:rPr>
          <w:rFonts w:ascii="Calibri" w:hAnsi="Calibri"/>
          <w:b w:val="0"/>
          <w:sz w:val="22"/>
        </w:rPr>
        <w:t>Bogota D.C., Colombia — 2026</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40" w:after="80" w:line="276"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