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GOBERNANZA DE IA PARA CONTROL FISCAL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Establece el marco de gobierno para el uso de inteligencia artificial en la funcion de control fiscal.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Esta politica establece los principios, roles y mecanismos de gobernanza para el uso responsable de inteligencia artificial en CecilIA v2, sistema de IA para control fiscal de la CGR..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Circular 023 de la CGR (2025IE0146473), CONPES 4144/2025 (Politica Nacional de IA), CONPES 4145/2025 (IA para el Estado), Ley 1581/2012 (Proteccion datos personales), NIST AI RMF 1.0, UNESCO Etica IA 2021, OCDE Principios IA 2019, ISO/IEC 42001..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Principios de gobernanza</w:t>
      </w:r>
    </w:p>
    <w:p>
      <w:pPr>
        <w:jc w:val="both"/>
      </w:pPr>
      <w:r>
        <w:rPr>
          <w:rFonts w:ascii="Calibri" w:hAnsi="Calibri"/>
          <w:sz w:val="22"/>
        </w:rPr>
        <w:t>Supervision humana obligatoria: Ninguna decision fiscal se toma automaticamente. Transparencia: Toda respuesta de CecilIA cita sus fuentes. Trazabilidad: Cada consulta queda registrada en log_trazabilidad. Proporcionalidad: El uso de IA se limita a asistencia, nunca a reemplazo..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Estructura de gobernanza</w:t>
      </w:r>
    </w:p>
    <w:p>
      <w:pPr>
        <w:jc w:val="both"/>
      </w:pPr>
      <w:r>
        <w:rPr>
          <w:rFonts w:ascii="Calibri" w:hAnsi="Calibri"/>
          <w:sz w:val="22"/>
        </w:rPr>
        <w:t>Comite de Gobernanza IA: Conformado por Contralor Delegado TIC (presidente), directores DES y DVF, coordinadora juridica, y lider tecnico. Se reune trimestralmente para evaluar desempeno, riesgos y actualizaciones del sistema..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Ciclo de vida del modelo</w:t>
      </w:r>
    </w:p>
    <w:p>
      <w:pPr>
        <w:jc w:val="both"/>
      </w:pPr>
      <w:r>
        <w:rPr>
          <w:rFonts w:ascii="Calibri" w:hAnsi="Calibri"/>
          <w:sz w:val="22"/>
        </w:rPr>
        <w:t>Evaluacion pre-despliegue: Benchmark de 50 preguntas con metricas de precision, recall y calidad. Monitoreo continuo: Dashboard de analitica con feedback de usuarios. Actualizacion: Protocolo de actualizacion del corpus normativo cada vez que se emita nueva normatividad..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9.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